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D7" w:rsidRDefault="00AD26D7" w:rsidP="00AD26D7">
      <w:pPr>
        <w:pStyle w:val="Cmsor1"/>
        <w:numPr>
          <w:ilvl w:val="0"/>
          <w:numId w:val="0"/>
        </w:numPr>
        <w:ind w:left="431"/>
      </w:pPr>
      <w:bookmarkStart w:id="0" w:name="_Toc289616983"/>
      <w:bookmarkStart w:id="1" w:name="_Toc320784655"/>
      <w:bookmarkStart w:id="2" w:name="_Toc475002468"/>
      <w:bookmarkStart w:id="3" w:name="_Toc475002587"/>
      <w:bookmarkStart w:id="4" w:name="_Toc475161569"/>
      <w:bookmarkStart w:id="5" w:name="_Toc507837135"/>
      <w:r>
        <w:t>2011. ÉVES</w:t>
      </w:r>
      <w:r w:rsidRPr="009300F1">
        <w:t xml:space="preserve"> </w:t>
      </w:r>
      <w:r w:rsidRPr="0094456D">
        <w:t>ÜZLETI JELENTÉS</w:t>
      </w:r>
      <w:bookmarkEnd w:id="0"/>
      <w:bookmarkEnd w:id="1"/>
    </w:p>
    <w:p w:rsidR="00AD26D7" w:rsidRPr="00AD26D7" w:rsidRDefault="00AD26D7" w:rsidP="00AD26D7"/>
    <w:p w:rsidR="00AD26D7" w:rsidRPr="0094456D" w:rsidRDefault="00AD26D7" w:rsidP="00AD26D7">
      <w:pPr>
        <w:pStyle w:val="Cmsor2"/>
      </w:pPr>
      <w:bookmarkStart w:id="6" w:name="_Toc289616984"/>
      <w:bookmarkStart w:id="7" w:name="_Toc320784656"/>
      <w:r w:rsidRPr="0094456D">
        <w:t>Vezetői összefoglaló</w:t>
      </w:r>
      <w:bookmarkEnd w:id="6"/>
      <w:bookmarkEnd w:id="7"/>
    </w:p>
    <w:p w:rsidR="00AD26D7" w:rsidRPr="003D1EAF" w:rsidRDefault="00AD26D7" w:rsidP="00AD26D7">
      <w:pPr>
        <w:pStyle w:val="Szvegtrzs"/>
      </w:pPr>
      <w:r>
        <w:t xml:space="preserve">A </w:t>
      </w:r>
      <w:r w:rsidRPr="001C24B5">
        <w:rPr>
          <w:b/>
        </w:rPr>
        <w:t xml:space="preserve">Fővárosi Önkormányzat kizárólagos tulajdonában álló </w:t>
      </w:r>
      <w:r>
        <w:rPr>
          <w:b/>
        </w:rPr>
        <w:t>Budapest Esély Nonprofit Kft.</w:t>
      </w:r>
      <w:r w:rsidRPr="003D1EAF">
        <w:t xml:space="preserve"> négyféle fővárosi közfeladatot lát el</w:t>
      </w:r>
      <w:r>
        <w:t xml:space="preserve"> öt éves Közszolgáltatási Keretszerződése alapján</w:t>
      </w:r>
      <w:r w:rsidRPr="003D1EAF">
        <w:t xml:space="preserve">. </w:t>
      </w:r>
      <w:r>
        <w:t>Ezen</w:t>
      </w:r>
      <w:r w:rsidRPr="003D1EAF">
        <w:t xml:space="preserve"> alaptevékenysége</w:t>
      </w:r>
      <w:r>
        <w:t>i</w:t>
      </w:r>
      <w:r w:rsidRPr="003D1EAF">
        <w:t xml:space="preserve"> fedezetének kiegészítésére</w:t>
      </w:r>
      <w:r>
        <w:t xml:space="preserve"> – szerény feltételek mellett – üzleti tevékenységet is végez. </w:t>
      </w:r>
    </w:p>
    <w:p w:rsidR="00AD26D7" w:rsidRPr="003D1EAF" w:rsidRDefault="00AD26D7" w:rsidP="00AD26D7">
      <w:pPr>
        <w:pStyle w:val="Szvegtrzs"/>
      </w:pPr>
      <w:r w:rsidRPr="003D1EAF">
        <w:rPr>
          <w:szCs w:val="24"/>
        </w:rPr>
        <w:t>A fővárosi regisztrált</w:t>
      </w:r>
      <w:r w:rsidRPr="003D1EAF">
        <w:rPr>
          <w:b/>
          <w:szCs w:val="24"/>
        </w:rPr>
        <w:t xml:space="preserve"> hajléktalanok közfoglalkoztatása</w:t>
      </w:r>
      <w:r w:rsidRPr="003D1EAF">
        <w:rPr>
          <w:szCs w:val="24"/>
        </w:rPr>
        <w:t xml:space="preserve"> során </w:t>
      </w:r>
      <w:r w:rsidRPr="003D1EAF">
        <w:t>851</w:t>
      </w:r>
      <w:r>
        <w:t xml:space="preserve"> fős</w:t>
      </w:r>
      <w:r w:rsidRPr="003D1EAF">
        <w:t xml:space="preserve"> ügyfélforgalom</w:t>
      </w:r>
      <w:r>
        <w:t xml:space="preserve"> mellett</w:t>
      </w:r>
      <w:r w:rsidRPr="003D1EAF">
        <w:t xml:space="preserve">, </w:t>
      </w:r>
      <w:r>
        <w:t>554 hajléktalan személyt tudtak közfoglalkoztatásba bevonni. Ezen eredmény jelentősen megh</w:t>
      </w:r>
      <w:r>
        <w:t>a</w:t>
      </w:r>
      <w:r>
        <w:t>ladta</w:t>
      </w:r>
      <w:r w:rsidRPr="003D1EAF">
        <w:t xml:space="preserve"> az előző </w:t>
      </w:r>
      <w:proofErr w:type="spellStart"/>
      <w:r w:rsidRPr="003D1EAF">
        <w:t>évieket</w:t>
      </w:r>
      <w:proofErr w:type="spellEnd"/>
      <w:r w:rsidRPr="003D1EAF">
        <w:t xml:space="preserve">. A </w:t>
      </w:r>
      <w:r>
        <w:t>közfoglalkoztatás 2011. évi átmeneti köz</w:t>
      </w:r>
      <w:r w:rsidRPr="003D1EAF">
        <w:t>igazgatási körülménye</w:t>
      </w:r>
      <w:r>
        <w:t>i</w:t>
      </w:r>
      <w:r w:rsidRPr="003D1EAF">
        <w:t xml:space="preserve">, illetve a 4 órás közfoglalkoztatás </w:t>
      </w:r>
      <w:r>
        <w:t xml:space="preserve">túlsúlya </w:t>
      </w:r>
      <w:r w:rsidRPr="003D1EAF">
        <w:t>miatt</w:t>
      </w:r>
      <w:r>
        <w:t xml:space="preserve"> azonban</w:t>
      </w:r>
      <w:r w:rsidRPr="003D1EAF">
        <w:t xml:space="preserve">, </w:t>
      </w:r>
      <w:r>
        <w:t>a</w:t>
      </w:r>
      <w:r w:rsidRPr="003D1EAF">
        <w:t xml:space="preserve"> munkában lévők száma </w:t>
      </w:r>
      <w:r>
        <w:t>éves átlagban</w:t>
      </w:r>
      <w:r w:rsidRPr="003D1EAF">
        <w:t xml:space="preserve"> 100 fő</w:t>
      </w:r>
      <w:r>
        <w:t xml:space="preserve"> volt</w:t>
      </w:r>
      <w:r w:rsidRPr="003D1EAF">
        <w:t>, a tervezett 61%-</w:t>
      </w:r>
      <w:proofErr w:type="gramStart"/>
      <w:r w:rsidRPr="003D1EAF">
        <w:t>a.</w:t>
      </w:r>
      <w:proofErr w:type="gramEnd"/>
      <w:r w:rsidRPr="003D1EAF">
        <w:t xml:space="preserve"> Ez a külső költségtérítésben 3,8 millió Ft kiesés</w:t>
      </w:r>
      <w:r>
        <w:t>t</w:t>
      </w:r>
      <w:r w:rsidRPr="003D1EAF">
        <w:t xml:space="preserve"> </w:t>
      </w:r>
      <w:r>
        <w:t>eredményezett</w:t>
      </w:r>
      <w:r w:rsidRPr="003D1EAF">
        <w:t xml:space="preserve">. </w:t>
      </w:r>
      <w:r>
        <w:t>A kö</w:t>
      </w:r>
      <w:r>
        <w:t>z</w:t>
      </w:r>
      <w:r>
        <w:t>feladat fővárosi kompenzációja (35.540 ezer Ft) a költségek 38%-át fedezte.</w:t>
      </w:r>
    </w:p>
    <w:p w:rsidR="00AD26D7" w:rsidRPr="003D1EAF" w:rsidRDefault="00AD26D7" w:rsidP="00AD26D7">
      <w:pPr>
        <w:pStyle w:val="Szvegtrzs"/>
      </w:pPr>
      <w:r w:rsidRPr="003D1EAF">
        <w:t xml:space="preserve">A </w:t>
      </w:r>
      <w:r w:rsidRPr="003D1EAF">
        <w:rPr>
          <w:b/>
        </w:rPr>
        <w:t>munkába segítő szolgáltatásokat</w:t>
      </w:r>
      <w:r w:rsidRPr="003D1EAF">
        <w:t xml:space="preserve"> (munkaerő-piaci tréning</w:t>
      </w:r>
      <w:r>
        <w:t>ek, munkaközvetítés</w:t>
      </w:r>
      <w:r w:rsidRPr="003D1EAF">
        <w:t xml:space="preserve"> és EU-s t</w:t>
      </w:r>
      <w:r w:rsidRPr="003D1EAF">
        <w:t>á</w:t>
      </w:r>
      <w:r w:rsidRPr="003D1EAF">
        <w:t xml:space="preserve">mogatású foglalkoztatás fejlesztő programok) 1.409 fővárosi álláskereső vette igénybe. Ez mind a tervezett, mind a korábbi évekbeli létszámnak duplája. A válság ellenére is </w:t>
      </w:r>
      <w:r>
        <w:t xml:space="preserve">a segítő stáb </w:t>
      </w:r>
      <w:r w:rsidRPr="00D62D70">
        <w:rPr>
          <w:b/>
        </w:rPr>
        <w:t xml:space="preserve">359 főt (!) </w:t>
      </w:r>
      <w:proofErr w:type="gramStart"/>
      <w:r w:rsidRPr="00D62D70">
        <w:rPr>
          <w:b/>
        </w:rPr>
        <w:t>tudott</w:t>
      </w:r>
      <w:proofErr w:type="gramEnd"/>
      <w:r w:rsidRPr="00D62D70">
        <w:rPr>
          <w:b/>
        </w:rPr>
        <w:t xml:space="preserve"> piaci munkahelyre segíteni</w:t>
      </w:r>
      <w:r>
        <w:t>. E szolgáltatásokat 87</w:t>
      </w:r>
      <w:r w:rsidRPr="003D1EAF">
        <w:t>%-ban p</w:t>
      </w:r>
      <w:r>
        <w:t>ályázaton nyert forrá</w:t>
      </w:r>
      <w:r>
        <w:t>s</w:t>
      </w:r>
      <w:r>
        <w:t>ból tudták fedezni.</w:t>
      </w:r>
    </w:p>
    <w:p w:rsidR="00AD26D7" w:rsidRDefault="00AD26D7" w:rsidP="00AD26D7">
      <w:pPr>
        <w:pStyle w:val="Szvegtrzs"/>
      </w:pPr>
      <w:r w:rsidRPr="003D1EAF">
        <w:t>A „</w:t>
      </w:r>
      <w:r w:rsidRPr="003D1EAF">
        <w:rPr>
          <w:b/>
        </w:rPr>
        <w:t xml:space="preserve">Budapest – </w:t>
      </w:r>
      <w:proofErr w:type="gramStart"/>
      <w:r w:rsidRPr="003D1EAF">
        <w:rPr>
          <w:b/>
        </w:rPr>
        <w:t>több, mint</w:t>
      </w:r>
      <w:proofErr w:type="gramEnd"/>
      <w:r w:rsidRPr="003D1EAF">
        <w:rPr>
          <w:b/>
        </w:rPr>
        <w:t xml:space="preserve"> esély</w:t>
      </w:r>
      <w:r w:rsidRPr="003D1EAF">
        <w:t xml:space="preserve">” </w:t>
      </w:r>
      <w:r>
        <w:t>nevű fővárosi települési esélyegyenlőségi p</w:t>
      </w:r>
      <w:r w:rsidRPr="003D1EAF">
        <w:t>rogram folytatás</w:t>
      </w:r>
      <w:r w:rsidRPr="003D1EAF">
        <w:t>á</w:t>
      </w:r>
      <w:r w:rsidRPr="003D1EAF">
        <w:t xml:space="preserve">ra </w:t>
      </w:r>
      <w:r>
        <w:t>az előző évi forrás</w:t>
      </w:r>
      <w:r w:rsidRPr="003D1EAF">
        <w:t xml:space="preserve"> </w:t>
      </w:r>
      <w:r>
        <w:t xml:space="preserve">60%-a jutott. </w:t>
      </w:r>
      <w:r w:rsidRPr="003D1EAF">
        <w:t>Az esélyegyenlőségi programiroda (FEMI)</w:t>
      </w:r>
      <w:r>
        <w:t xml:space="preserve"> </w:t>
      </w:r>
      <w:r w:rsidRPr="003D1EAF">
        <w:t>– az előző éve</w:t>
      </w:r>
      <w:r w:rsidRPr="003D1EAF">
        <w:t>k</w:t>
      </w:r>
      <w:r w:rsidRPr="003D1EAF">
        <w:t>hez hasonlóan – ellátja a Főváros esélyegyenlőségi módszertani szakértői és koordinációs felad</w:t>
      </w:r>
      <w:r w:rsidRPr="003D1EAF">
        <w:t>a</w:t>
      </w:r>
      <w:r w:rsidRPr="003D1EAF">
        <w:t>tait, és az ehhez kapcsolódó információs szolgáltatásokat</w:t>
      </w:r>
      <w:r>
        <w:t xml:space="preserve">. Ezek eredményei: 7 </w:t>
      </w:r>
      <w:proofErr w:type="gramStart"/>
      <w:r>
        <w:t>rádió műsor</w:t>
      </w:r>
      <w:proofErr w:type="gramEnd"/>
      <w:r>
        <w:t xml:space="preserve">, 40 nyomtatott sajtó és online cikk, 4 </w:t>
      </w:r>
      <w:r w:rsidRPr="003D1EAF">
        <w:t>honlap</w:t>
      </w:r>
      <w:r>
        <w:t xml:space="preserve"> látogatottsága havi 6.000</w:t>
      </w:r>
      <w:r w:rsidRPr="003D1EAF">
        <w:t xml:space="preserve">, </w:t>
      </w:r>
      <w:r>
        <w:t xml:space="preserve">Esély Galéria 3 kiállítása, 3 kötetes könyv és 2 </w:t>
      </w:r>
      <w:r w:rsidRPr="003D1EAF">
        <w:t xml:space="preserve">kiadvány, </w:t>
      </w:r>
      <w:r>
        <w:t xml:space="preserve">5 saját </w:t>
      </w:r>
      <w:r w:rsidRPr="003D1EAF">
        <w:t>szakmai rendezvé</w:t>
      </w:r>
      <w:r>
        <w:t>ny, F</w:t>
      </w:r>
      <w:r w:rsidRPr="003D1EAF">
        <w:t xml:space="preserve">ővárosi </w:t>
      </w:r>
      <w:r>
        <w:t xml:space="preserve">Autizmus stratégia, </w:t>
      </w:r>
      <w:proofErr w:type="spellStart"/>
      <w:r>
        <w:t>Antidiszkriminációs</w:t>
      </w:r>
      <w:proofErr w:type="spellEnd"/>
      <w:r>
        <w:t xml:space="preserve"> Hálózat. A 8 esélyegyenlőségi képzésen 90 fővárosi szakember végzett. </w:t>
      </w:r>
      <w:r w:rsidRPr="003D1EAF">
        <w:t xml:space="preserve"> (honlap, kiadványok, szakmai rendezvények, fővárosi ágazati stratégiai tervek</w:t>
      </w:r>
      <w:r>
        <w:t>). Ezen túl, ellátja a</w:t>
      </w:r>
      <w:r w:rsidRPr="003D1EAF">
        <w:t xml:space="preserve"> Főváros esélyegyenlőségi törekvéseinek nemzetközi szintű képv</w:t>
      </w:r>
      <w:r>
        <w:t xml:space="preserve">iseletét, így </w:t>
      </w:r>
      <w:r w:rsidRPr="003D1EAF">
        <w:rPr>
          <w:szCs w:val="24"/>
        </w:rPr>
        <w:t xml:space="preserve">2011-ben a </w:t>
      </w:r>
      <w:r w:rsidRPr="003D1EAF">
        <w:t>Bud</w:t>
      </w:r>
      <w:r w:rsidRPr="003D1EAF">
        <w:t>a</w:t>
      </w:r>
      <w:r w:rsidRPr="003D1EAF">
        <w:t xml:space="preserve">pest – </w:t>
      </w:r>
      <w:proofErr w:type="gramStart"/>
      <w:r w:rsidRPr="003D1EAF">
        <w:t>több, mint</w:t>
      </w:r>
      <w:proofErr w:type="gramEnd"/>
      <w:r w:rsidRPr="003D1EAF">
        <w:t xml:space="preserve"> esély fővárosi program bekerült </w:t>
      </w:r>
      <w:r w:rsidRPr="00B450B7">
        <w:rPr>
          <w:b/>
        </w:rPr>
        <w:t>az Európai Unió legjobb gyakorlatai közé.</w:t>
      </w:r>
      <w:r>
        <w:t xml:space="preserve"> Ez megtalálható:</w:t>
      </w:r>
    </w:p>
    <w:p w:rsidR="00AD26D7" w:rsidRPr="003D1EAF" w:rsidRDefault="00AD26D7" w:rsidP="00AD26D7">
      <w:pPr>
        <w:pStyle w:val="Szvegtrzs"/>
      </w:pPr>
      <w:hyperlink r:id="rId5" w:history="1">
        <w:r w:rsidRPr="003D1EAF">
          <w:rPr>
            <w:rStyle w:val="Hiperhivatkozs"/>
          </w:rPr>
          <w:t>http://www.pestesely.hu/doc/compendium_mainstreaming_equality_en[1].pdf</w:t>
        </w:r>
      </w:hyperlink>
      <w:r>
        <w:t xml:space="preserve"> </w:t>
      </w:r>
      <w:r w:rsidRPr="003D1EAF">
        <w:t>(48-49 oldal</w:t>
      </w:r>
      <w:r>
        <w:t>on) is.</w:t>
      </w:r>
    </w:p>
    <w:p w:rsidR="00AD26D7" w:rsidRPr="003D1EAF" w:rsidRDefault="00AD26D7" w:rsidP="00AD26D7">
      <w:pPr>
        <w:pStyle w:val="Szvegtrzs"/>
      </w:pPr>
      <w:r>
        <w:rPr>
          <w:szCs w:val="24"/>
        </w:rPr>
        <w:t>A h</w:t>
      </w:r>
      <w:r w:rsidRPr="003D1EAF">
        <w:rPr>
          <w:szCs w:val="24"/>
        </w:rPr>
        <w:t xml:space="preserve">ét EU-s és két hazai támogatású, </w:t>
      </w:r>
      <w:r w:rsidRPr="003D1EAF">
        <w:rPr>
          <w:b/>
          <w:szCs w:val="24"/>
        </w:rPr>
        <w:t>foglalkoztatás-fejlesztő projek</w:t>
      </w:r>
      <w:r>
        <w:rPr>
          <w:b/>
          <w:szCs w:val="24"/>
        </w:rPr>
        <w:t>tek</w:t>
      </w:r>
      <w:r w:rsidRPr="003D1EAF">
        <w:rPr>
          <w:szCs w:val="24"/>
        </w:rPr>
        <w:t xml:space="preserve"> </w:t>
      </w:r>
      <w:r>
        <w:rPr>
          <w:szCs w:val="24"/>
        </w:rPr>
        <w:t xml:space="preserve">kisgyermekesek, roma fiatalok, hajléktalanok, és más, tartósan munkanélküli budapestiek intenzív munkába segítését biztosították. E projektek külső </w:t>
      </w:r>
      <w:r w:rsidRPr="003D1EAF">
        <w:rPr>
          <w:szCs w:val="24"/>
        </w:rPr>
        <w:t xml:space="preserve">pályázati </w:t>
      </w:r>
      <w:r>
        <w:rPr>
          <w:szCs w:val="24"/>
        </w:rPr>
        <w:t>bevételei 2011-ben 78.543 ezer Ft volt</w:t>
      </w:r>
      <w:r w:rsidRPr="003D1EAF">
        <w:rPr>
          <w:szCs w:val="24"/>
        </w:rPr>
        <w:t>. A kapacitások és erőforrások összehangolását, az új pályázatok írását és a kifutó pályázatok utólagos elsz</w:t>
      </w:r>
      <w:r>
        <w:rPr>
          <w:szCs w:val="24"/>
        </w:rPr>
        <w:t>ám</w:t>
      </w:r>
      <w:r>
        <w:rPr>
          <w:szCs w:val="24"/>
        </w:rPr>
        <w:t>o</w:t>
      </w:r>
      <w:r>
        <w:rPr>
          <w:szCs w:val="24"/>
        </w:rPr>
        <w:t>lását a Programiroda vezető</w:t>
      </w:r>
      <w:r w:rsidRPr="003D1EAF">
        <w:rPr>
          <w:szCs w:val="24"/>
        </w:rPr>
        <w:t xml:space="preserve"> koordinálja. 2011-ben új fővárosi közfeladatként jelentkezett az URBACT II. – ROMA – NET projekt koordinálása, melyre a módosított közszolgáltatási sze</w:t>
      </w:r>
      <w:r w:rsidRPr="003D1EAF">
        <w:rPr>
          <w:szCs w:val="24"/>
        </w:rPr>
        <w:t>r</w:t>
      </w:r>
      <w:r w:rsidRPr="003D1EAF">
        <w:rPr>
          <w:szCs w:val="24"/>
        </w:rPr>
        <w:t>ződés 2.700 e</w:t>
      </w:r>
      <w:r>
        <w:rPr>
          <w:szCs w:val="24"/>
        </w:rPr>
        <w:t xml:space="preserve">zer </w:t>
      </w:r>
      <w:r w:rsidRPr="003D1EAF">
        <w:rPr>
          <w:szCs w:val="24"/>
        </w:rPr>
        <w:t>Ft többlet-támogatási forrást biztosított.</w:t>
      </w:r>
      <w:r>
        <w:t xml:space="preserve"> Egy hosszabb távú k</w:t>
      </w:r>
      <w:r w:rsidRPr="003D1EAF">
        <w:t>özfoglalkoztatás-fejlesztő projekt (TÁMOP 1.4.3) előkészítő szakasza zárult, mely 5,3 millió forint előfinanszír</w:t>
      </w:r>
      <w:r w:rsidRPr="003D1EAF">
        <w:t>o</w:t>
      </w:r>
      <w:r w:rsidRPr="003D1EAF">
        <w:t>zást igényelt. Ennek fedezése a projekt 2012. évi végrehajtási szakaszában történik.</w:t>
      </w:r>
      <w:r>
        <w:t xml:space="preserve"> A FEMI és Programiroda költségeinek 54%-a pályázati forrásokból finanszírozott.</w:t>
      </w:r>
    </w:p>
    <w:p w:rsidR="00AD26D7" w:rsidRPr="003D1EAF" w:rsidRDefault="00AD26D7" w:rsidP="00AD26D7">
      <w:pPr>
        <w:pStyle w:val="Szvegtrzs"/>
      </w:pPr>
      <w:r>
        <w:t>A fentieken túl egy kis „</w:t>
      </w:r>
      <w:r w:rsidRPr="00EA0AD9">
        <w:rPr>
          <w:b/>
        </w:rPr>
        <w:t>szociális gazdaság</w:t>
      </w:r>
      <w:r>
        <w:t>” működtetésével közegészségügyi (parlagfű irtás, illegálisan lerakott hulladék eltávolítási), és utcatábla szerelési közfeladatokat is végeznek volt és jelenlegi közmunkások bevonásával.</w:t>
      </w:r>
    </w:p>
    <w:p w:rsidR="00AD26D7" w:rsidRPr="003D1EAF" w:rsidRDefault="00AD26D7" w:rsidP="00AD26D7">
      <w:pPr>
        <w:pStyle w:val="Szvegtrzs"/>
        <w:rPr>
          <w:szCs w:val="24"/>
        </w:rPr>
      </w:pPr>
      <w:r w:rsidRPr="003D1EAF">
        <w:rPr>
          <w:szCs w:val="24"/>
        </w:rPr>
        <w:t xml:space="preserve">A fővárosi közfeladatok ellátásának </w:t>
      </w:r>
      <w:proofErr w:type="gramStart"/>
      <w:r>
        <w:rPr>
          <w:szCs w:val="24"/>
        </w:rPr>
        <w:t>k</w:t>
      </w:r>
      <w:r w:rsidRPr="003D1EAF">
        <w:rPr>
          <w:szCs w:val="24"/>
        </w:rPr>
        <w:t>ompenzációjára</w:t>
      </w:r>
      <w:proofErr w:type="gramEnd"/>
      <w:r w:rsidRPr="003D1EAF">
        <w:rPr>
          <w:szCs w:val="24"/>
        </w:rPr>
        <w:t xml:space="preserve"> 2011-re eredeti előirányzat szerint </w:t>
      </w:r>
      <w:r w:rsidRPr="003D1EAF">
        <w:rPr>
          <w:szCs w:val="24"/>
        </w:rPr>
        <w:lastRenderedPageBreak/>
        <w:t>98.240 ezer Ft került elkülönítésre. Ez az előző évi 124.201 ezer forint 79%-</w:t>
      </w:r>
      <w:proofErr w:type="gramStart"/>
      <w:r w:rsidRPr="003D1EAF">
        <w:rPr>
          <w:szCs w:val="24"/>
        </w:rPr>
        <w:t>a</w:t>
      </w:r>
      <w:proofErr w:type="gramEnd"/>
      <w:r w:rsidRPr="003D1EAF">
        <w:rPr>
          <w:szCs w:val="24"/>
        </w:rPr>
        <w:t xml:space="preserve">, azaz </w:t>
      </w:r>
      <w:r w:rsidRPr="00EA0AD9">
        <w:rPr>
          <w:b/>
          <w:szCs w:val="24"/>
        </w:rPr>
        <w:t>21%-os forrás e</w:t>
      </w:r>
      <w:r w:rsidRPr="00EA0AD9">
        <w:rPr>
          <w:b/>
          <w:szCs w:val="24"/>
        </w:rPr>
        <w:t>l</w:t>
      </w:r>
      <w:r w:rsidRPr="00EA0AD9">
        <w:rPr>
          <w:b/>
          <w:szCs w:val="24"/>
        </w:rPr>
        <w:t>vonást jelentett</w:t>
      </w:r>
      <w:r w:rsidRPr="003D1EAF">
        <w:rPr>
          <w:szCs w:val="24"/>
        </w:rPr>
        <w:t>. Új közfeladatokra (</w:t>
      </w:r>
      <w:proofErr w:type="spellStart"/>
      <w:r w:rsidRPr="003D1EAF">
        <w:rPr>
          <w:szCs w:val="24"/>
        </w:rPr>
        <w:t>környezethigiénés</w:t>
      </w:r>
      <w:proofErr w:type="spellEnd"/>
      <w:r w:rsidRPr="003D1EAF">
        <w:rPr>
          <w:szCs w:val="24"/>
        </w:rPr>
        <w:t xml:space="preserve"> és ROMA-NET szolgáltatások) 20.000 ezer Ft többlet </w:t>
      </w:r>
      <w:r>
        <w:rPr>
          <w:szCs w:val="24"/>
        </w:rPr>
        <w:t>kompenzáció</w:t>
      </w:r>
      <w:r w:rsidRPr="003D1EAF">
        <w:rPr>
          <w:szCs w:val="24"/>
        </w:rPr>
        <w:t xml:space="preserve"> került meghatározásra, így a módosított előirányzat 118.240 ezer Ft</w:t>
      </w:r>
      <w:r>
        <w:rPr>
          <w:szCs w:val="24"/>
        </w:rPr>
        <w:t xml:space="preserve"> volt</w:t>
      </w:r>
      <w:r w:rsidRPr="003D1EAF">
        <w:rPr>
          <w:szCs w:val="24"/>
        </w:rPr>
        <w:t xml:space="preserve">. </w:t>
      </w:r>
      <w:r>
        <w:rPr>
          <w:szCs w:val="24"/>
        </w:rPr>
        <w:t>Így a</w:t>
      </w:r>
      <w:r w:rsidRPr="003D1EAF">
        <w:rPr>
          <w:szCs w:val="24"/>
        </w:rPr>
        <w:t xml:space="preserve"> kényszerű átköltözés miatti (Őr utcai) magasabb rezsi költségek, továbbá külső ö</w:t>
      </w:r>
      <w:r w:rsidRPr="003D1EAF">
        <w:rPr>
          <w:szCs w:val="24"/>
        </w:rPr>
        <w:t>n</w:t>
      </w:r>
      <w:r w:rsidRPr="003D1EAF">
        <w:rPr>
          <w:szCs w:val="24"/>
        </w:rPr>
        <w:t xml:space="preserve">kormányzati és egyéb megrendelések jelentős </w:t>
      </w:r>
      <w:r>
        <w:rPr>
          <w:szCs w:val="24"/>
        </w:rPr>
        <w:t>le</w:t>
      </w:r>
      <w:r w:rsidRPr="003D1EAF">
        <w:rPr>
          <w:szCs w:val="24"/>
        </w:rPr>
        <w:t>csökkenése mellett a költségvetési egyensúly tartása alig kezelhető megszorításokat igényelt</w:t>
      </w:r>
      <w:r>
        <w:rPr>
          <w:szCs w:val="24"/>
        </w:rPr>
        <w:t>.</w:t>
      </w:r>
    </w:p>
    <w:p w:rsidR="00AD26D7" w:rsidRPr="003D1EAF" w:rsidRDefault="00AD26D7" w:rsidP="00AD26D7">
      <w:pPr>
        <w:pStyle w:val="Szvegtrzs"/>
        <w:rPr>
          <w:szCs w:val="24"/>
        </w:rPr>
      </w:pPr>
      <w:r w:rsidRPr="003D1EAF">
        <w:rPr>
          <w:szCs w:val="24"/>
        </w:rPr>
        <w:t xml:space="preserve">A 2011-ben érvényesített </w:t>
      </w:r>
      <w:r w:rsidRPr="00EA0AD9">
        <w:rPr>
          <w:b/>
          <w:szCs w:val="24"/>
        </w:rPr>
        <w:t xml:space="preserve">drasztikus működési </w:t>
      </w:r>
      <w:proofErr w:type="gramStart"/>
      <w:r w:rsidRPr="00EA0AD9">
        <w:rPr>
          <w:b/>
          <w:szCs w:val="24"/>
        </w:rPr>
        <w:t>költség csökkentés</w:t>
      </w:r>
      <w:proofErr w:type="gramEnd"/>
      <w:r>
        <w:rPr>
          <w:b/>
          <w:szCs w:val="24"/>
        </w:rPr>
        <w:t>,</w:t>
      </w:r>
      <w:r w:rsidRPr="003D1EAF">
        <w:rPr>
          <w:szCs w:val="24"/>
        </w:rPr>
        <w:t xml:space="preserve"> </w:t>
      </w:r>
      <w:r>
        <w:rPr>
          <w:szCs w:val="24"/>
        </w:rPr>
        <w:t xml:space="preserve">és </w:t>
      </w:r>
      <w:r w:rsidRPr="003D1EAF">
        <w:rPr>
          <w:szCs w:val="24"/>
        </w:rPr>
        <w:t>fel</w:t>
      </w:r>
      <w:r>
        <w:rPr>
          <w:szCs w:val="24"/>
        </w:rPr>
        <w:t>adat összevonások, 9</w:t>
      </w:r>
      <w:r w:rsidRPr="003D1EAF">
        <w:rPr>
          <w:szCs w:val="24"/>
        </w:rPr>
        <w:t xml:space="preserve"> fős</w:t>
      </w:r>
      <w:r>
        <w:rPr>
          <w:szCs w:val="24"/>
        </w:rPr>
        <w:t xml:space="preserve">, </w:t>
      </w:r>
      <w:r w:rsidRPr="001C24B5">
        <w:rPr>
          <w:b/>
          <w:szCs w:val="24"/>
        </w:rPr>
        <w:t>15%-os létszám leépítés</w:t>
      </w:r>
      <w:r w:rsidRPr="003D1EAF">
        <w:rPr>
          <w:szCs w:val="24"/>
        </w:rPr>
        <w:t>, és egyéb megszorítások hatására az általános (működési) költs</w:t>
      </w:r>
      <w:r w:rsidRPr="003D1EAF">
        <w:rPr>
          <w:szCs w:val="24"/>
        </w:rPr>
        <w:t>é</w:t>
      </w:r>
      <w:r w:rsidRPr="003D1EAF">
        <w:rPr>
          <w:szCs w:val="24"/>
        </w:rPr>
        <w:t xml:space="preserve">geket az előző évi szint </w:t>
      </w:r>
      <w:r>
        <w:rPr>
          <w:b/>
          <w:szCs w:val="24"/>
        </w:rPr>
        <w:t>32</w:t>
      </w:r>
      <w:r w:rsidRPr="00EA0AD9">
        <w:rPr>
          <w:b/>
          <w:szCs w:val="24"/>
        </w:rPr>
        <w:t>%-ával tudtuk csökkenteni</w:t>
      </w:r>
      <w:r w:rsidRPr="003D1EAF">
        <w:rPr>
          <w:szCs w:val="24"/>
        </w:rPr>
        <w:t xml:space="preserve">. Így a 2011. évre tervezettnél is 16,7 millió forinttal kevesebb működési kiadást </w:t>
      </w:r>
      <w:r>
        <w:rPr>
          <w:szCs w:val="24"/>
        </w:rPr>
        <w:t>realizáltunk</w:t>
      </w:r>
      <w:r w:rsidRPr="003D1EAF">
        <w:rPr>
          <w:szCs w:val="24"/>
        </w:rPr>
        <w:t>. Béremelés immár két éve nem volt, de az egykulcsos adó okozta nettó bér csökkenést kompenzáltuk, ez a dolgozók kétharmadát érinte</w:t>
      </w:r>
      <w:r w:rsidRPr="003D1EAF">
        <w:rPr>
          <w:szCs w:val="24"/>
        </w:rPr>
        <w:t>t</w:t>
      </w:r>
      <w:r w:rsidRPr="003D1EAF">
        <w:rPr>
          <w:szCs w:val="24"/>
        </w:rPr>
        <w:t>te. A</w:t>
      </w:r>
      <w:r w:rsidRPr="003D1EAF">
        <w:t xml:space="preserve">z alapbért kiegészítő teljesítményarányos féléves jutalmat sem az első félévben, sem az év végén nem tudtunk adni. </w:t>
      </w:r>
      <w:r w:rsidRPr="003D1EAF">
        <w:rPr>
          <w:szCs w:val="24"/>
        </w:rPr>
        <w:t>Ezen súlyos megszorítások mellett azonban a</w:t>
      </w:r>
      <w:r>
        <w:rPr>
          <w:szCs w:val="24"/>
        </w:rPr>
        <w:t xml:space="preserve"> kényszerűen</w:t>
      </w:r>
      <w:r w:rsidRPr="003D1EAF">
        <w:rPr>
          <w:szCs w:val="24"/>
        </w:rPr>
        <w:t xml:space="preserve"> magasra tervezett vállalkozási nyereség jelentősen elmaradt a tervezettől</w:t>
      </w:r>
      <w:r>
        <w:rPr>
          <w:szCs w:val="24"/>
        </w:rPr>
        <w:t xml:space="preserve"> 4.235 ezer Ft mértékben. A v</w:t>
      </w:r>
      <w:r>
        <w:rPr>
          <w:szCs w:val="24"/>
        </w:rPr>
        <w:t>i</w:t>
      </w:r>
      <w:r>
        <w:rPr>
          <w:szCs w:val="24"/>
        </w:rPr>
        <w:t xml:space="preserve">szonylag alacsony árbevétel </w:t>
      </w:r>
      <w:r w:rsidRPr="003D1EAF">
        <w:rPr>
          <w:szCs w:val="24"/>
        </w:rPr>
        <w:t xml:space="preserve">így is </w:t>
      </w:r>
      <w:r>
        <w:rPr>
          <w:szCs w:val="24"/>
        </w:rPr>
        <w:t>21.898</w:t>
      </w:r>
      <w:r w:rsidRPr="003D1EAF">
        <w:rPr>
          <w:szCs w:val="24"/>
        </w:rPr>
        <w:t xml:space="preserve"> ezer Ft közpon</w:t>
      </w:r>
      <w:r>
        <w:rPr>
          <w:szCs w:val="24"/>
        </w:rPr>
        <w:t>ti általános költséget vállalhatott</w:t>
      </w:r>
      <w:r w:rsidRPr="003D1EAF">
        <w:rPr>
          <w:szCs w:val="24"/>
        </w:rPr>
        <w:t xml:space="preserve"> át a közfeladatoktól.</w:t>
      </w:r>
      <w:r>
        <w:rPr>
          <w:szCs w:val="24"/>
        </w:rPr>
        <w:t xml:space="preserve"> A vállalkozási eredmény az előző évi teljesült nyereséget (4.645 ezer Ft) is csaknem eléri.</w:t>
      </w:r>
      <w:r w:rsidRPr="003D1EAF">
        <w:rPr>
          <w:szCs w:val="24"/>
        </w:rPr>
        <w:t xml:space="preserve"> Az öt lezáruló projekt 2011-ben megjelenő önrész igénye is 7 millió forint töb</w:t>
      </w:r>
      <w:r w:rsidRPr="003D1EAF">
        <w:rPr>
          <w:szCs w:val="24"/>
        </w:rPr>
        <w:t>b</w:t>
      </w:r>
      <w:r w:rsidRPr="003D1EAF">
        <w:rPr>
          <w:szCs w:val="24"/>
        </w:rPr>
        <w:t>letterhet jelentett.</w:t>
      </w:r>
    </w:p>
    <w:p w:rsidR="00AD26D7" w:rsidRPr="002000AD" w:rsidRDefault="00AD26D7" w:rsidP="00AD26D7">
      <w:pPr>
        <w:pStyle w:val="Szvegtrzs"/>
        <w:spacing w:before="120" w:after="120"/>
        <w:rPr>
          <w:b/>
          <w:szCs w:val="24"/>
        </w:rPr>
      </w:pPr>
      <w:r w:rsidRPr="002000AD">
        <w:rPr>
          <w:b/>
          <w:szCs w:val="24"/>
        </w:rPr>
        <w:t>2011. éves kompenzáció mértéke</w:t>
      </w:r>
    </w:p>
    <w:p w:rsidR="00AD26D7" w:rsidRDefault="00AD26D7" w:rsidP="00AD26D7">
      <w:pPr>
        <w:pStyle w:val="Szvegtrzs"/>
      </w:pPr>
      <w:r>
        <w:t>A Fővárosi Önkormányzat és a Társaság között fennálló, (EU előírások szerinti) Közszolgáltat</w:t>
      </w:r>
      <w:r>
        <w:t>á</w:t>
      </w:r>
      <w:r>
        <w:t xml:space="preserve">si Keretszerződés írja elő a fővárosi közfeladatok költségeinek kompenzálását. Ennek értelmében a fenti négy fővárosi közfeladat ellátásának jogos kompenzációja 2011. évre </w:t>
      </w:r>
      <w:r w:rsidRPr="00857F1B">
        <w:rPr>
          <w:b/>
        </w:rPr>
        <w:t>122.317 ezer Ft.</w:t>
      </w:r>
      <w:r>
        <w:t xml:space="preserve"> Ez az előző évi (azonos feladatokra történő fővárosi finanszírozás) 89%-</w:t>
      </w:r>
      <w:proofErr w:type="gramStart"/>
      <w:r>
        <w:t>a.</w:t>
      </w:r>
      <w:proofErr w:type="gramEnd"/>
      <w:r>
        <w:t xml:space="preserve"> </w:t>
      </w:r>
      <w:r w:rsidRPr="003D1EAF">
        <w:t>A</w:t>
      </w:r>
      <w:r w:rsidRPr="003D1EAF">
        <w:rPr>
          <w:szCs w:val="24"/>
        </w:rPr>
        <w:t xml:space="preserve"> működési támogatáson az igen intenzív költségcsökkentés miatt </w:t>
      </w:r>
      <w:r>
        <w:rPr>
          <w:szCs w:val="24"/>
        </w:rPr>
        <w:t>11.178</w:t>
      </w:r>
      <w:r w:rsidRPr="003D1EAF">
        <w:rPr>
          <w:szCs w:val="24"/>
        </w:rPr>
        <w:t xml:space="preserve"> ezer Ft </w:t>
      </w:r>
      <w:proofErr w:type="spellStart"/>
      <w:r w:rsidRPr="003D1EAF">
        <w:rPr>
          <w:szCs w:val="24"/>
        </w:rPr>
        <w:t>túlkompenzáció</w:t>
      </w:r>
      <w:proofErr w:type="spellEnd"/>
      <w:r w:rsidRPr="003D1EAF">
        <w:rPr>
          <w:szCs w:val="24"/>
        </w:rPr>
        <w:t>, a szolgáltatási támog</w:t>
      </w:r>
      <w:r w:rsidRPr="003D1EAF">
        <w:rPr>
          <w:szCs w:val="24"/>
        </w:rPr>
        <w:t>a</w:t>
      </w:r>
      <w:r w:rsidRPr="003D1EAF">
        <w:rPr>
          <w:szCs w:val="24"/>
        </w:rPr>
        <w:t xml:space="preserve">táson viszont </w:t>
      </w:r>
      <w:r>
        <w:rPr>
          <w:szCs w:val="24"/>
        </w:rPr>
        <w:t>17.687</w:t>
      </w:r>
      <w:r w:rsidRPr="003D1EAF">
        <w:rPr>
          <w:szCs w:val="24"/>
        </w:rPr>
        <w:t xml:space="preserve"> ezer Ft </w:t>
      </w:r>
      <w:proofErr w:type="spellStart"/>
      <w:r w:rsidRPr="003D1EAF">
        <w:rPr>
          <w:szCs w:val="24"/>
        </w:rPr>
        <w:t>alulkompenzáció</w:t>
      </w:r>
      <w:proofErr w:type="spellEnd"/>
      <w:r w:rsidRPr="003D1EAF">
        <w:rPr>
          <w:szCs w:val="24"/>
        </w:rPr>
        <w:t xml:space="preserve"> jelentkezik. </w:t>
      </w:r>
    </w:p>
    <w:p w:rsidR="00AD26D7" w:rsidRDefault="00AD26D7" w:rsidP="00AD26D7">
      <w:pPr>
        <w:pStyle w:val="Szvegtrzs"/>
      </w:pPr>
      <w:r>
        <w:t>A Társasággal kötött –1542/2011.(VI.08.) számon elfogadott – 2011. éves közszolgáltatási sze</w:t>
      </w:r>
      <w:r>
        <w:t>r</w:t>
      </w:r>
      <w:r>
        <w:t xml:space="preserve">ződésben szereplő előirányzott kompenzációt a jogos kompenzáció </w:t>
      </w:r>
      <w:r>
        <w:rPr>
          <w:b/>
        </w:rPr>
        <w:t>4.408 ezer Ft-</w:t>
      </w:r>
      <w:r>
        <w:t xml:space="preserve">tal haladja meg (3%). </w:t>
      </w:r>
      <w:r w:rsidRPr="003D1EAF">
        <w:rPr>
          <w:szCs w:val="24"/>
        </w:rPr>
        <w:t xml:space="preserve">Ennek oka elsősorban az </w:t>
      </w:r>
      <w:r>
        <w:rPr>
          <w:szCs w:val="24"/>
        </w:rPr>
        <w:t xml:space="preserve">optimistán tervezett </w:t>
      </w:r>
      <w:r w:rsidRPr="003D1EAF">
        <w:rPr>
          <w:szCs w:val="24"/>
        </w:rPr>
        <w:t xml:space="preserve">üzleti megrendelések </w:t>
      </w:r>
      <w:r>
        <w:rPr>
          <w:szCs w:val="24"/>
        </w:rPr>
        <w:t xml:space="preserve">jelentős </w:t>
      </w:r>
      <w:r w:rsidRPr="003D1EAF">
        <w:rPr>
          <w:szCs w:val="24"/>
        </w:rPr>
        <w:t>elmarad</w:t>
      </w:r>
      <w:r w:rsidRPr="003D1EAF">
        <w:rPr>
          <w:szCs w:val="24"/>
        </w:rPr>
        <w:t>á</w:t>
      </w:r>
      <w:r w:rsidRPr="003D1EAF">
        <w:rPr>
          <w:szCs w:val="24"/>
        </w:rPr>
        <w:t xml:space="preserve">sa, másodsorban projekt önrészek időarányosan magasabb szintje, továbbá a </w:t>
      </w:r>
      <w:r>
        <w:rPr>
          <w:szCs w:val="24"/>
        </w:rPr>
        <w:t>hektikusan változó és jellemzően 4</w:t>
      </w:r>
      <w:r w:rsidRPr="003D1EAF">
        <w:rPr>
          <w:szCs w:val="24"/>
        </w:rPr>
        <w:t xml:space="preserve"> órás közfoglalkoztatás miatti költségtérítés kiesés.</w:t>
      </w:r>
      <w:r>
        <w:rPr>
          <w:szCs w:val="24"/>
        </w:rPr>
        <w:t xml:space="preserve"> </w:t>
      </w:r>
      <w:r>
        <w:t>A jogos kompenzáció szám</w:t>
      </w:r>
      <w:r>
        <w:t>í</w:t>
      </w:r>
      <w:r>
        <w:t xml:space="preserve">tását a 2.3 pontban vezetjük le. </w:t>
      </w:r>
    </w:p>
    <w:p w:rsidR="00AD26D7" w:rsidRDefault="00AD26D7" w:rsidP="00AD26D7">
      <w:pPr>
        <w:pStyle w:val="Szvegtrzs"/>
        <w:spacing w:before="120" w:after="120"/>
        <w:rPr>
          <w:b/>
          <w:szCs w:val="24"/>
        </w:rPr>
      </w:pPr>
      <w:r w:rsidRPr="00A03448">
        <w:rPr>
          <w:b/>
          <w:szCs w:val="24"/>
        </w:rPr>
        <w:t>A társaság pénzügyi helyzete</w:t>
      </w:r>
    </w:p>
    <w:p w:rsidR="00AD26D7" w:rsidRPr="008662CC" w:rsidRDefault="00AD26D7" w:rsidP="00AD26D7">
      <w:pPr>
        <w:pStyle w:val="Szvegtrzs"/>
      </w:pPr>
      <w:r w:rsidRPr="008662CC">
        <w:t>A társaság 2011. évi előzetes (egyeztetés alatt álló) mérleg adatai szerint saját tőkéje 47.357 ezer Ft, melyből jegyzett (törzs) tőke mindössze 10.000 ezer Ft. Mérleg főösszege 89.352 ezer Ft. Követelései 15.681 ezer Ft, pénzeszköze 16.907 ezer forint. Aktív időbeli elhatárolások 34.856 ezer Ft, miközben a passzív időbeli elhatárolásai csak 5.908 ezer Ft. Hosszú lejáratú kötelezet</w:t>
      </w:r>
      <w:r w:rsidRPr="008662CC">
        <w:t>t</w:t>
      </w:r>
      <w:r w:rsidRPr="008662CC">
        <w:t xml:space="preserve">ségek és követelések nincsenek, rövidlejáratú kötelezettséginek összege 33.234 ezer Ft. </w:t>
      </w:r>
    </w:p>
    <w:p w:rsidR="00AD26D7" w:rsidRPr="008662CC" w:rsidRDefault="00AD26D7" w:rsidP="00AD26D7">
      <w:pPr>
        <w:pStyle w:val="Szvegtrzs"/>
        <w:rPr>
          <w:b/>
        </w:rPr>
      </w:pPr>
      <w:r w:rsidRPr="008662CC">
        <w:rPr>
          <w:b/>
        </w:rPr>
        <w:t>Azaz a készpénz állomány hiánya (tőkehiány) mellett, nincs tevékenységet veszélyeztető tényező.</w:t>
      </w:r>
    </w:p>
    <w:p w:rsidR="00AD26D7" w:rsidRDefault="00AD26D7" w:rsidP="00AD26D7">
      <w:pPr>
        <w:pStyle w:val="Szvegtrzs"/>
      </w:pPr>
      <w:r w:rsidRPr="00A03448">
        <w:t xml:space="preserve">A társaság és annak Felügyelő Bizottsága </w:t>
      </w:r>
      <w:r>
        <w:t xml:space="preserve">már </w:t>
      </w:r>
      <w:r w:rsidRPr="00A03448">
        <w:t xml:space="preserve">a 2010. évi üzleti jelentésében jelezte a tulajdonos felé, hogy a havi </w:t>
      </w:r>
      <w:r>
        <w:t>ötven</w:t>
      </w:r>
      <w:r w:rsidRPr="00A03448">
        <w:t>millió forintos pénzforgalmához mérten veszélyesen alacsony a likvid pénz</w:t>
      </w:r>
      <w:r>
        <w:t xml:space="preserve"> állománya</w:t>
      </w:r>
      <w:r w:rsidRPr="00A03448">
        <w:t>. A pál</w:t>
      </w:r>
      <w:r>
        <w:t>yázatok támogatási konstrukciói</w:t>
      </w:r>
      <w:r w:rsidRPr="00A03448">
        <w:t xml:space="preserve"> (utófinanszírozás, hosszú átfutási idő a leadott jelentéseknél)</w:t>
      </w:r>
      <w:r>
        <w:t>, illetve a közfoglalkoztatás utófinanszírozása tartósan 30-50 millió forint kintlévőséget produkál</w:t>
      </w:r>
      <w:r w:rsidRPr="00A03448">
        <w:t xml:space="preserve">. </w:t>
      </w:r>
      <w:r>
        <w:t xml:space="preserve">E veszélyeztetettséget csak részben és bizonytalan módon csökkentette az ERSTE </w:t>
      </w:r>
      <w:proofErr w:type="spellStart"/>
      <w:r>
        <w:t>Bank-nál</w:t>
      </w:r>
      <w:proofErr w:type="spellEnd"/>
      <w:r>
        <w:t xml:space="preserve"> korábban fennálló 29,9 millió Ft készenléti hitel. A társaság működését st</w:t>
      </w:r>
      <w:r>
        <w:t>a</w:t>
      </w:r>
      <w:r>
        <w:t xml:space="preserve">bilizáló </w:t>
      </w:r>
      <w:r w:rsidRPr="00A03448">
        <w:t>megoldás a Társaság alaptőkéjének pénzeszköz formában történő emelése, hiszen a tá</w:t>
      </w:r>
      <w:r w:rsidRPr="00A03448">
        <w:t>r</w:t>
      </w:r>
      <w:r w:rsidRPr="00A03448">
        <w:t xml:space="preserve">saság alaptőkéje 1996 óta 10.000 </w:t>
      </w:r>
      <w:proofErr w:type="spellStart"/>
      <w:r w:rsidRPr="00A03448">
        <w:t>eFt</w:t>
      </w:r>
      <w:proofErr w:type="spellEnd"/>
      <w:r>
        <w:t>.</w:t>
      </w:r>
      <w:r w:rsidRPr="00A03448">
        <w:t xml:space="preserve"> Ezért </w:t>
      </w:r>
      <w:r>
        <w:lastRenderedPageBreak/>
        <w:t>mind az ügyvezetés, mind a társaság Felügyelő B</w:t>
      </w:r>
      <w:r>
        <w:t>i</w:t>
      </w:r>
      <w:r>
        <w:t>zottsága, továbbá 2012. 02.27-i ülésén a Fővárosi Önkormányzat Egészségpolitikai és Szociális Bizottsága felkérte a társaság tulajdonosát</w:t>
      </w:r>
      <w:r w:rsidRPr="00A03448">
        <w:t xml:space="preserve"> e </w:t>
      </w:r>
      <w:r>
        <w:t>krónikus</w:t>
      </w:r>
      <w:r w:rsidRPr="00A03448">
        <w:t xml:space="preserve"> probléma orvoslására. </w:t>
      </w:r>
    </w:p>
    <w:p w:rsidR="00AD26D7" w:rsidRPr="00A03448" w:rsidRDefault="00AD26D7" w:rsidP="00AD26D7">
      <w:pPr>
        <w:pStyle w:val="Szvegtrzs"/>
      </w:pPr>
      <w:r w:rsidRPr="00A03448">
        <w:t xml:space="preserve">A Felügyelő Bizottság </w:t>
      </w:r>
      <w:r>
        <w:t>javasolta</w:t>
      </w:r>
      <w:r w:rsidRPr="00A03448">
        <w:t xml:space="preserve"> tulajdonos felé, hogy hagyja jóvá a társaság </w:t>
      </w:r>
      <w:r>
        <w:t>törzstőkéjének 40.000 ezer Ft-os, készpénzben történő megemelését</w:t>
      </w:r>
      <w:r w:rsidRPr="00A03448">
        <w:t xml:space="preserve">. </w:t>
      </w:r>
    </w:p>
    <w:p w:rsidR="00AD26D7" w:rsidRPr="0094456D" w:rsidRDefault="00AD26D7" w:rsidP="00AD26D7">
      <w:pPr>
        <w:pStyle w:val="Cmsor2"/>
      </w:pPr>
      <w:bookmarkStart w:id="8" w:name="_Toc289616985"/>
      <w:bookmarkStart w:id="9" w:name="_Toc320784657"/>
      <w:r w:rsidRPr="0094456D">
        <w:t>Ügyvezetés</w:t>
      </w:r>
      <w:bookmarkEnd w:id="8"/>
      <w:bookmarkEnd w:id="9"/>
    </w:p>
    <w:bookmarkEnd w:id="2"/>
    <w:bookmarkEnd w:id="3"/>
    <w:bookmarkEnd w:id="4"/>
    <w:bookmarkEnd w:id="5"/>
    <w:p w:rsidR="00AD26D7" w:rsidRDefault="00AD26D7" w:rsidP="00AD26D7">
      <w:pPr>
        <w:jc w:val="both"/>
      </w:pPr>
      <w:r>
        <w:t>A Társaság igazgatását az erőforrások fejlesztése tükrében mutatjuk be. A Társaság erőforrásait – a pénzügyi bázison túl – alapvetően a személyi, a technikai erőforrások és a szervezeti strukt</w:t>
      </w:r>
      <w:r>
        <w:t>ú</w:t>
      </w:r>
      <w:r>
        <w:t xml:space="preserve">ra, valamint a piaci erőforrások (azaz presztízs) adják. E területek gondozása, fejlesztése jelenti a Társaság legnagyobb tőkéjét, ezek biztosítják a hosszú távú fenntarthatóság bázisát. </w:t>
      </w:r>
    </w:p>
    <w:p w:rsidR="00AD26D7" w:rsidRPr="0094456D" w:rsidRDefault="00AD26D7" w:rsidP="00AD26D7">
      <w:pPr>
        <w:pStyle w:val="StlusCmsor311pt"/>
      </w:pPr>
      <w:bookmarkStart w:id="10" w:name="_Toc475002469"/>
      <w:bookmarkStart w:id="11" w:name="_Toc475002588"/>
      <w:bookmarkStart w:id="12" w:name="_Toc475161570"/>
      <w:bookmarkStart w:id="13" w:name="_Toc507837136"/>
      <w:bookmarkStart w:id="14" w:name="_Toc66253208"/>
      <w:bookmarkStart w:id="15" w:name="_Toc289616986"/>
      <w:bookmarkStart w:id="16" w:name="_Toc320784658"/>
      <w:r w:rsidRPr="0094456D">
        <w:t>Humán erőforrások</w:t>
      </w:r>
      <w:bookmarkEnd w:id="10"/>
      <w:bookmarkEnd w:id="11"/>
      <w:bookmarkEnd w:id="12"/>
      <w:bookmarkEnd w:id="13"/>
      <w:bookmarkEnd w:id="14"/>
      <w:bookmarkEnd w:id="15"/>
      <w:bookmarkEnd w:id="16"/>
    </w:p>
    <w:p w:rsidR="00AD26D7" w:rsidRPr="006D39D0" w:rsidRDefault="00AD26D7" w:rsidP="00AD26D7">
      <w:pPr>
        <w:pStyle w:val="Szvegtrzs2"/>
      </w:pPr>
      <w:r>
        <w:t>E pontban a szervezet stábjának változása kerül bemutatásra, létszámok, bérek, képzések, szervezetfejlesztés szempontjából. A költségmegtakarítás miatt ez évben is közfoglalkozt</w:t>
      </w:r>
      <w:r>
        <w:t>a</w:t>
      </w:r>
      <w:r>
        <w:t>tottak végezték az épület takarítását, a kézbesítést, s a fővárosi gyomtalanítás szezonális cs</w:t>
      </w:r>
      <w:r>
        <w:t>ú</w:t>
      </w:r>
      <w:r>
        <w:t>csaiban is segítettek egyszerűsített foglalkoztatási formában is. A recepciót, porta szolgál</w:t>
      </w:r>
      <w:r>
        <w:t>a</w:t>
      </w:r>
      <w:r>
        <w:t>tot, egyes adminisztratív munkákat szintén erősen támogatott státuszú megváltozott munk</w:t>
      </w:r>
      <w:r>
        <w:t>a</w:t>
      </w:r>
      <w:r>
        <w:t>képességű dolgozók segítik. A munkatársak erőforrásainak hatékonyabb kihasználása érd</w:t>
      </w:r>
      <w:r>
        <w:t>e</w:t>
      </w:r>
      <w:r>
        <w:t xml:space="preserve">kében kilenc munkatárs (munkatanácsadók, kirendeltség vezető, bér, és munkaügyi kolléga), továbbá a FEMI vezetője, a Programiroda vezető, sőt az ügyvezető igazgató is munkaköre ellátása mellett, párhuzamosan projektekben is dolgozott. </w:t>
      </w:r>
      <w:r w:rsidRPr="006D39D0">
        <w:t>A közfoglalkoztatás</w:t>
      </w:r>
      <w:r>
        <w:t>-</w:t>
      </w:r>
      <w:r w:rsidRPr="006D39D0">
        <w:t>szerve</w:t>
      </w:r>
      <w:r>
        <w:t>zés adminisztratív munkáinak segítésére 6</w:t>
      </w:r>
      <w:r w:rsidRPr="006D39D0">
        <w:t xml:space="preserve"> fő közfoglalkoztatás</w:t>
      </w:r>
      <w:r>
        <w:t>-</w:t>
      </w:r>
      <w:r w:rsidRPr="006D39D0">
        <w:t xml:space="preserve">szervezői státusz támogatását </w:t>
      </w:r>
      <w:r>
        <w:t>továbbra is elnyertü</w:t>
      </w:r>
      <w:r w:rsidRPr="006D39D0">
        <w:t>k</w:t>
      </w:r>
      <w:r>
        <w:t>, bár</w:t>
      </w:r>
      <w:r w:rsidRPr="006D39D0">
        <w:t xml:space="preserve"> </w:t>
      </w:r>
      <w:r>
        <w:t>a</w:t>
      </w:r>
      <w:r w:rsidRPr="006D39D0">
        <w:t>lapbérüket 201</w:t>
      </w:r>
      <w:r>
        <w:t>1</w:t>
      </w:r>
      <w:r w:rsidRPr="006D39D0">
        <w:t>-ben</w:t>
      </w:r>
      <w:r>
        <w:t xml:space="preserve"> </w:t>
      </w:r>
      <w:r w:rsidRPr="006D39D0">
        <w:t>a</w:t>
      </w:r>
      <w:r>
        <w:t>z</w:t>
      </w:r>
      <w:r w:rsidRPr="006D39D0">
        <w:t xml:space="preserve"> </w:t>
      </w:r>
      <w:r>
        <w:t>OFA</w:t>
      </w:r>
      <w:r w:rsidRPr="006D39D0">
        <w:t xml:space="preserve"> </w:t>
      </w:r>
      <w:r>
        <w:t xml:space="preserve">már </w:t>
      </w:r>
      <w:r w:rsidRPr="006D39D0">
        <w:t xml:space="preserve">csak </w:t>
      </w:r>
      <w:r>
        <w:t>6 hónapra</w:t>
      </w:r>
      <w:r w:rsidRPr="006D39D0">
        <w:t xml:space="preserve"> </w:t>
      </w:r>
      <w:r>
        <w:t xml:space="preserve">és csak </w:t>
      </w:r>
      <w:r w:rsidRPr="006D39D0">
        <w:t xml:space="preserve">70%-ban finanszírozta. </w:t>
      </w:r>
    </w:p>
    <w:p w:rsidR="00AD26D7" w:rsidRPr="007E7158" w:rsidRDefault="00AD26D7" w:rsidP="00AD26D7">
      <w:pPr>
        <w:pStyle w:val="Szvegtrzs2"/>
        <w:numPr>
          <w:ilvl w:val="0"/>
          <w:numId w:val="3"/>
        </w:numPr>
        <w:tabs>
          <w:tab w:val="clear" w:pos="785"/>
          <w:tab w:val="num" w:pos="851"/>
        </w:tabs>
        <w:ind w:left="851" w:hanging="425"/>
        <w:rPr>
          <w:szCs w:val="24"/>
        </w:rPr>
      </w:pPr>
      <w:r w:rsidRPr="007E7158">
        <w:rPr>
          <w:kern w:val="28"/>
          <w:szCs w:val="24"/>
          <w:u w:val="single"/>
        </w:rPr>
        <w:t>Státuszok:</w:t>
      </w:r>
      <w:r w:rsidRPr="007E7158">
        <w:rPr>
          <w:kern w:val="28"/>
          <w:szCs w:val="24"/>
        </w:rPr>
        <w:t xml:space="preserve"> </w:t>
      </w:r>
      <w:r>
        <w:rPr>
          <w:kern w:val="28"/>
          <w:szCs w:val="24"/>
        </w:rPr>
        <w:t>az évet</w:t>
      </w:r>
      <w:r w:rsidRPr="007E7158">
        <w:rPr>
          <w:kern w:val="28"/>
          <w:szCs w:val="24"/>
        </w:rPr>
        <w:t xml:space="preserve"> a nem</w:t>
      </w:r>
      <w:r>
        <w:rPr>
          <w:kern w:val="28"/>
          <w:szCs w:val="24"/>
        </w:rPr>
        <w:t xml:space="preserve"> támogatott állományi létszámban (stáb)</w:t>
      </w:r>
      <w:r w:rsidRPr="007E7158">
        <w:rPr>
          <w:kern w:val="28"/>
          <w:szCs w:val="24"/>
        </w:rPr>
        <w:t xml:space="preserve"> </w:t>
      </w:r>
      <w:r w:rsidRPr="00D143AD">
        <w:rPr>
          <w:kern w:val="28"/>
          <w:szCs w:val="24"/>
        </w:rPr>
        <w:t>56 fős</w:t>
      </w:r>
      <w:r w:rsidRPr="007E7158">
        <w:rPr>
          <w:kern w:val="28"/>
          <w:szCs w:val="24"/>
        </w:rPr>
        <w:t xml:space="preserve"> munkajogi lé</w:t>
      </w:r>
      <w:r w:rsidRPr="007E7158">
        <w:rPr>
          <w:kern w:val="28"/>
          <w:szCs w:val="24"/>
        </w:rPr>
        <w:t>t</w:t>
      </w:r>
      <w:r w:rsidRPr="007E7158">
        <w:rPr>
          <w:kern w:val="28"/>
          <w:szCs w:val="24"/>
        </w:rPr>
        <w:t>szám</w:t>
      </w:r>
      <w:r>
        <w:rPr>
          <w:kern w:val="28"/>
          <w:szCs w:val="24"/>
        </w:rPr>
        <w:t>mal</w:t>
      </w:r>
      <w:r w:rsidRPr="007E7158">
        <w:rPr>
          <w:kern w:val="28"/>
          <w:szCs w:val="24"/>
        </w:rPr>
        <w:t xml:space="preserve"> nyi</w:t>
      </w:r>
      <w:r>
        <w:rPr>
          <w:kern w:val="28"/>
          <w:szCs w:val="24"/>
        </w:rPr>
        <w:t xml:space="preserve">tottuk, s 47 fős létszámmal zártunk. Összesen </w:t>
      </w:r>
      <w:r w:rsidRPr="00D143AD">
        <w:rPr>
          <w:kern w:val="28"/>
          <w:szCs w:val="24"/>
        </w:rPr>
        <w:t>19 fő</w:t>
      </w:r>
      <w:r>
        <w:rPr>
          <w:kern w:val="28"/>
          <w:szCs w:val="24"/>
        </w:rPr>
        <w:t xml:space="preserve"> kilépőnk és </w:t>
      </w:r>
      <w:r w:rsidRPr="00D143AD">
        <w:rPr>
          <w:kern w:val="28"/>
          <w:szCs w:val="24"/>
        </w:rPr>
        <w:t>10</w:t>
      </w:r>
      <w:r>
        <w:rPr>
          <w:kern w:val="28"/>
          <w:szCs w:val="24"/>
        </w:rPr>
        <w:t xml:space="preserve"> fő új b</w:t>
      </w:r>
      <w:r>
        <w:rPr>
          <w:kern w:val="28"/>
          <w:szCs w:val="24"/>
        </w:rPr>
        <w:t>e</w:t>
      </w:r>
      <w:r>
        <w:rPr>
          <w:kern w:val="28"/>
          <w:szCs w:val="24"/>
        </w:rPr>
        <w:t>lépőnk volt. Projektek kifutása miatt 8 főtől kellett elbúcsúztunk, új projekt feladatokra 5 főt vettünk fel. Minőségi csere 4 státuszon volt. Kerületi kirendeltségek leépítése m</w:t>
      </w:r>
      <w:r>
        <w:rPr>
          <w:kern w:val="28"/>
          <w:szCs w:val="24"/>
        </w:rPr>
        <w:t>i</w:t>
      </w:r>
      <w:r>
        <w:rPr>
          <w:kern w:val="28"/>
          <w:szCs w:val="24"/>
        </w:rPr>
        <w:t xml:space="preserve">att 2 főt küldtünk el, a központi titkárság további 2 fővel szűkült, a </w:t>
      </w:r>
      <w:proofErr w:type="spellStart"/>
      <w:r>
        <w:rPr>
          <w:kern w:val="28"/>
          <w:szCs w:val="24"/>
        </w:rPr>
        <w:t>környezethigiénés</w:t>
      </w:r>
      <w:proofErr w:type="spellEnd"/>
      <w:r>
        <w:rPr>
          <w:kern w:val="28"/>
          <w:szCs w:val="24"/>
        </w:rPr>
        <w:t xml:space="preserve"> üzleti szolgáltatás szintén további 2 fővel csökkent. A </w:t>
      </w:r>
      <w:proofErr w:type="spellStart"/>
      <w:r>
        <w:rPr>
          <w:kern w:val="28"/>
          <w:szCs w:val="24"/>
        </w:rPr>
        <w:t>GYES-re</w:t>
      </w:r>
      <w:proofErr w:type="spellEnd"/>
      <w:r>
        <w:rPr>
          <w:kern w:val="28"/>
          <w:szCs w:val="24"/>
        </w:rPr>
        <w:t xml:space="preserve"> menő 2 fő helyére sem vettünk fel új dolgozót. </w:t>
      </w:r>
      <w:r>
        <w:t xml:space="preserve">A záró létszám 47 fő, közülük 27 fő felsőfokú, 14 </w:t>
      </w:r>
      <w:r w:rsidRPr="00357138">
        <w:t>f</w:t>
      </w:r>
      <w:r>
        <w:t>ő középfokú és 6 fő alapfokú végzettségű.</w:t>
      </w:r>
    </w:p>
    <w:p w:rsidR="00AD26D7" w:rsidRDefault="00AD26D7" w:rsidP="00AD26D7">
      <w:pPr>
        <w:pStyle w:val="Szvegtrzs2"/>
        <w:widowControl/>
        <w:numPr>
          <w:ilvl w:val="0"/>
          <w:numId w:val="3"/>
        </w:numPr>
      </w:pPr>
      <w:bookmarkStart w:id="17" w:name="_Toc130724471"/>
      <w:bookmarkStart w:id="18" w:name="_Toc130725461"/>
      <w:bookmarkStart w:id="19" w:name="_Toc131216900"/>
      <w:bookmarkStart w:id="20" w:name="_Toc131817768"/>
      <w:bookmarkStart w:id="21" w:name="_Toc131990197"/>
      <w:bookmarkStart w:id="22" w:name="_Toc131993902"/>
      <w:bookmarkStart w:id="23" w:name="_Toc131994032"/>
      <w:bookmarkStart w:id="24" w:name="_Toc131994302"/>
      <w:bookmarkStart w:id="25" w:name="_Toc131994618"/>
      <w:bookmarkStart w:id="26" w:name="_Toc132002100"/>
      <w:bookmarkStart w:id="27" w:name="_Toc133118659"/>
      <w:bookmarkStart w:id="28" w:name="_Toc133121808"/>
      <w:bookmarkStart w:id="29" w:name="_Toc133125746"/>
      <w:bookmarkStart w:id="30" w:name="_Toc133125797"/>
      <w:bookmarkStart w:id="31" w:name="_Toc133125900"/>
      <w:bookmarkStart w:id="32" w:name="_Toc133126180"/>
      <w:bookmarkStart w:id="33" w:name="_Toc133126591"/>
      <w:bookmarkStart w:id="34" w:name="_Toc133127792"/>
      <w:bookmarkStart w:id="35" w:name="_Toc133127846"/>
      <w:bookmarkStart w:id="36" w:name="_Toc133128008"/>
      <w:bookmarkStart w:id="37" w:name="_Toc133128062"/>
      <w:bookmarkStart w:id="38" w:name="_Toc133139080"/>
      <w:bookmarkStart w:id="39" w:name="_Toc133139438"/>
      <w:bookmarkStart w:id="40" w:name="_Toc475002470"/>
      <w:bookmarkStart w:id="41" w:name="_Toc475002589"/>
      <w:bookmarkStart w:id="42" w:name="_Toc475161571"/>
      <w:bookmarkStart w:id="43" w:name="_Toc507837137"/>
      <w:bookmarkStart w:id="44" w:name="_Toc193594409"/>
      <w:bookmarkStart w:id="45" w:name="_Toc289616987"/>
      <w:bookmarkStart w:id="46" w:name="_Toc66253209"/>
      <w:bookmarkStart w:id="47" w:name="_Toc35355145"/>
      <w:bookmarkStart w:id="48" w:name="_Toc475002477"/>
      <w:bookmarkStart w:id="49" w:name="_Toc475002596"/>
      <w:bookmarkStart w:id="50" w:name="_Toc47516157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u w:val="single"/>
        </w:rPr>
        <w:t>Bérek:</w:t>
      </w:r>
      <w:r>
        <w:t xml:space="preserve"> a társaság 2011. évre béremelést nem hajtott végre. A korábbi években mindig meglévő, az alapbért kiegészítő, teljesítményarányos féléves jutalmak (a 13. havi fizetés helyett) már teljesen elmaradtak. A </w:t>
      </w:r>
      <w:proofErr w:type="gramStart"/>
      <w:r>
        <w:t>stáb különböző</w:t>
      </w:r>
      <w:proofErr w:type="gramEnd"/>
      <w:r>
        <w:t xml:space="preserve"> csoportjainál az egy főre, egy hóna</w:t>
      </w:r>
      <w:r>
        <w:t>p</w:t>
      </w:r>
      <w:r>
        <w:t xml:space="preserve">ra vetített átlagkereset eltérő szinten jelentkezett, azonban mindenhol 5-10%-os </w:t>
      </w:r>
      <w:proofErr w:type="spellStart"/>
      <w:r>
        <w:t>nominál</w:t>
      </w:r>
      <w:proofErr w:type="spellEnd"/>
      <w:r>
        <w:t xml:space="preserve"> bér visszaesés jelentkezett. Az átlagbérek a szellemi dolgozók állományán belül a Mu</w:t>
      </w:r>
      <w:r>
        <w:t>n</w:t>
      </w:r>
      <w:r>
        <w:t xml:space="preserve">kaügyi Szolgálat dolgozói átlagjövedelme bruttó 239.678,- Ft (a gazdasági igazgatóval), a Foglalkoztatási Szolgálat dolgozóinál 152.801,- Ft (a kirendeltségekkel), a FEMI és Programiroda dolgozói esetében 264.429,- Ft, a titkárság dolgozónak átlag bére pedig 176.796,- Ft (ügyvezető nélkül). A fizikai állományú üzleti tevékenységben résztvevők egy hónapra vetített átlagkeresete 98.844,- Ft volt. </w:t>
      </w:r>
    </w:p>
    <w:p w:rsidR="00AD26D7" w:rsidRDefault="00AD26D7" w:rsidP="00AD26D7">
      <w:pPr>
        <w:pStyle w:val="Szvegtrzs2"/>
        <w:widowControl/>
        <w:ind w:left="785"/>
      </w:pPr>
      <w:r>
        <w:t>A fentiek ellenére, a dolgozók aktivitása, a közös cél iránti elkötelezettsége és csapa</w:t>
      </w:r>
      <w:r>
        <w:t>t</w:t>
      </w:r>
      <w:r>
        <w:t xml:space="preserve">szelleme, lojalitása változatlan. Ezt a szerény körülmények között megrendezett </w:t>
      </w:r>
      <w:r>
        <w:lastRenderedPageBreak/>
        <w:t>„15 éves a Budapest Esély” bensőséges rendezvény hangulata is sugározta, melyen régi és új munkatársak együtt „csapatépítettek”.</w:t>
      </w:r>
    </w:p>
    <w:p w:rsidR="00AD26D7" w:rsidRDefault="00AD26D7" w:rsidP="00AD26D7">
      <w:pPr>
        <w:pStyle w:val="Szvegtrzs2"/>
        <w:widowControl/>
        <w:numPr>
          <w:ilvl w:val="0"/>
          <w:numId w:val="3"/>
        </w:numPr>
      </w:pPr>
      <w:r>
        <w:rPr>
          <w:u w:val="single"/>
        </w:rPr>
        <w:t>Szervezetfejlesztés</w:t>
      </w:r>
      <w:r>
        <w:t xml:space="preserve"> belső továbbképzés és szervezet fejlesztés az 5 új és más egységről átcsoportosított szolgáltatási csoport munkatársait célozta. A társaság 15 éves </w:t>
      </w:r>
      <w:proofErr w:type="gramStart"/>
      <w:r>
        <w:t>születé</w:t>
      </w:r>
      <w:r>
        <w:t>s</w:t>
      </w:r>
      <w:r>
        <w:t>napját</w:t>
      </w:r>
      <w:proofErr w:type="gramEnd"/>
      <w:r>
        <w:t xml:space="preserve"> a régi kollégákat is meghívva, a </w:t>
      </w:r>
      <w:proofErr w:type="spellStart"/>
      <w:r>
        <w:t>Kopaszi</w:t>
      </w:r>
      <w:proofErr w:type="spellEnd"/>
      <w:r>
        <w:t xml:space="preserve"> gáton szervezett alkotónappal és közös „totem oszlop” felállításával emlékeztünk a korábbi utakra, pihenőkre és viharokra. M</w:t>
      </w:r>
      <w:r>
        <w:t>á</w:t>
      </w:r>
      <w:r>
        <w:t>sik hagyományunk az évről évre megrendezésre kerülő karácsonyi vacsora, mely ez é</w:t>
      </w:r>
      <w:r>
        <w:t>v</w:t>
      </w:r>
      <w:r>
        <w:t xml:space="preserve">ben is meleg hangú, összetartó erejű volt. </w:t>
      </w:r>
    </w:p>
    <w:p w:rsidR="00AD26D7" w:rsidRPr="002C2032" w:rsidRDefault="00AD26D7" w:rsidP="00AD26D7">
      <w:pPr>
        <w:pStyle w:val="StlusCmsor311pt"/>
      </w:pPr>
      <w:bookmarkStart w:id="51" w:name="_Toc320784659"/>
      <w:r>
        <w:t>Infrastruktúra</w:t>
      </w:r>
      <w:r w:rsidRPr="002C2032">
        <w:t xml:space="preserve"> fejlesztése</w:t>
      </w:r>
      <w:bookmarkEnd w:id="40"/>
      <w:bookmarkEnd w:id="41"/>
      <w:bookmarkEnd w:id="42"/>
      <w:bookmarkEnd w:id="43"/>
      <w:bookmarkEnd w:id="44"/>
      <w:bookmarkEnd w:id="45"/>
      <w:bookmarkEnd w:id="51"/>
      <w:r w:rsidRPr="002C2032">
        <w:t xml:space="preserve"> </w:t>
      </w:r>
      <w:bookmarkEnd w:id="46"/>
    </w:p>
    <w:p w:rsidR="00AD26D7" w:rsidRPr="008662CC" w:rsidRDefault="00AD26D7" w:rsidP="00AD26D7">
      <w:pPr>
        <w:pStyle w:val="Listaszerbekezds"/>
        <w:numPr>
          <w:ilvl w:val="0"/>
          <w:numId w:val="16"/>
        </w:numPr>
        <w:jc w:val="both"/>
      </w:pPr>
      <w:r w:rsidRPr="008662CC">
        <w:t xml:space="preserve">A Társaság 2011-ben csak az alapvető működés biztonságának fenntartásához szükséges beszerzéseket végezte. 860 </w:t>
      </w:r>
      <w:proofErr w:type="spellStart"/>
      <w:r w:rsidRPr="008662CC">
        <w:t>eFt</w:t>
      </w:r>
      <w:proofErr w:type="spellEnd"/>
      <w:r w:rsidRPr="008662CC">
        <w:t xml:space="preserve"> értékben vásárolt tárgyi eszközöket és 1.431 </w:t>
      </w:r>
      <w:proofErr w:type="spellStart"/>
      <w:r w:rsidRPr="008662CC">
        <w:t>eFt</w:t>
      </w:r>
      <w:proofErr w:type="spellEnd"/>
      <w:r w:rsidRPr="008662CC">
        <w:t xml:space="preserve"> értékben immateriális javakat. Az immateriális javak a napi munkavégzéshez használt progra</w:t>
      </w:r>
      <w:r w:rsidRPr="008662CC">
        <w:t>m</w:t>
      </w:r>
      <w:r w:rsidRPr="008662CC">
        <w:t>csomagok frissítése, vírusvédelemmel való ellátása. 2011-ben csaknem 50 számító</w:t>
      </w:r>
      <w:r>
        <w:t>g</w:t>
      </w:r>
      <w:r w:rsidRPr="008662CC">
        <w:t>é</w:t>
      </w:r>
      <w:r w:rsidRPr="008662CC">
        <w:t>p</w:t>
      </w:r>
      <w:r w:rsidRPr="008662CC">
        <w:t>pel, a 3 központi és 4 egyedi nyomtatóval, három, megszakítás-biztos szerverrel felsz</w:t>
      </w:r>
      <w:r w:rsidRPr="008662CC">
        <w:t>e</w:t>
      </w:r>
      <w:r w:rsidRPr="008662CC">
        <w:t xml:space="preserve">relt hálózat továbbra is professzionális és rendszerszintű karbantartást igényelt. </w:t>
      </w:r>
    </w:p>
    <w:p w:rsidR="00AD26D7" w:rsidRDefault="00AD26D7" w:rsidP="00AD26D7">
      <w:pPr>
        <w:pStyle w:val="StlusCmsor311pt"/>
      </w:pPr>
      <w:bookmarkStart w:id="52" w:name="_Toc289616988"/>
      <w:bookmarkStart w:id="53" w:name="_Toc320784660"/>
      <w:r>
        <w:t>Függőben lévő jogügyek</w:t>
      </w:r>
      <w:bookmarkEnd w:id="52"/>
      <w:bookmarkEnd w:id="53"/>
    </w:p>
    <w:p w:rsidR="00AD26D7" w:rsidRPr="00541617" w:rsidRDefault="00AD26D7" w:rsidP="00AD26D7">
      <w:pPr>
        <w:pStyle w:val="Listaszerbekezds"/>
        <w:numPr>
          <w:ilvl w:val="0"/>
          <w:numId w:val="8"/>
        </w:numPr>
        <w:rPr>
          <w:szCs w:val="24"/>
        </w:rPr>
      </w:pPr>
      <w:r w:rsidRPr="00541617">
        <w:rPr>
          <w:color w:val="000000"/>
          <w:szCs w:val="24"/>
        </w:rPr>
        <w:t xml:space="preserve">Elhatárolásra </w:t>
      </w:r>
      <w:r w:rsidRPr="008662CC">
        <w:rPr>
          <w:color w:val="000000"/>
          <w:szCs w:val="24"/>
        </w:rPr>
        <w:t>került 1.888.396 Ft egy</w:t>
      </w:r>
      <w:r w:rsidRPr="00541617">
        <w:rPr>
          <w:color w:val="000000"/>
          <w:szCs w:val="24"/>
        </w:rPr>
        <w:t xml:space="preserve"> munkavállaló munkaügyi kártérítése tárgyában i</w:t>
      </w:r>
      <w:r w:rsidRPr="00541617">
        <w:rPr>
          <w:color w:val="000000"/>
          <w:szCs w:val="24"/>
        </w:rPr>
        <w:t>n</w:t>
      </w:r>
      <w:r w:rsidRPr="00541617">
        <w:rPr>
          <w:color w:val="000000"/>
          <w:szCs w:val="24"/>
        </w:rPr>
        <w:t xml:space="preserve">dított per miatt. A </w:t>
      </w:r>
      <w:r w:rsidRPr="00541617">
        <w:rPr>
          <w:szCs w:val="24"/>
        </w:rPr>
        <w:t>Fővárosi Munkaügyi Bíróság 7</w:t>
      </w:r>
      <w:proofErr w:type="gramStart"/>
      <w:r w:rsidRPr="00541617">
        <w:rPr>
          <w:szCs w:val="24"/>
        </w:rPr>
        <w:t>.M.</w:t>
      </w:r>
      <w:proofErr w:type="gramEnd"/>
      <w:r w:rsidRPr="00541617">
        <w:rPr>
          <w:szCs w:val="24"/>
        </w:rPr>
        <w:t>766/2010 számon nyilvántartott perben – munkaviszony megszüntetésére irányuló megállapodás érvénytelensége miatt – első fokon a fenti összegű munkabér és kártérítés megfizetését írta elő. A felperes a közös megegyezéssel született munkaviszony megszűntetést egy évvel később vitatta, azzal az indokkal,  hogy azt a „főnöke” (kirendeltség vezetője) és nem az ügyvezető írta alá.  Á</w:t>
      </w:r>
      <w:r w:rsidRPr="00541617">
        <w:rPr>
          <w:szCs w:val="24"/>
        </w:rPr>
        <w:t>l</w:t>
      </w:r>
      <w:r w:rsidRPr="00541617">
        <w:rPr>
          <w:szCs w:val="24"/>
        </w:rPr>
        <w:t xml:space="preserve">láspontunk szerint az ítélet több szempontból sem </w:t>
      </w:r>
      <w:r w:rsidRPr="00541617">
        <w:rPr>
          <w:color w:val="000000"/>
          <w:szCs w:val="24"/>
        </w:rPr>
        <w:t>jogszerűen</w:t>
      </w:r>
      <w:r w:rsidRPr="00541617">
        <w:rPr>
          <w:szCs w:val="24"/>
        </w:rPr>
        <w:t xml:space="preserve"> megalapozott, ennek igaz</w:t>
      </w:r>
      <w:r w:rsidRPr="00541617">
        <w:rPr>
          <w:szCs w:val="24"/>
        </w:rPr>
        <w:t>o</w:t>
      </w:r>
      <w:r w:rsidRPr="00541617">
        <w:rPr>
          <w:szCs w:val="24"/>
        </w:rPr>
        <w:t>lására a per során nem kaptunk lehetőséget. Ezért fellebbezünk, a következő tárgyalási nap 2012. június.</w:t>
      </w:r>
    </w:p>
    <w:p w:rsidR="00AD26D7" w:rsidRPr="00481144" w:rsidRDefault="00AD26D7" w:rsidP="00AD26D7">
      <w:pPr>
        <w:pStyle w:val="Listaszerbekezds"/>
        <w:numPr>
          <w:ilvl w:val="0"/>
          <w:numId w:val="8"/>
        </w:numPr>
        <w:rPr>
          <w:szCs w:val="24"/>
        </w:rPr>
      </w:pPr>
      <w:r w:rsidRPr="00481144">
        <w:rPr>
          <w:szCs w:val="24"/>
        </w:rPr>
        <w:t>Csak részben zárult le egy másik munkaügyi per,  melyben egy tartósan munkáját fel nem vevő dolgozó kiléptetésének jogalapját vitatta. A II. rendű felperes keresetét elutasította, az elsőrendű felperes közben elhalálozott, a per 2010.06.1-én félbeszakadt.</w:t>
      </w:r>
    </w:p>
    <w:p w:rsidR="00AD26D7" w:rsidRPr="00481144" w:rsidRDefault="00AD26D7" w:rsidP="00AD26D7">
      <w:pPr>
        <w:pStyle w:val="Listaszerbekezds"/>
        <w:numPr>
          <w:ilvl w:val="0"/>
          <w:numId w:val="8"/>
        </w:numPr>
        <w:rPr>
          <w:szCs w:val="24"/>
        </w:rPr>
      </w:pPr>
      <w:r>
        <w:rPr>
          <w:szCs w:val="24"/>
        </w:rPr>
        <w:t xml:space="preserve">A Társaság egy volt munkavállalójával szemben </w:t>
      </w:r>
      <w:r>
        <w:t>2012. február 20-án fizetési meghagyás kibocsátása iránti kérelmet terjesztettünk elő az illetékes közjegyzőnél. A marasztalás iránti kérelem 218.000,- Ft. tőkére és annak 2009. május 6-tól a kifizetésig terjedő kam</w:t>
      </w:r>
      <w:r>
        <w:t>a</w:t>
      </w:r>
      <w:r>
        <w:t>tai megfizetésére irányul. A marasztalás iránti kérelem jogcíme tanulmányi szerződésből eredő tartozás.</w:t>
      </w:r>
    </w:p>
    <w:p w:rsidR="00AD26D7" w:rsidRPr="0001158F" w:rsidRDefault="00AD26D7" w:rsidP="00AD26D7">
      <w:pPr>
        <w:pStyle w:val="Cmsor2"/>
      </w:pPr>
      <w:bookmarkStart w:id="54" w:name="_Toc130724478"/>
      <w:bookmarkStart w:id="55" w:name="_Toc130725468"/>
      <w:bookmarkStart w:id="56" w:name="_Toc131216907"/>
      <w:bookmarkStart w:id="57" w:name="_Toc131817775"/>
      <w:bookmarkStart w:id="58" w:name="_Toc131990204"/>
      <w:bookmarkStart w:id="59" w:name="_Toc131993909"/>
      <w:bookmarkStart w:id="60" w:name="_Toc131994039"/>
      <w:bookmarkStart w:id="61" w:name="_Toc131994309"/>
      <w:bookmarkStart w:id="62" w:name="_Toc131994625"/>
      <w:bookmarkStart w:id="63" w:name="_Toc132002107"/>
      <w:bookmarkStart w:id="64" w:name="_Toc133118666"/>
      <w:bookmarkStart w:id="65" w:name="_Toc133121815"/>
      <w:bookmarkStart w:id="66" w:name="_Toc133125753"/>
      <w:bookmarkStart w:id="67" w:name="_Toc133125804"/>
      <w:bookmarkStart w:id="68" w:name="_Toc133125907"/>
      <w:bookmarkStart w:id="69" w:name="_Toc133126187"/>
      <w:bookmarkStart w:id="70" w:name="_Toc133126598"/>
      <w:bookmarkStart w:id="71" w:name="_Toc133127799"/>
      <w:bookmarkStart w:id="72" w:name="_Toc133127853"/>
      <w:bookmarkStart w:id="73" w:name="_Toc133128015"/>
      <w:bookmarkStart w:id="74" w:name="_Toc133128069"/>
      <w:bookmarkStart w:id="75" w:name="_Toc133139087"/>
      <w:bookmarkStart w:id="76" w:name="_Toc133139445"/>
      <w:bookmarkStart w:id="77" w:name="_Toc35355151"/>
      <w:bookmarkStart w:id="78" w:name="_Toc289616990"/>
      <w:bookmarkStart w:id="79" w:name="_Toc320784661"/>
      <w:bookmarkEnd w:id="47"/>
      <w:bookmarkEnd w:id="48"/>
      <w:bookmarkEnd w:id="49"/>
      <w:bookmarkEnd w:id="5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01158F">
        <w:t>Az üzleti terv teljesülése</w:t>
      </w:r>
      <w:bookmarkEnd w:id="77"/>
      <w:bookmarkEnd w:id="78"/>
      <w:r>
        <w:t xml:space="preserve"> a fővárosi közfeladatokon</w:t>
      </w:r>
      <w:bookmarkEnd w:id="79"/>
    </w:p>
    <w:p w:rsidR="00AD26D7" w:rsidRDefault="00AD26D7" w:rsidP="00AD26D7">
      <w:pPr>
        <w:pStyle w:val="Szvegtrzs"/>
      </w:pPr>
      <w:r>
        <w:t>A Társaság szakmai beszámolóját részletesen tartalmazta a Fővárosi Közgyűlés által elfogadott „</w:t>
      </w:r>
      <w:proofErr w:type="gramStart"/>
      <w:r>
        <w:t>A</w:t>
      </w:r>
      <w:proofErr w:type="gramEnd"/>
      <w:r>
        <w:t xml:space="preserve"> Budapest Esély Nonprofit Kft. beszámolója 2011. január-szeptemberi tevékenységéről” tá</w:t>
      </w:r>
      <w:r>
        <w:t>r</w:t>
      </w:r>
      <w:r>
        <w:t>gyú dokumentum. A pénzügyi elszámolást az uniós normáknak is megfelelő Közszolgáltatási Keretszerződés által előírt tartalom és szabályok szerint készítettük. Ezen részletes táblázatokat és alátámasztásokat az ábra és szöveggyűjtemény mutatja be. A továbbiakban szakfeladat cs</w:t>
      </w:r>
      <w:r>
        <w:t>o</w:t>
      </w:r>
      <w:r>
        <w:t>portonként kivonatosan mutatjuk be a közfeladatok teljesülésének adatait, a 2010. bázis év tü</w:t>
      </w:r>
      <w:r>
        <w:t>k</w:t>
      </w:r>
      <w:r>
        <w:t>rében, a 2011. tény bevételeket, kiadásokat és azok egyenlegét. A 2011. év az első, amikor a F</w:t>
      </w:r>
      <w:r>
        <w:t>ő</w:t>
      </w:r>
      <w:r>
        <w:t>városi támogatás már az uniós norma szerinti kompenzáció számítás módszerével történik. E</w:t>
      </w:r>
      <w:r>
        <w:t>n</w:t>
      </w:r>
      <w:r>
        <w:t xml:space="preserve">nek megfelelően a 2011. évi </w:t>
      </w:r>
      <w:proofErr w:type="gramStart"/>
      <w:r>
        <w:t>tény számok</w:t>
      </w:r>
      <w:proofErr w:type="gramEnd"/>
      <w:r>
        <w:t xml:space="preserve"> az előirányzott kompenzációt mutatják, amely átutalá</w:t>
      </w:r>
      <w:r>
        <w:t>s</w:t>
      </w:r>
      <w:r>
        <w:t xml:space="preserve">ra került, s a jogos </w:t>
      </w:r>
      <w:r>
        <w:lastRenderedPageBreak/>
        <w:t>kompenzáció levezetését e táblázatokhoz csatolva, szakfeladatonként muta</w:t>
      </w:r>
      <w:r>
        <w:t>t</w:t>
      </w:r>
      <w:r>
        <w:t>juk be.</w:t>
      </w:r>
    </w:p>
    <w:p w:rsidR="00AD26D7" w:rsidRPr="00F4704F" w:rsidRDefault="00AD26D7" w:rsidP="00AD26D7">
      <w:pPr>
        <w:pStyle w:val="StlusCmsor311pt"/>
      </w:pPr>
      <w:bookmarkStart w:id="80" w:name="_Toc130724481"/>
      <w:bookmarkStart w:id="81" w:name="_Toc130725471"/>
      <w:bookmarkStart w:id="82" w:name="_Toc131216910"/>
      <w:bookmarkStart w:id="83" w:name="_Toc131817778"/>
      <w:bookmarkStart w:id="84" w:name="_Toc131990207"/>
      <w:bookmarkStart w:id="85" w:name="_Toc131993912"/>
      <w:bookmarkStart w:id="86" w:name="_Toc131994042"/>
      <w:bookmarkStart w:id="87" w:name="_Toc131994312"/>
      <w:bookmarkStart w:id="88" w:name="_Toc131994628"/>
      <w:bookmarkStart w:id="89" w:name="_Toc132002110"/>
      <w:bookmarkStart w:id="90" w:name="_Toc133118669"/>
      <w:bookmarkStart w:id="91" w:name="_Toc133121818"/>
      <w:bookmarkStart w:id="92" w:name="_Toc133125756"/>
      <w:bookmarkStart w:id="93" w:name="_Toc133125807"/>
      <w:bookmarkStart w:id="94" w:name="_Toc133125910"/>
      <w:bookmarkStart w:id="95" w:name="_Toc133126190"/>
      <w:bookmarkStart w:id="96" w:name="_Toc133126601"/>
      <w:bookmarkStart w:id="97" w:name="_Toc133127802"/>
      <w:bookmarkStart w:id="98" w:name="_Toc133127856"/>
      <w:bookmarkStart w:id="99" w:name="_Toc133128018"/>
      <w:bookmarkStart w:id="100" w:name="_Toc133128072"/>
      <w:bookmarkStart w:id="101" w:name="_Toc133139090"/>
      <w:bookmarkStart w:id="102" w:name="_Toc133139448"/>
      <w:bookmarkStart w:id="103" w:name="_Toc151355619"/>
      <w:bookmarkStart w:id="104" w:name="_Toc289616991"/>
      <w:bookmarkStart w:id="105" w:name="_Toc320784662"/>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F4704F">
        <w:t>A közfoglalkoztatások</w:t>
      </w:r>
      <w:bookmarkEnd w:id="103"/>
      <w:bookmarkEnd w:id="104"/>
      <w:bookmarkEnd w:id="105"/>
    </w:p>
    <w:p w:rsidR="00AD26D7" w:rsidRDefault="00AD26D7" w:rsidP="00AD26D7">
      <w:pPr>
        <w:pStyle w:val="Szvegtrzs2"/>
      </w:pPr>
      <w:r w:rsidRPr="00305149">
        <w:t xml:space="preserve">A </w:t>
      </w:r>
      <w:r>
        <w:t>hajléktalan személyek közfoglalkoztatása, munkába segítése</w:t>
      </w:r>
      <w:r w:rsidRPr="00EA09B6">
        <w:t xml:space="preserve"> </w:t>
      </w:r>
      <w:r>
        <w:t xml:space="preserve">a Fővárosi Önkormányzat közfeladata. </w:t>
      </w:r>
      <w:r w:rsidRPr="000C55CC">
        <w:t xml:space="preserve">A Főpolgármester </w:t>
      </w:r>
      <w:proofErr w:type="gramStart"/>
      <w:r w:rsidRPr="000C55CC">
        <w:t>2010. októberében</w:t>
      </w:r>
      <w:proofErr w:type="gramEnd"/>
      <w:r w:rsidRPr="000C55CC">
        <w:t xml:space="preserve"> indított TÁRSADALMI MEGBÉKÉLÉSI PROGRAM foglalkoztatási részében, egyrészt cél a fővárosi közüzemi vállalatoknál tartós státuszok biztosítása hajléktalan személyek számára, másrészt közfoglalkoztatás szervezés</w:t>
      </w:r>
      <w:r w:rsidRPr="000C55CC">
        <w:t>é</w:t>
      </w:r>
      <w:r w:rsidRPr="000C55CC">
        <w:t>re, továbbá a munkaerő-piaci esélyeik javítására fejlesztő, tanácsadó, közvetítő szolgáltat</w:t>
      </w:r>
      <w:r w:rsidRPr="000C55CC">
        <w:t>á</w:t>
      </w:r>
      <w:r w:rsidRPr="000C55CC">
        <w:t xml:space="preserve">sok szervezése. </w:t>
      </w:r>
      <w:r>
        <w:t xml:space="preserve">A </w:t>
      </w:r>
      <w:r w:rsidRPr="000E66C2">
        <w:t>„Közterület helyett emberibb körülmények” elnevezésű fővárosi hajlékt</w:t>
      </w:r>
      <w:r w:rsidRPr="000E66C2">
        <w:t>a</w:t>
      </w:r>
      <w:r w:rsidRPr="000E66C2">
        <w:t>lan-ellátási koncepciót,</w:t>
      </w:r>
      <w:r>
        <w:t xml:space="preserve"> a Fővárosi Közgyűlés 2150/2011.(07.14.) számon fogadta el. </w:t>
      </w:r>
    </w:p>
    <w:p w:rsidR="00AD26D7" w:rsidRPr="00F4704F" w:rsidRDefault="00AD26D7" w:rsidP="00AD26D7">
      <w:pPr>
        <w:pStyle w:val="Cmsor4"/>
      </w:pPr>
      <w:r w:rsidRPr="00F4704F">
        <w:t>Szakmai teljesítés</w:t>
      </w:r>
    </w:p>
    <w:p w:rsidR="00AD26D7" w:rsidRDefault="00AD26D7" w:rsidP="00AD26D7">
      <w:pPr>
        <w:pStyle w:val="Szvegtrzs2"/>
        <w:ind w:left="785"/>
      </w:pPr>
      <w:r w:rsidRPr="000C55CC">
        <w:t>A közfoglalkoztatás szabályozása 2011. első félévében gyakorlatilag folyamatos átsze</w:t>
      </w:r>
      <w:r w:rsidRPr="000C55CC">
        <w:t>r</w:t>
      </w:r>
      <w:r w:rsidRPr="000C55CC">
        <w:t>vezése</w:t>
      </w:r>
      <w:r>
        <w:t>ke</w:t>
      </w:r>
      <w:r w:rsidRPr="000C55CC">
        <w:t xml:space="preserve">n esik át. </w:t>
      </w:r>
      <w:r>
        <w:t xml:space="preserve">A decemberben központilag leállított közfoglalkoztatásra csak </w:t>
      </w:r>
      <w:r w:rsidRPr="009E0315">
        <w:t>márc</w:t>
      </w:r>
      <w:r w:rsidRPr="009E0315">
        <w:t>i</w:t>
      </w:r>
      <w:r w:rsidRPr="009E0315">
        <w:t>usban</w:t>
      </w:r>
      <w:r>
        <w:t xml:space="preserve"> </w:t>
      </w:r>
      <w:r w:rsidRPr="00FD56AA">
        <w:t>és áprilisban</w:t>
      </w:r>
      <w:r>
        <w:t>, majd júniusban, júliusban</w:t>
      </w:r>
      <w:r w:rsidRPr="00C96B81">
        <w:t xml:space="preserve"> </w:t>
      </w:r>
      <w:r>
        <w:t>lehetett munkaszerződéseket kötni. Az augusztusi újabb jogszabályi módosítás után szeptemberben és még decemberben is k</w:t>
      </w:r>
      <w:r>
        <w:t>i</w:t>
      </w:r>
      <w:r>
        <w:t xml:space="preserve">használtuk az összes támogatási lehetőséget. A támogatott státuszok 84%-a 4 órás és csak 15%-a normál, 8 órás munkaviszonyú volt. A 4 órás munkaviszony havi nettó bére 28.500 Ft. Azért, hogy a hajléktalan </w:t>
      </w:r>
      <w:proofErr w:type="gramStart"/>
      <w:r>
        <w:t>dolgozóink  tudjanak</w:t>
      </w:r>
      <w:proofErr w:type="gramEnd"/>
      <w:r>
        <w:t xml:space="preserve"> más jövedelmet is szerezni, vállaltuk, hogy a részmunkaidőt kétheti 8 órában szervezzük, váltott műszakkal. Ez a többletszervezés mellett, többlet költséget is okozott.</w:t>
      </w:r>
    </w:p>
    <w:p w:rsidR="00AD26D7" w:rsidRDefault="00AD26D7" w:rsidP="00AD26D7">
      <w:pPr>
        <w:pStyle w:val="Szvegtrzs2"/>
        <w:ind w:left="785"/>
      </w:pPr>
      <w:r>
        <w:t xml:space="preserve">A </w:t>
      </w:r>
      <w:r w:rsidRPr="00022D4E">
        <w:t>Budapest Főváros Kormányhivatala Munkaügyi Központja</w:t>
      </w:r>
      <w:r>
        <w:t xml:space="preserve"> (továbbiakban: munkaügyi központ) </w:t>
      </w:r>
      <w:r w:rsidRPr="000C55CC">
        <w:t xml:space="preserve">2.716 </w:t>
      </w:r>
      <w:r>
        <w:t>hajléktalan személyt regisztrált, közülük – jogszabályi korlát miatt – csak 851 fő volt közvetíthető</w:t>
      </w:r>
      <w:r w:rsidRPr="00D85CD4">
        <w:t xml:space="preserve"> </w:t>
      </w:r>
      <w:r>
        <w:t xml:space="preserve">Ennek ellenére az ebből származó ügyfélforgalom </w:t>
      </w:r>
      <w:r w:rsidRPr="00022D4E">
        <w:t xml:space="preserve">az előző évit kétszáz fővel haladta meg. </w:t>
      </w:r>
      <w:r>
        <w:t xml:space="preserve">Közülük </w:t>
      </w:r>
      <w:r w:rsidRPr="00022D4E">
        <w:t>554 fő vállalta</w:t>
      </w:r>
      <w:r>
        <w:t xml:space="preserve"> a rövidebb-hosszabb idejű munkát. Jelentős terhelést okozott a keretek megnyitásának és lezárásának hektikussága. Míg j</w:t>
      </w:r>
      <w:r>
        <w:t>a</w:t>
      </w:r>
      <w:r>
        <w:t>nuár-februárban a munkaügyi központ nem közvetített ügyfelet, májusban és augusztu</w:t>
      </w:r>
      <w:r>
        <w:t>s</w:t>
      </w:r>
      <w:r>
        <w:t>ban 30 főnél kevesebbet, addig márciusban 185 fővel, októberben 152, júliusban 96 f</w:t>
      </w:r>
      <w:r>
        <w:t>ő</w:t>
      </w:r>
      <w:r>
        <w:t>vel kellett dolgoznunk. (A hajléktalan személyek ügyfélforgalmát, munkába lépését, és dolgozói létszámának alakulását havi bontásban az ábra és szöveg gyűjtemény 1. pontja mutatja.)</w:t>
      </w:r>
    </w:p>
    <w:p w:rsidR="00AD26D7" w:rsidRDefault="00AD26D7" w:rsidP="00AD26D7">
      <w:pPr>
        <w:pStyle w:val="Szvegtrzs2"/>
        <w:ind w:left="785"/>
      </w:pPr>
      <w:r>
        <w:t xml:space="preserve">A fentiek miatt, a korábbi éveket jelentősen meghaladó terhelés ellenére is az éves átlag dolgozói létszám csak 99 fős. </w:t>
      </w:r>
    </w:p>
    <w:p w:rsidR="00AD26D7" w:rsidRDefault="00AD26D7" w:rsidP="00AD26D7">
      <w:pPr>
        <w:pStyle w:val="Szvegtrzs2"/>
        <w:ind w:left="785"/>
      </w:pPr>
    </w:p>
    <w:p w:rsidR="00AD26D7" w:rsidRDefault="00AD26D7" w:rsidP="00AD26D7">
      <w:pPr>
        <w:pStyle w:val="Szvegtrzs"/>
        <w:numPr>
          <w:ilvl w:val="1"/>
          <w:numId w:val="8"/>
        </w:numPr>
        <w:tabs>
          <w:tab w:val="clear" w:pos="1440"/>
          <w:tab w:val="num" w:pos="567"/>
        </w:tabs>
        <w:ind w:left="709" w:hanging="283"/>
      </w:pPr>
      <w:r>
        <w:t>számú ábra Fővárosi hajléktalanok közfoglalkoztatása</w:t>
      </w:r>
    </w:p>
    <w:tbl>
      <w:tblPr>
        <w:tblW w:w="8930" w:type="dxa"/>
        <w:tblInd w:w="496" w:type="dxa"/>
        <w:tblCellMar>
          <w:left w:w="70" w:type="dxa"/>
          <w:right w:w="70" w:type="dxa"/>
        </w:tblCellMar>
        <w:tblLook w:val="04A0"/>
      </w:tblPr>
      <w:tblGrid>
        <w:gridCol w:w="3969"/>
        <w:gridCol w:w="708"/>
        <w:gridCol w:w="1560"/>
        <w:gridCol w:w="1275"/>
        <w:gridCol w:w="1418"/>
      </w:tblGrid>
      <w:tr w:rsidR="00AD26D7" w:rsidRPr="00EA5D31" w:rsidTr="00A70C15">
        <w:trPr>
          <w:trHeight w:val="330"/>
        </w:trPr>
        <w:tc>
          <w:tcPr>
            <w:tcW w:w="396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D26D7" w:rsidRPr="00EA5D31" w:rsidRDefault="00AD26D7" w:rsidP="00A70C15">
            <w:pPr>
              <w:rPr>
                <w:b/>
                <w:bCs/>
                <w:szCs w:val="24"/>
              </w:rPr>
            </w:pPr>
            <w:r w:rsidRPr="00EA5D31">
              <w:rPr>
                <w:b/>
                <w:bCs/>
                <w:szCs w:val="24"/>
              </w:rPr>
              <w:t>1. Közfoglalkoztatási Közszolgáltatás</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D26D7" w:rsidRPr="00EA5D31" w:rsidRDefault="00AD26D7" w:rsidP="00A70C15">
            <w:pPr>
              <w:jc w:val="center"/>
              <w:rPr>
                <w:szCs w:val="24"/>
              </w:rPr>
            </w:pPr>
            <w:r w:rsidRPr="00EA5D31">
              <w:rPr>
                <w:szCs w:val="24"/>
              </w:rPr>
              <w:t>M.E. </w:t>
            </w:r>
          </w:p>
        </w:tc>
        <w:tc>
          <w:tcPr>
            <w:tcW w:w="1560" w:type="dxa"/>
            <w:tcBorders>
              <w:top w:val="single" w:sz="8" w:space="0" w:color="auto"/>
              <w:left w:val="nil"/>
              <w:bottom w:val="single" w:sz="8" w:space="0" w:color="auto"/>
              <w:right w:val="single" w:sz="4" w:space="0" w:color="auto"/>
            </w:tcBorders>
            <w:shd w:val="clear" w:color="000000" w:fill="FFFFFF"/>
            <w:vAlign w:val="center"/>
            <w:hideMark/>
          </w:tcPr>
          <w:p w:rsidR="00AD26D7" w:rsidRPr="00EA5D31" w:rsidRDefault="00AD26D7" w:rsidP="00A70C15">
            <w:pPr>
              <w:jc w:val="center"/>
              <w:rPr>
                <w:szCs w:val="24"/>
              </w:rPr>
            </w:pPr>
            <w:r w:rsidRPr="00EA5D31">
              <w:rPr>
                <w:szCs w:val="24"/>
              </w:rPr>
              <w:t xml:space="preserve">2010. tény </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AD26D7" w:rsidRPr="00EA5D31" w:rsidRDefault="00AD26D7" w:rsidP="00A70C15">
            <w:pPr>
              <w:jc w:val="center"/>
              <w:rPr>
                <w:b/>
                <w:bCs/>
                <w:szCs w:val="24"/>
              </w:rPr>
            </w:pPr>
            <w:r w:rsidRPr="00EA5D31">
              <w:rPr>
                <w:b/>
                <w:bCs/>
                <w:szCs w:val="24"/>
              </w:rPr>
              <w:t>2011. tény</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D26D7" w:rsidRPr="00EA5D31" w:rsidRDefault="00AD26D7" w:rsidP="00A70C15">
            <w:pPr>
              <w:jc w:val="center"/>
              <w:rPr>
                <w:rFonts w:ascii="Arial" w:hAnsi="Arial" w:cs="Arial"/>
                <w:color w:val="000000"/>
                <w:sz w:val="20"/>
              </w:rPr>
            </w:pPr>
            <w:r w:rsidRPr="00EA5D31">
              <w:rPr>
                <w:rFonts w:ascii="Arial" w:hAnsi="Arial" w:cs="Arial"/>
                <w:color w:val="000000"/>
                <w:sz w:val="20"/>
              </w:rPr>
              <w:t>2011/2010</w:t>
            </w:r>
          </w:p>
        </w:tc>
      </w:tr>
      <w:tr w:rsidR="00AD26D7" w:rsidRPr="00EA5D31" w:rsidTr="00A70C15">
        <w:trPr>
          <w:trHeight w:val="315"/>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AD26D7" w:rsidRPr="00EA5D31" w:rsidRDefault="00AD26D7" w:rsidP="00A70C15">
            <w:pPr>
              <w:rPr>
                <w:sz w:val="22"/>
                <w:szCs w:val="22"/>
              </w:rPr>
            </w:pPr>
            <w:r>
              <w:rPr>
                <w:sz w:val="22"/>
                <w:szCs w:val="22"/>
              </w:rPr>
              <w:t>a)     </w:t>
            </w:r>
            <w:r w:rsidRPr="00EA5D31">
              <w:rPr>
                <w:sz w:val="22"/>
                <w:szCs w:val="22"/>
              </w:rPr>
              <w:t>Ügyfelek száma:</w:t>
            </w:r>
          </w:p>
        </w:tc>
        <w:tc>
          <w:tcPr>
            <w:tcW w:w="708" w:type="dxa"/>
            <w:tcBorders>
              <w:top w:val="nil"/>
              <w:left w:val="nil"/>
              <w:bottom w:val="single" w:sz="4" w:space="0" w:color="auto"/>
              <w:right w:val="single" w:sz="4" w:space="0" w:color="auto"/>
            </w:tcBorders>
            <w:shd w:val="clear" w:color="auto" w:fill="auto"/>
            <w:vAlign w:val="center"/>
            <w:hideMark/>
          </w:tcPr>
          <w:p w:rsidR="00AD26D7" w:rsidRPr="00EA5D31" w:rsidRDefault="00AD26D7" w:rsidP="00A70C15">
            <w:pPr>
              <w:jc w:val="center"/>
              <w:rPr>
                <w:sz w:val="22"/>
                <w:szCs w:val="22"/>
              </w:rPr>
            </w:pPr>
            <w:r w:rsidRPr="00EA5D31">
              <w:rPr>
                <w:sz w:val="22"/>
                <w:szCs w:val="22"/>
              </w:rPr>
              <w:t>fő</w:t>
            </w:r>
          </w:p>
        </w:tc>
        <w:tc>
          <w:tcPr>
            <w:tcW w:w="1560" w:type="dxa"/>
            <w:tcBorders>
              <w:top w:val="nil"/>
              <w:left w:val="nil"/>
              <w:bottom w:val="single" w:sz="4" w:space="0" w:color="auto"/>
              <w:right w:val="single" w:sz="4" w:space="0" w:color="auto"/>
            </w:tcBorders>
            <w:shd w:val="clear" w:color="auto" w:fill="auto"/>
            <w:vAlign w:val="center"/>
            <w:hideMark/>
          </w:tcPr>
          <w:p w:rsidR="00AD26D7" w:rsidRPr="00EA5D31" w:rsidRDefault="00AD26D7" w:rsidP="00A70C15">
            <w:pPr>
              <w:jc w:val="center"/>
              <w:rPr>
                <w:sz w:val="22"/>
                <w:szCs w:val="22"/>
              </w:rPr>
            </w:pPr>
            <w:r w:rsidRPr="00EA5D31">
              <w:rPr>
                <w:sz w:val="22"/>
                <w:szCs w:val="22"/>
              </w:rPr>
              <w:t>643</w:t>
            </w:r>
          </w:p>
        </w:tc>
        <w:tc>
          <w:tcPr>
            <w:tcW w:w="1275" w:type="dxa"/>
            <w:tcBorders>
              <w:top w:val="nil"/>
              <w:left w:val="nil"/>
              <w:bottom w:val="single" w:sz="4" w:space="0" w:color="auto"/>
              <w:right w:val="single" w:sz="4" w:space="0" w:color="auto"/>
            </w:tcBorders>
            <w:shd w:val="clear" w:color="000000" w:fill="FDE9D9"/>
            <w:vAlign w:val="center"/>
            <w:hideMark/>
          </w:tcPr>
          <w:p w:rsidR="00AD26D7" w:rsidRPr="00EA5D31" w:rsidRDefault="00AD26D7" w:rsidP="00A70C15">
            <w:pPr>
              <w:jc w:val="right"/>
              <w:rPr>
                <w:b/>
                <w:bCs/>
                <w:szCs w:val="24"/>
              </w:rPr>
            </w:pPr>
            <w:r w:rsidRPr="00EA5D31">
              <w:rPr>
                <w:b/>
                <w:bCs/>
                <w:szCs w:val="24"/>
              </w:rPr>
              <w:t>851</w:t>
            </w:r>
          </w:p>
        </w:tc>
        <w:tc>
          <w:tcPr>
            <w:tcW w:w="1418" w:type="dxa"/>
            <w:tcBorders>
              <w:top w:val="nil"/>
              <w:left w:val="nil"/>
              <w:bottom w:val="single" w:sz="4" w:space="0" w:color="auto"/>
              <w:right w:val="single" w:sz="4" w:space="0" w:color="auto"/>
            </w:tcBorders>
            <w:shd w:val="clear" w:color="auto" w:fill="auto"/>
            <w:vAlign w:val="center"/>
            <w:hideMark/>
          </w:tcPr>
          <w:p w:rsidR="00AD26D7" w:rsidRPr="00EA5D31" w:rsidRDefault="00AD26D7" w:rsidP="00A70C15">
            <w:pPr>
              <w:jc w:val="center"/>
              <w:rPr>
                <w:b/>
                <w:bCs/>
                <w:szCs w:val="24"/>
              </w:rPr>
            </w:pPr>
            <w:r w:rsidRPr="00EA5D31">
              <w:rPr>
                <w:b/>
                <w:bCs/>
                <w:szCs w:val="24"/>
              </w:rPr>
              <w:t>132%</w:t>
            </w:r>
          </w:p>
        </w:tc>
      </w:tr>
      <w:tr w:rsidR="00AD26D7" w:rsidRPr="00EA5D31" w:rsidTr="00A70C15">
        <w:trPr>
          <w:trHeight w:val="315"/>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AD26D7" w:rsidRPr="00EA5D31" w:rsidRDefault="00AD26D7" w:rsidP="00A70C15">
            <w:pPr>
              <w:rPr>
                <w:sz w:val="22"/>
                <w:szCs w:val="22"/>
              </w:rPr>
            </w:pPr>
            <w:r>
              <w:rPr>
                <w:sz w:val="22"/>
                <w:szCs w:val="22"/>
              </w:rPr>
              <w:t>b)     </w:t>
            </w:r>
            <w:r w:rsidRPr="00EA5D31">
              <w:rPr>
                <w:sz w:val="22"/>
                <w:szCs w:val="22"/>
              </w:rPr>
              <w:t>Munkaszerződést kötött:</w:t>
            </w:r>
          </w:p>
        </w:tc>
        <w:tc>
          <w:tcPr>
            <w:tcW w:w="708" w:type="dxa"/>
            <w:tcBorders>
              <w:top w:val="nil"/>
              <w:left w:val="nil"/>
              <w:bottom w:val="single" w:sz="4" w:space="0" w:color="auto"/>
              <w:right w:val="single" w:sz="4" w:space="0" w:color="auto"/>
            </w:tcBorders>
            <w:shd w:val="clear" w:color="auto" w:fill="auto"/>
            <w:vAlign w:val="center"/>
            <w:hideMark/>
          </w:tcPr>
          <w:p w:rsidR="00AD26D7" w:rsidRPr="00EA5D31" w:rsidRDefault="00AD26D7" w:rsidP="00A70C15">
            <w:pPr>
              <w:jc w:val="center"/>
              <w:rPr>
                <w:sz w:val="22"/>
                <w:szCs w:val="22"/>
              </w:rPr>
            </w:pPr>
            <w:r w:rsidRPr="00EA5D31">
              <w:rPr>
                <w:sz w:val="22"/>
                <w:szCs w:val="22"/>
              </w:rPr>
              <w:t>fő</w:t>
            </w:r>
          </w:p>
        </w:tc>
        <w:tc>
          <w:tcPr>
            <w:tcW w:w="1560" w:type="dxa"/>
            <w:tcBorders>
              <w:top w:val="nil"/>
              <w:left w:val="nil"/>
              <w:bottom w:val="single" w:sz="4" w:space="0" w:color="auto"/>
              <w:right w:val="single" w:sz="4" w:space="0" w:color="auto"/>
            </w:tcBorders>
            <w:shd w:val="clear" w:color="auto" w:fill="auto"/>
            <w:vAlign w:val="center"/>
            <w:hideMark/>
          </w:tcPr>
          <w:p w:rsidR="00AD26D7" w:rsidRPr="00EA5D31" w:rsidRDefault="00AD26D7" w:rsidP="00A70C15">
            <w:pPr>
              <w:jc w:val="center"/>
              <w:rPr>
                <w:sz w:val="22"/>
                <w:szCs w:val="22"/>
              </w:rPr>
            </w:pPr>
            <w:r w:rsidRPr="00EA5D31">
              <w:rPr>
                <w:sz w:val="22"/>
                <w:szCs w:val="22"/>
              </w:rPr>
              <w:t>356</w:t>
            </w:r>
          </w:p>
        </w:tc>
        <w:tc>
          <w:tcPr>
            <w:tcW w:w="1275" w:type="dxa"/>
            <w:tcBorders>
              <w:top w:val="nil"/>
              <w:left w:val="nil"/>
              <w:bottom w:val="single" w:sz="4" w:space="0" w:color="auto"/>
              <w:right w:val="single" w:sz="4" w:space="0" w:color="auto"/>
            </w:tcBorders>
            <w:shd w:val="clear" w:color="000000" w:fill="FDE9D9"/>
            <w:vAlign w:val="center"/>
            <w:hideMark/>
          </w:tcPr>
          <w:p w:rsidR="00AD26D7" w:rsidRPr="00EA5D31" w:rsidRDefault="00AD26D7" w:rsidP="00A70C15">
            <w:pPr>
              <w:jc w:val="right"/>
              <w:rPr>
                <w:b/>
                <w:bCs/>
                <w:szCs w:val="24"/>
              </w:rPr>
            </w:pPr>
            <w:r w:rsidRPr="00EA5D31">
              <w:rPr>
                <w:b/>
                <w:bCs/>
                <w:szCs w:val="24"/>
              </w:rPr>
              <w:t>554</w:t>
            </w:r>
          </w:p>
        </w:tc>
        <w:tc>
          <w:tcPr>
            <w:tcW w:w="1418" w:type="dxa"/>
            <w:tcBorders>
              <w:top w:val="nil"/>
              <w:left w:val="nil"/>
              <w:bottom w:val="single" w:sz="4" w:space="0" w:color="auto"/>
              <w:right w:val="single" w:sz="4" w:space="0" w:color="auto"/>
            </w:tcBorders>
            <w:shd w:val="clear" w:color="auto" w:fill="auto"/>
            <w:vAlign w:val="center"/>
            <w:hideMark/>
          </w:tcPr>
          <w:p w:rsidR="00AD26D7" w:rsidRPr="00EA5D31" w:rsidRDefault="00AD26D7" w:rsidP="00A70C15">
            <w:pPr>
              <w:jc w:val="center"/>
              <w:rPr>
                <w:b/>
                <w:bCs/>
                <w:szCs w:val="24"/>
              </w:rPr>
            </w:pPr>
            <w:r w:rsidRPr="00EA5D31">
              <w:rPr>
                <w:b/>
                <w:bCs/>
                <w:szCs w:val="24"/>
              </w:rPr>
              <w:t>156%</w:t>
            </w:r>
          </w:p>
        </w:tc>
      </w:tr>
      <w:tr w:rsidR="00AD26D7" w:rsidRPr="00EA5D31" w:rsidTr="00A70C15">
        <w:trPr>
          <w:trHeight w:val="315"/>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AD26D7" w:rsidRPr="00EA5D31" w:rsidRDefault="00AD26D7" w:rsidP="00A70C15">
            <w:pPr>
              <w:rPr>
                <w:sz w:val="22"/>
                <w:szCs w:val="22"/>
              </w:rPr>
            </w:pPr>
            <w:r>
              <w:rPr>
                <w:sz w:val="22"/>
                <w:szCs w:val="22"/>
              </w:rPr>
              <w:t>c)     </w:t>
            </w:r>
            <w:r w:rsidRPr="00EA5D31">
              <w:rPr>
                <w:sz w:val="22"/>
                <w:szCs w:val="22"/>
              </w:rPr>
              <w:t>Átlag dolgozói létszám:</w:t>
            </w:r>
          </w:p>
        </w:tc>
        <w:tc>
          <w:tcPr>
            <w:tcW w:w="708" w:type="dxa"/>
            <w:tcBorders>
              <w:top w:val="nil"/>
              <w:left w:val="nil"/>
              <w:bottom w:val="single" w:sz="4" w:space="0" w:color="auto"/>
              <w:right w:val="single" w:sz="4" w:space="0" w:color="auto"/>
            </w:tcBorders>
            <w:shd w:val="clear" w:color="auto" w:fill="auto"/>
            <w:vAlign w:val="center"/>
            <w:hideMark/>
          </w:tcPr>
          <w:p w:rsidR="00AD26D7" w:rsidRPr="00EA5D31" w:rsidRDefault="00AD26D7" w:rsidP="00A70C15">
            <w:pPr>
              <w:jc w:val="center"/>
              <w:rPr>
                <w:sz w:val="22"/>
                <w:szCs w:val="22"/>
              </w:rPr>
            </w:pPr>
            <w:r w:rsidRPr="00EA5D31">
              <w:rPr>
                <w:sz w:val="22"/>
                <w:szCs w:val="22"/>
              </w:rPr>
              <w:t>fő</w:t>
            </w:r>
          </w:p>
        </w:tc>
        <w:tc>
          <w:tcPr>
            <w:tcW w:w="1560" w:type="dxa"/>
            <w:tcBorders>
              <w:top w:val="nil"/>
              <w:left w:val="nil"/>
              <w:bottom w:val="single" w:sz="4" w:space="0" w:color="auto"/>
              <w:right w:val="single" w:sz="4" w:space="0" w:color="auto"/>
            </w:tcBorders>
            <w:shd w:val="clear" w:color="auto" w:fill="auto"/>
            <w:vAlign w:val="center"/>
            <w:hideMark/>
          </w:tcPr>
          <w:p w:rsidR="00AD26D7" w:rsidRPr="00EA5D31" w:rsidRDefault="00AD26D7" w:rsidP="00A70C15">
            <w:pPr>
              <w:jc w:val="center"/>
              <w:rPr>
                <w:sz w:val="22"/>
                <w:szCs w:val="22"/>
              </w:rPr>
            </w:pPr>
            <w:r w:rsidRPr="00EA5D31">
              <w:rPr>
                <w:sz w:val="22"/>
                <w:szCs w:val="22"/>
              </w:rPr>
              <w:t xml:space="preserve">173 </w:t>
            </w:r>
          </w:p>
        </w:tc>
        <w:tc>
          <w:tcPr>
            <w:tcW w:w="1275" w:type="dxa"/>
            <w:tcBorders>
              <w:top w:val="nil"/>
              <w:left w:val="nil"/>
              <w:bottom w:val="single" w:sz="4" w:space="0" w:color="auto"/>
              <w:right w:val="single" w:sz="4" w:space="0" w:color="auto"/>
            </w:tcBorders>
            <w:shd w:val="clear" w:color="000000" w:fill="FDE9D9"/>
            <w:vAlign w:val="center"/>
            <w:hideMark/>
          </w:tcPr>
          <w:p w:rsidR="00AD26D7" w:rsidRPr="00EA5D31" w:rsidRDefault="00AD26D7" w:rsidP="00A70C15">
            <w:pPr>
              <w:jc w:val="right"/>
              <w:rPr>
                <w:b/>
                <w:bCs/>
                <w:szCs w:val="24"/>
              </w:rPr>
            </w:pPr>
            <w:r>
              <w:rPr>
                <w:b/>
                <w:bCs/>
                <w:szCs w:val="24"/>
              </w:rPr>
              <w:t>99</w:t>
            </w:r>
          </w:p>
        </w:tc>
        <w:tc>
          <w:tcPr>
            <w:tcW w:w="1418" w:type="dxa"/>
            <w:tcBorders>
              <w:top w:val="nil"/>
              <w:left w:val="nil"/>
              <w:bottom w:val="single" w:sz="4" w:space="0" w:color="auto"/>
              <w:right w:val="single" w:sz="4" w:space="0" w:color="auto"/>
            </w:tcBorders>
            <w:shd w:val="clear" w:color="auto" w:fill="auto"/>
            <w:vAlign w:val="center"/>
            <w:hideMark/>
          </w:tcPr>
          <w:p w:rsidR="00AD26D7" w:rsidRPr="00EA5D31" w:rsidRDefault="00AD26D7" w:rsidP="00A70C15">
            <w:pPr>
              <w:jc w:val="center"/>
              <w:rPr>
                <w:b/>
                <w:bCs/>
                <w:szCs w:val="24"/>
              </w:rPr>
            </w:pPr>
            <w:r w:rsidRPr="00EA5D31">
              <w:rPr>
                <w:b/>
                <w:bCs/>
                <w:szCs w:val="24"/>
              </w:rPr>
              <w:t>58%</w:t>
            </w:r>
          </w:p>
        </w:tc>
      </w:tr>
    </w:tbl>
    <w:p w:rsidR="00AD26D7" w:rsidRDefault="00AD26D7" w:rsidP="00AD26D7">
      <w:pPr>
        <w:pStyle w:val="Szvegtrzs"/>
        <w:ind w:left="851"/>
      </w:pPr>
    </w:p>
    <w:p w:rsidR="00AD26D7" w:rsidRDefault="00AD26D7" w:rsidP="00AD26D7">
      <w:pPr>
        <w:pStyle w:val="Szvegtrzs"/>
        <w:ind w:left="993"/>
      </w:pPr>
      <w:r>
        <w:t>A közszolgáltatás teljes mennyiségi paramétereit az ábra és szöveg gyűjtemény 1. e) táblázata mutatja.</w:t>
      </w:r>
    </w:p>
    <w:p w:rsidR="00AD26D7" w:rsidRPr="00736975" w:rsidRDefault="00AD26D7" w:rsidP="00AD26D7">
      <w:pPr>
        <w:pStyle w:val="StlusCmsor4Egalizls14pt"/>
      </w:pPr>
      <w:r w:rsidRPr="00736975">
        <w:t>Pénzügyi teljesítés</w:t>
      </w:r>
    </w:p>
    <w:p w:rsidR="00AD26D7" w:rsidRDefault="00AD26D7" w:rsidP="00AD26D7">
      <w:pPr>
        <w:pStyle w:val="Szvegtrzs"/>
        <w:ind w:left="993"/>
        <w:rPr>
          <w:color w:val="000000"/>
          <w:szCs w:val="24"/>
        </w:rPr>
      </w:pPr>
      <w:r>
        <w:t xml:space="preserve">A fővárosi hajléktalanok 2011. évi közfoglalkoztatásának költségei összességében az előző évi 47%-a volt 93.561 ezer Ft mértékben (2. számú ábra) . A közfoglalkoztatási </w:t>
      </w:r>
      <w:proofErr w:type="gramStart"/>
      <w:r>
        <w:t>bér támogatás</w:t>
      </w:r>
      <w:proofErr w:type="gramEnd"/>
      <w:r>
        <w:t xml:space="preserve"> (</w:t>
      </w:r>
      <w:r>
        <w:rPr>
          <w:color w:val="000000"/>
          <w:szCs w:val="24"/>
        </w:rPr>
        <w:t>KMRMK</w:t>
      </w:r>
      <w:r w:rsidRPr="00EA5D31">
        <w:rPr>
          <w:color w:val="000000"/>
          <w:szCs w:val="24"/>
        </w:rPr>
        <w:t xml:space="preserve"> támogatás</w:t>
      </w:r>
      <w:r>
        <w:rPr>
          <w:color w:val="000000"/>
          <w:szCs w:val="24"/>
        </w:rPr>
        <w:t xml:space="preserve">) a közvetlen költségeknek </w:t>
      </w:r>
      <w:r>
        <w:rPr>
          <w:color w:val="000000"/>
          <w:szCs w:val="24"/>
        </w:rPr>
        <w:lastRenderedPageBreak/>
        <w:t>csak 86,2%-át biztos</w:t>
      </w:r>
      <w:r>
        <w:rPr>
          <w:color w:val="000000"/>
          <w:szCs w:val="24"/>
        </w:rPr>
        <w:t>í</w:t>
      </w:r>
      <w:r>
        <w:rPr>
          <w:color w:val="000000"/>
          <w:szCs w:val="24"/>
        </w:rPr>
        <w:t>totta. Ennek egyik oka, hogy a 8 órás foglalkoztatást csak 80%-ban támogatta, a kéth</w:t>
      </w:r>
      <w:r>
        <w:rPr>
          <w:color w:val="000000"/>
          <w:szCs w:val="24"/>
        </w:rPr>
        <w:t>e</w:t>
      </w:r>
      <w:r>
        <w:rPr>
          <w:color w:val="000000"/>
          <w:szCs w:val="24"/>
        </w:rPr>
        <w:t>ti osztott munka bérelszámolása során pedig mintegy 2,2 millió forint havi áthúzódó bért nem tudott elszámolni. A 4 órás foglalkoztatás és az alacsonyabb létszám miatt a közüzemi vállalatok költségtérítése fele volt a tervezettnek. Az egyensúly miatt bete</w:t>
      </w:r>
      <w:r>
        <w:rPr>
          <w:color w:val="000000"/>
          <w:szCs w:val="24"/>
        </w:rPr>
        <w:t>r</w:t>
      </w:r>
      <w:r>
        <w:rPr>
          <w:color w:val="000000"/>
          <w:szCs w:val="24"/>
        </w:rPr>
        <w:t>vezett 3.719 ezer Ft – mint az előző évben – úgy 2011-ben sem realizálódtak. Ezzel szemben a központi általános költségek jelentős megtakarításának szakfeladatra vet</w:t>
      </w:r>
      <w:r>
        <w:rPr>
          <w:color w:val="000000"/>
          <w:szCs w:val="24"/>
        </w:rPr>
        <w:t>í</w:t>
      </w:r>
      <w:r>
        <w:rPr>
          <w:color w:val="000000"/>
          <w:szCs w:val="24"/>
        </w:rPr>
        <w:t xml:space="preserve">tett része csaknem 10 millió forinttal alacsonyabb működési támogatást igényelt az előirányzottnál. </w:t>
      </w:r>
    </w:p>
    <w:p w:rsidR="00AD26D7" w:rsidRDefault="00AD26D7" w:rsidP="00AD26D7">
      <w:pPr>
        <w:pStyle w:val="Szvegtrzs"/>
        <w:ind w:left="993"/>
        <w:rPr>
          <w:color w:val="000000"/>
          <w:szCs w:val="24"/>
        </w:rPr>
      </w:pPr>
    </w:p>
    <w:p w:rsidR="00AD26D7" w:rsidRDefault="00AD26D7" w:rsidP="00AD26D7">
      <w:pPr>
        <w:pStyle w:val="Szvegtrzs"/>
        <w:ind w:left="993"/>
      </w:pPr>
      <w:r>
        <w:t xml:space="preserve">Így összességében a szakfeladatra előirányzott (dolgozói létszámarányos) 35.587 ezer Ft mértékű kompenzáció, </w:t>
      </w:r>
      <w:r w:rsidRPr="0011643D">
        <w:rPr>
          <w:b/>
        </w:rPr>
        <w:t xml:space="preserve">megfelel a jogos kompenzáció </w:t>
      </w:r>
      <w:r>
        <w:rPr>
          <w:b/>
        </w:rPr>
        <w:t xml:space="preserve">35.540 ezer Ft-os </w:t>
      </w:r>
      <w:r w:rsidRPr="0011643D">
        <w:rPr>
          <w:b/>
        </w:rPr>
        <w:t>mérték</w:t>
      </w:r>
      <w:r>
        <w:rPr>
          <w:b/>
        </w:rPr>
        <w:t>é</w:t>
      </w:r>
      <w:r>
        <w:rPr>
          <w:b/>
        </w:rPr>
        <w:t>nek</w:t>
      </w:r>
      <w:r>
        <w:t>, amely 35.540 ezer Ft. Ez az előző évi 78%-</w:t>
      </w:r>
      <w:proofErr w:type="gramStart"/>
      <w:r>
        <w:t>a.</w:t>
      </w:r>
      <w:proofErr w:type="gramEnd"/>
      <w:r>
        <w:t xml:space="preserve"> A </w:t>
      </w:r>
      <w:r w:rsidRPr="008B4744">
        <w:rPr>
          <w:b/>
        </w:rPr>
        <w:t>Fővárosi Önkormányzat</w:t>
      </w:r>
      <w:r>
        <w:t xml:space="preserve"> ko</w:t>
      </w:r>
      <w:r>
        <w:t>m</w:t>
      </w:r>
      <w:r>
        <w:t xml:space="preserve">penzációja a szakfeladat költségeinek </w:t>
      </w:r>
      <w:r w:rsidRPr="00EE363E">
        <w:rPr>
          <w:b/>
        </w:rPr>
        <w:t>38%-át fedezi</w:t>
      </w:r>
      <w:r>
        <w:t xml:space="preserve">. </w:t>
      </w:r>
    </w:p>
    <w:p w:rsidR="00AD26D7" w:rsidRDefault="00AD26D7" w:rsidP="00AD26D7">
      <w:pPr>
        <w:pStyle w:val="Szvegtrzs"/>
        <w:ind w:left="993"/>
      </w:pPr>
    </w:p>
    <w:p w:rsidR="00AD26D7" w:rsidRDefault="00AD26D7" w:rsidP="00AD26D7">
      <w:pPr>
        <w:pStyle w:val="Szvegtrzs"/>
        <w:numPr>
          <w:ilvl w:val="0"/>
          <w:numId w:val="5"/>
        </w:numPr>
        <w:ind w:left="851" w:hanging="323"/>
      </w:pPr>
      <w:r>
        <w:t>számú ábra: A közfoglalkoztatás egyenlege</w:t>
      </w:r>
    </w:p>
    <w:tbl>
      <w:tblPr>
        <w:tblW w:w="8788" w:type="dxa"/>
        <w:tblInd w:w="496" w:type="dxa"/>
        <w:tblLayout w:type="fixed"/>
        <w:tblCellMar>
          <w:left w:w="70" w:type="dxa"/>
          <w:right w:w="70" w:type="dxa"/>
        </w:tblCellMar>
        <w:tblLook w:val="04A0"/>
      </w:tblPr>
      <w:tblGrid>
        <w:gridCol w:w="567"/>
        <w:gridCol w:w="3827"/>
        <w:gridCol w:w="992"/>
        <w:gridCol w:w="851"/>
        <w:gridCol w:w="850"/>
        <w:gridCol w:w="992"/>
        <w:gridCol w:w="709"/>
      </w:tblGrid>
      <w:tr w:rsidR="00AD26D7" w:rsidRPr="00345BC2" w:rsidTr="00A70C15">
        <w:trPr>
          <w:trHeight w:val="275"/>
        </w:trPr>
        <w:tc>
          <w:tcPr>
            <w:tcW w:w="567" w:type="dxa"/>
            <w:vMerge w:val="restart"/>
            <w:tcBorders>
              <w:top w:val="single" w:sz="8" w:space="0" w:color="auto"/>
              <w:left w:val="single" w:sz="8" w:space="0" w:color="auto"/>
              <w:right w:val="nil"/>
            </w:tcBorders>
            <w:shd w:val="clear" w:color="auto" w:fill="auto"/>
            <w:noWrap/>
            <w:vAlign w:val="center"/>
            <w:hideMark/>
          </w:tcPr>
          <w:p w:rsidR="00AD26D7" w:rsidRPr="00345BC2" w:rsidRDefault="00AD26D7" w:rsidP="00A70C15">
            <w:pPr>
              <w:rPr>
                <w:szCs w:val="24"/>
              </w:rPr>
            </w:pPr>
            <w:r w:rsidRPr="00345BC2">
              <w:rPr>
                <w:szCs w:val="24"/>
              </w:rPr>
              <w:t> </w:t>
            </w:r>
          </w:p>
        </w:tc>
        <w:tc>
          <w:tcPr>
            <w:tcW w:w="3827" w:type="dxa"/>
            <w:vMerge w:val="restart"/>
            <w:tcBorders>
              <w:top w:val="single" w:sz="8" w:space="0" w:color="auto"/>
              <w:left w:val="single" w:sz="8" w:space="0" w:color="auto"/>
              <w:right w:val="single" w:sz="8" w:space="0" w:color="auto"/>
            </w:tcBorders>
            <w:shd w:val="clear" w:color="auto" w:fill="auto"/>
            <w:noWrap/>
            <w:vAlign w:val="center"/>
            <w:hideMark/>
          </w:tcPr>
          <w:p w:rsidR="00AD26D7" w:rsidRPr="00345BC2" w:rsidRDefault="00AD26D7" w:rsidP="00A70C15">
            <w:pPr>
              <w:rPr>
                <w:b/>
                <w:bCs/>
                <w:szCs w:val="24"/>
              </w:rPr>
            </w:pPr>
            <w:r w:rsidRPr="00345BC2">
              <w:rPr>
                <w:b/>
                <w:bCs/>
                <w:szCs w:val="24"/>
              </w:rPr>
              <w:t>Közfoglalkoztatási Közszolgáltatás</w:t>
            </w:r>
          </w:p>
        </w:tc>
        <w:tc>
          <w:tcPr>
            <w:tcW w:w="992" w:type="dxa"/>
            <w:vMerge w:val="restart"/>
            <w:tcBorders>
              <w:top w:val="single" w:sz="8" w:space="0" w:color="auto"/>
              <w:left w:val="nil"/>
              <w:right w:val="single" w:sz="4" w:space="0" w:color="auto"/>
            </w:tcBorders>
            <w:shd w:val="clear" w:color="auto" w:fill="auto"/>
            <w:vAlign w:val="center"/>
            <w:hideMark/>
          </w:tcPr>
          <w:p w:rsidR="00AD26D7" w:rsidRPr="00345BC2" w:rsidRDefault="00AD26D7" w:rsidP="00A70C15">
            <w:pPr>
              <w:jc w:val="center"/>
              <w:rPr>
                <w:szCs w:val="24"/>
              </w:rPr>
            </w:pPr>
            <w:r w:rsidRPr="00345BC2">
              <w:rPr>
                <w:szCs w:val="24"/>
              </w:rPr>
              <w:t>2010. tény*</w:t>
            </w:r>
          </w:p>
        </w:tc>
        <w:tc>
          <w:tcPr>
            <w:tcW w:w="2693" w:type="dxa"/>
            <w:gridSpan w:val="3"/>
            <w:tcBorders>
              <w:top w:val="single" w:sz="8" w:space="0" w:color="auto"/>
              <w:left w:val="nil"/>
              <w:bottom w:val="single" w:sz="4" w:space="0" w:color="auto"/>
              <w:right w:val="single" w:sz="4" w:space="0" w:color="auto"/>
            </w:tcBorders>
            <w:shd w:val="clear" w:color="auto" w:fill="auto"/>
            <w:vAlign w:val="center"/>
            <w:hideMark/>
          </w:tcPr>
          <w:p w:rsidR="00AD26D7" w:rsidRPr="00345BC2" w:rsidRDefault="00AD26D7" w:rsidP="00A70C15">
            <w:pPr>
              <w:jc w:val="center"/>
              <w:rPr>
                <w:szCs w:val="24"/>
              </w:rPr>
            </w:pPr>
            <w:r>
              <w:rPr>
                <w:szCs w:val="24"/>
              </w:rPr>
              <w:t>2011</w:t>
            </w:r>
            <w:r w:rsidRPr="00345BC2">
              <w:rPr>
                <w:szCs w:val="24"/>
              </w:rPr>
              <w:t xml:space="preserve"> </w:t>
            </w:r>
          </w:p>
        </w:tc>
        <w:tc>
          <w:tcPr>
            <w:tcW w:w="709" w:type="dxa"/>
            <w:vMerge w:val="restart"/>
            <w:tcBorders>
              <w:top w:val="single" w:sz="8" w:space="0" w:color="auto"/>
              <w:left w:val="nil"/>
              <w:right w:val="single" w:sz="4" w:space="0" w:color="auto"/>
            </w:tcBorders>
            <w:shd w:val="clear" w:color="auto" w:fill="auto"/>
            <w:vAlign w:val="center"/>
            <w:hideMark/>
          </w:tcPr>
          <w:p w:rsidR="00AD26D7" w:rsidRDefault="00AD26D7" w:rsidP="00A70C15">
            <w:pPr>
              <w:jc w:val="center"/>
              <w:rPr>
                <w:szCs w:val="24"/>
              </w:rPr>
            </w:pPr>
            <w:r w:rsidRPr="00345BC2">
              <w:rPr>
                <w:szCs w:val="24"/>
              </w:rPr>
              <w:t>2011/</w:t>
            </w:r>
          </w:p>
          <w:p w:rsidR="00AD26D7" w:rsidRPr="00345BC2" w:rsidRDefault="00AD26D7" w:rsidP="00A70C15">
            <w:pPr>
              <w:jc w:val="center"/>
              <w:rPr>
                <w:szCs w:val="24"/>
              </w:rPr>
            </w:pPr>
            <w:r w:rsidRPr="00345BC2">
              <w:rPr>
                <w:szCs w:val="24"/>
              </w:rPr>
              <w:t>2010</w:t>
            </w:r>
          </w:p>
        </w:tc>
      </w:tr>
      <w:tr w:rsidR="00AD26D7" w:rsidRPr="00345BC2" w:rsidTr="00A70C15">
        <w:trPr>
          <w:trHeight w:val="275"/>
        </w:trPr>
        <w:tc>
          <w:tcPr>
            <w:tcW w:w="567" w:type="dxa"/>
            <w:vMerge/>
            <w:tcBorders>
              <w:left w:val="single" w:sz="8" w:space="0" w:color="auto"/>
              <w:bottom w:val="single" w:sz="8" w:space="0" w:color="auto"/>
              <w:right w:val="nil"/>
            </w:tcBorders>
            <w:shd w:val="clear" w:color="auto" w:fill="auto"/>
            <w:noWrap/>
            <w:vAlign w:val="center"/>
            <w:hideMark/>
          </w:tcPr>
          <w:p w:rsidR="00AD26D7" w:rsidRPr="00345BC2" w:rsidRDefault="00AD26D7" w:rsidP="00A70C15">
            <w:pPr>
              <w:rPr>
                <w:szCs w:val="24"/>
              </w:rPr>
            </w:pPr>
          </w:p>
        </w:tc>
        <w:tc>
          <w:tcPr>
            <w:tcW w:w="3827" w:type="dxa"/>
            <w:vMerge/>
            <w:tcBorders>
              <w:left w:val="single" w:sz="8" w:space="0" w:color="auto"/>
              <w:bottom w:val="single" w:sz="8" w:space="0" w:color="auto"/>
              <w:right w:val="single" w:sz="8" w:space="0" w:color="auto"/>
            </w:tcBorders>
            <w:shd w:val="clear" w:color="auto" w:fill="auto"/>
            <w:noWrap/>
            <w:vAlign w:val="center"/>
            <w:hideMark/>
          </w:tcPr>
          <w:p w:rsidR="00AD26D7" w:rsidRPr="00345BC2" w:rsidRDefault="00AD26D7" w:rsidP="00A70C15">
            <w:pPr>
              <w:rPr>
                <w:b/>
                <w:bCs/>
                <w:szCs w:val="24"/>
              </w:rPr>
            </w:pPr>
          </w:p>
        </w:tc>
        <w:tc>
          <w:tcPr>
            <w:tcW w:w="992" w:type="dxa"/>
            <w:vMerge/>
            <w:tcBorders>
              <w:left w:val="nil"/>
              <w:bottom w:val="single" w:sz="8" w:space="0" w:color="auto"/>
              <w:right w:val="single" w:sz="4" w:space="0" w:color="auto"/>
            </w:tcBorders>
            <w:shd w:val="clear" w:color="auto" w:fill="auto"/>
            <w:vAlign w:val="center"/>
            <w:hideMark/>
          </w:tcPr>
          <w:p w:rsidR="00AD26D7" w:rsidRPr="00345BC2" w:rsidRDefault="00AD26D7" w:rsidP="00A70C15">
            <w:pPr>
              <w:jc w:val="center"/>
              <w:rPr>
                <w:szCs w:val="24"/>
              </w:rPr>
            </w:pP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AD26D7" w:rsidRPr="00345BC2" w:rsidRDefault="00AD26D7" w:rsidP="00A70C15">
            <w:pPr>
              <w:jc w:val="center"/>
              <w:rPr>
                <w:szCs w:val="24"/>
              </w:rPr>
            </w:pPr>
            <w:r w:rsidRPr="00345BC2">
              <w:rPr>
                <w:szCs w:val="24"/>
              </w:rPr>
              <w:t>terv</w:t>
            </w:r>
          </w:p>
        </w:tc>
        <w:tc>
          <w:tcPr>
            <w:tcW w:w="850" w:type="dxa"/>
            <w:tcBorders>
              <w:top w:val="single" w:sz="4" w:space="0" w:color="auto"/>
              <w:left w:val="nil"/>
              <w:bottom w:val="single" w:sz="8" w:space="0" w:color="auto"/>
              <w:right w:val="single" w:sz="4" w:space="0" w:color="auto"/>
            </w:tcBorders>
            <w:shd w:val="clear" w:color="000000" w:fill="FFFF00"/>
            <w:vAlign w:val="center"/>
            <w:hideMark/>
          </w:tcPr>
          <w:p w:rsidR="00AD26D7" w:rsidRPr="00345BC2" w:rsidRDefault="00AD26D7" w:rsidP="00A70C15">
            <w:pPr>
              <w:jc w:val="center"/>
              <w:rPr>
                <w:szCs w:val="24"/>
              </w:rPr>
            </w:pPr>
            <w:r w:rsidRPr="00345BC2">
              <w:rPr>
                <w:szCs w:val="24"/>
              </w:rPr>
              <w:t>tény</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AD26D7" w:rsidRPr="00345BC2" w:rsidRDefault="00AD26D7" w:rsidP="00A70C15">
            <w:pPr>
              <w:jc w:val="center"/>
              <w:rPr>
                <w:szCs w:val="24"/>
              </w:rPr>
            </w:pPr>
            <w:r w:rsidRPr="00345BC2">
              <w:rPr>
                <w:szCs w:val="24"/>
              </w:rPr>
              <w:t>jogos komp</w:t>
            </w:r>
            <w:r>
              <w:rPr>
                <w:szCs w:val="24"/>
              </w:rPr>
              <w:t>.</w:t>
            </w:r>
          </w:p>
        </w:tc>
        <w:tc>
          <w:tcPr>
            <w:tcW w:w="709" w:type="dxa"/>
            <w:vMerge/>
            <w:tcBorders>
              <w:left w:val="nil"/>
              <w:bottom w:val="single" w:sz="8" w:space="0" w:color="auto"/>
              <w:right w:val="single" w:sz="4" w:space="0" w:color="auto"/>
            </w:tcBorders>
            <w:shd w:val="clear" w:color="auto" w:fill="auto"/>
            <w:vAlign w:val="center"/>
            <w:hideMark/>
          </w:tcPr>
          <w:p w:rsidR="00AD26D7" w:rsidRPr="00345BC2" w:rsidRDefault="00AD26D7" w:rsidP="00A70C15">
            <w:pPr>
              <w:jc w:val="center"/>
              <w:rPr>
                <w:szCs w:val="24"/>
              </w:rPr>
            </w:pPr>
          </w:p>
        </w:tc>
      </w:tr>
      <w:tr w:rsidR="00AD26D7" w:rsidRPr="00345BC2"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345BC2" w:rsidRDefault="00AD26D7" w:rsidP="00A70C15">
            <w:pPr>
              <w:rPr>
                <w:b/>
                <w:bCs/>
                <w:szCs w:val="24"/>
              </w:rPr>
            </w:pPr>
            <w:r w:rsidRPr="00345BC2">
              <w:rPr>
                <w:b/>
                <w:bCs/>
                <w:szCs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center"/>
              <w:rPr>
                <w:b/>
                <w:bCs/>
                <w:szCs w:val="24"/>
              </w:rPr>
            </w:pPr>
            <w:r w:rsidRPr="00345BC2">
              <w:rPr>
                <w:b/>
                <w:bCs/>
                <w:szCs w:val="24"/>
              </w:rPr>
              <w:t>Egyenleg</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center"/>
              <w:rPr>
                <w:b/>
                <w:bCs/>
                <w:szCs w:val="24"/>
              </w:rPr>
            </w:pPr>
            <w:r>
              <w:rPr>
                <w:b/>
                <w:bCs/>
                <w:szCs w:val="24"/>
              </w:rPr>
              <w:t>-2.732</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center"/>
              <w:rPr>
                <w:b/>
                <w:bCs/>
                <w:szCs w:val="24"/>
              </w:rPr>
            </w:pPr>
            <w:r w:rsidRPr="00345BC2">
              <w:rPr>
                <w:b/>
                <w:bCs/>
                <w:szCs w:val="24"/>
              </w:rPr>
              <w:t>0</w:t>
            </w:r>
          </w:p>
        </w:tc>
        <w:tc>
          <w:tcPr>
            <w:tcW w:w="850" w:type="dxa"/>
            <w:tcBorders>
              <w:top w:val="nil"/>
              <w:left w:val="nil"/>
              <w:bottom w:val="single" w:sz="4" w:space="0" w:color="auto"/>
              <w:right w:val="single" w:sz="4" w:space="0" w:color="auto"/>
            </w:tcBorders>
            <w:shd w:val="clear" w:color="000000" w:fill="FFFF00"/>
            <w:noWrap/>
            <w:vAlign w:val="center"/>
            <w:hideMark/>
          </w:tcPr>
          <w:p w:rsidR="00AD26D7" w:rsidRPr="00345BC2" w:rsidRDefault="00AD26D7" w:rsidP="00A70C15">
            <w:pPr>
              <w:jc w:val="center"/>
              <w:rPr>
                <w:b/>
                <w:bCs/>
                <w:szCs w:val="24"/>
              </w:rPr>
            </w:pPr>
            <w:r w:rsidRPr="00345BC2">
              <w:rPr>
                <w:b/>
                <w:bCs/>
                <w:szCs w:val="24"/>
              </w:rPr>
              <w:t>47</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center"/>
              <w:rPr>
                <w:b/>
                <w:bCs/>
                <w:szCs w:val="24"/>
              </w:rPr>
            </w:pPr>
            <w:r>
              <w:rPr>
                <w:b/>
                <w:bCs/>
                <w:szCs w:val="24"/>
              </w:rPr>
              <w:t>0</w:t>
            </w:r>
            <w:r w:rsidRPr="00345BC2">
              <w:rPr>
                <w:b/>
                <w:bCs/>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center"/>
              <w:rPr>
                <w:b/>
                <w:bCs/>
                <w:szCs w:val="24"/>
              </w:rPr>
            </w:pPr>
            <w:r w:rsidRPr="00345BC2">
              <w:rPr>
                <w:b/>
                <w:bCs/>
                <w:szCs w:val="24"/>
              </w:rPr>
              <w:t> </w:t>
            </w:r>
          </w:p>
        </w:tc>
      </w:tr>
      <w:tr w:rsidR="00AD26D7" w:rsidRPr="00345BC2"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345BC2" w:rsidRDefault="00AD26D7" w:rsidP="00A70C15">
            <w:pPr>
              <w:rPr>
                <w:szCs w:val="24"/>
              </w:rPr>
            </w:pPr>
            <w:r w:rsidRPr="00345BC2">
              <w:rPr>
                <w:szCs w:val="24"/>
              </w:rPr>
              <w:t>1.1</w:t>
            </w:r>
          </w:p>
        </w:tc>
        <w:tc>
          <w:tcPr>
            <w:tcW w:w="3827"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rPr>
                <w:szCs w:val="24"/>
              </w:rPr>
            </w:pPr>
            <w:r w:rsidRPr="00345BC2">
              <w:rPr>
                <w:szCs w:val="24"/>
              </w:rPr>
              <w:t>Közvetlen változó költség</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158 523</w:t>
            </w:r>
          </w:p>
        </w:tc>
        <w:tc>
          <w:tcPr>
            <w:tcW w:w="851"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89 586</w:t>
            </w:r>
          </w:p>
        </w:tc>
        <w:tc>
          <w:tcPr>
            <w:tcW w:w="850" w:type="dxa"/>
            <w:tcBorders>
              <w:top w:val="nil"/>
              <w:left w:val="nil"/>
              <w:bottom w:val="single" w:sz="4" w:space="0" w:color="auto"/>
              <w:right w:val="single" w:sz="4" w:space="0" w:color="auto"/>
            </w:tcBorders>
            <w:shd w:val="clear" w:color="000000" w:fill="FFFF00"/>
            <w:vAlign w:val="center"/>
            <w:hideMark/>
          </w:tcPr>
          <w:p w:rsidR="00AD26D7" w:rsidRPr="00345BC2" w:rsidRDefault="00AD26D7" w:rsidP="00A70C15">
            <w:pPr>
              <w:jc w:val="right"/>
              <w:rPr>
                <w:szCs w:val="24"/>
              </w:rPr>
            </w:pPr>
            <w:r w:rsidRPr="00345BC2">
              <w:rPr>
                <w:szCs w:val="24"/>
              </w:rPr>
              <w:t>62 810</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rPr>
                <w:szCs w:val="24"/>
              </w:rPr>
            </w:pPr>
            <w:r w:rsidRPr="00345BC2">
              <w:rPr>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40%</w:t>
            </w:r>
          </w:p>
        </w:tc>
      </w:tr>
      <w:tr w:rsidR="00AD26D7" w:rsidRPr="00345BC2"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345BC2" w:rsidRDefault="00AD26D7" w:rsidP="00A70C15">
            <w:pPr>
              <w:rPr>
                <w:szCs w:val="24"/>
              </w:rPr>
            </w:pPr>
            <w:r w:rsidRPr="00345BC2">
              <w:rPr>
                <w:szCs w:val="24"/>
              </w:rPr>
              <w:t>1.2</w:t>
            </w:r>
          </w:p>
        </w:tc>
        <w:tc>
          <w:tcPr>
            <w:tcW w:w="3827"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rPr>
                <w:szCs w:val="24"/>
              </w:rPr>
            </w:pPr>
            <w:r w:rsidRPr="00345BC2">
              <w:rPr>
                <w:szCs w:val="24"/>
              </w:rPr>
              <w:t>Közvetlen állandó költség</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13 098</w:t>
            </w:r>
          </w:p>
        </w:tc>
        <w:tc>
          <w:tcPr>
            <w:tcW w:w="851"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11 420</w:t>
            </w:r>
          </w:p>
        </w:tc>
        <w:tc>
          <w:tcPr>
            <w:tcW w:w="850" w:type="dxa"/>
            <w:tcBorders>
              <w:top w:val="nil"/>
              <w:left w:val="nil"/>
              <w:bottom w:val="single" w:sz="4" w:space="0" w:color="auto"/>
              <w:right w:val="single" w:sz="4" w:space="0" w:color="auto"/>
            </w:tcBorders>
            <w:shd w:val="clear" w:color="000000" w:fill="FFFF00"/>
            <w:vAlign w:val="center"/>
            <w:hideMark/>
          </w:tcPr>
          <w:p w:rsidR="00AD26D7" w:rsidRPr="00345BC2" w:rsidRDefault="00AD26D7" w:rsidP="00A70C15">
            <w:pPr>
              <w:jc w:val="right"/>
              <w:rPr>
                <w:szCs w:val="24"/>
              </w:rPr>
            </w:pPr>
            <w:r w:rsidRPr="00345BC2">
              <w:rPr>
                <w:szCs w:val="24"/>
              </w:rPr>
              <w:t>11 418</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rPr>
                <w:szCs w:val="24"/>
              </w:rPr>
            </w:pPr>
            <w:r w:rsidRPr="00345BC2">
              <w:rPr>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87%</w:t>
            </w:r>
          </w:p>
        </w:tc>
      </w:tr>
      <w:tr w:rsidR="00AD26D7" w:rsidRPr="00345BC2" w:rsidTr="00A70C15">
        <w:trPr>
          <w:trHeight w:val="51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345BC2" w:rsidRDefault="00AD26D7" w:rsidP="00A70C15">
            <w:pPr>
              <w:rPr>
                <w:szCs w:val="24"/>
              </w:rPr>
            </w:pPr>
            <w:r w:rsidRPr="00345BC2">
              <w:rPr>
                <w:szCs w:val="24"/>
              </w:rPr>
              <w:t>1.3</w:t>
            </w:r>
          </w:p>
        </w:tc>
        <w:tc>
          <w:tcPr>
            <w:tcW w:w="3827" w:type="dxa"/>
            <w:tcBorders>
              <w:top w:val="nil"/>
              <w:left w:val="nil"/>
              <w:bottom w:val="single" w:sz="4" w:space="0" w:color="auto"/>
              <w:right w:val="single" w:sz="4" w:space="0" w:color="auto"/>
            </w:tcBorders>
            <w:shd w:val="clear" w:color="auto" w:fill="auto"/>
            <w:vAlign w:val="center"/>
            <w:hideMark/>
          </w:tcPr>
          <w:p w:rsidR="00AD26D7" w:rsidRDefault="00AD26D7" w:rsidP="00A70C15">
            <w:pPr>
              <w:rPr>
                <w:szCs w:val="24"/>
              </w:rPr>
            </w:pPr>
            <w:r w:rsidRPr="00345BC2">
              <w:rPr>
                <w:szCs w:val="24"/>
              </w:rPr>
              <w:t xml:space="preserve">Fővárosi közüzemi vállalatok </w:t>
            </w:r>
          </w:p>
          <w:p w:rsidR="00AD26D7" w:rsidRPr="00345BC2" w:rsidRDefault="00AD26D7" w:rsidP="00A70C15">
            <w:pPr>
              <w:rPr>
                <w:szCs w:val="24"/>
              </w:rPr>
            </w:pPr>
            <w:r w:rsidRPr="00345BC2">
              <w:rPr>
                <w:szCs w:val="24"/>
              </w:rPr>
              <w:t>költségtérítése</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10 046</w:t>
            </w:r>
          </w:p>
        </w:tc>
        <w:tc>
          <w:tcPr>
            <w:tcW w:w="851"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7 701</w:t>
            </w:r>
          </w:p>
        </w:tc>
        <w:tc>
          <w:tcPr>
            <w:tcW w:w="850" w:type="dxa"/>
            <w:tcBorders>
              <w:top w:val="nil"/>
              <w:left w:val="nil"/>
              <w:bottom w:val="single" w:sz="4" w:space="0" w:color="auto"/>
              <w:right w:val="single" w:sz="4" w:space="0" w:color="auto"/>
            </w:tcBorders>
            <w:shd w:val="clear" w:color="000000" w:fill="FFFF00"/>
            <w:vAlign w:val="center"/>
            <w:hideMark/>
          </w:tcPr>
          <w:p w:rsidR="00AD26D7" w:rsidRPr="00345BC2" w:rsidRDefault="00AD26D7" w:rsidP="00A70C15">
            <w:pPr>
              <w:jc w:val="right"/>
              <w:rPr>
                <w:szCs w:val="24"/>
              </w:rPr>
            </w:pPr>
            <w:r w:rsidRPr="00345BC2">
              <w:rPr>
                <w:szCs w:val="24"/>
              </w:rPr>
              <w:t>3 885</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39%</w:t>
            </w:r>
          </w:p>
        </w:tc>
      </w:tr>
      <w:tr w:rsidR="00AD26D7" w:rsidRPr="00345BC2"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345BC2" w:rsidRDefault="00AD26D7" w:rsidP="00A70C15">
            <w:pPr>
              <w:rPr>
                <w:szCs w:val="24"/>
              </w:rPr>
            </w:pPr>
            <w:r w:rsidRPr="00345BC2">
              <w:rPr>
                <w:szCs w:val="24"/>
              </w:rPr>
              <w:t>1.4</w:t>
            </w:r>
          </w:p>
        </w:tc>
        <w:tc>
          <w:tcPr>
            <w:tcW w:w="3827"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rPr>
                <w:szCs w:val="24"/>
              </w:rPr>
            </w:pPr>
            <w:r w:rsidRPr="00345BC2">
              <w:rPr>
                <w:szCs w:val="24"/>
              </w:rPr>
              <w:t>KMRMK támogatás</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139 953</w:t>
            </w:r>
          </w:p>
        </w:tc>
        <w:tc>
          <w:tcPr>
            <w:tcW w:w="851"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80 273</w:t>
            </w:r>
          </w:p>
        </w:tc>
        <w:tc>
          <w:tcPr>
            <w:tcW w:w="850" w:type="dxa"/>
            <w:tcBorders>
              <w:top w:val="nil"/>
              <w:left w:val="nil"/>
              <w:bottom w:val="single" w:sz="4" w:space="0" w:color="auto"/>
              <w:right w:val="single" w:sz="4" w:space="0" w:color="auto"/>
            </w:tcBorders>
            <w:shd w:val="clear" w:color="000000" w:fill="FFFF00"/>
            <w:vAlign w:val="center"/>
            <w:hideMark/>
          </w:tcPr>
          <w:p w:rsidR="00AD26D7" w:rsidRPr="00345BC2" w:rsidRDefault="00AD26D7" w:rsidP="00A70C15">
            <w:pPr>
              <w:jc w:val="right"/>
              <w:rPr>
                <w:szCs w:val="24"/>
              </w:rPr>
            </w:pPr>
            <w:r w:rsidRPr="00345BC2">
              <w:rPr>
                <w:szCs w:val="24"/>
              </w:rPr>
              <w:t>54 136</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39%</w:t>
            </w:r>
          </w:p>
        </w:tc>
      </w:tr>
      <w:tr w:rsidR="00AD26D7" w:rsidRPr="00345BC2"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345BC2" w:rsidRDefault="00AD26D7" w:rsidP="00A70C15">
            <w:pPr>
              <w:rPr>
                <w:szCs w:val="24"/>
              </w:rPr>
            </w:pPr>
            <w:r w:rsidRPr="00345BC2">
              <w:rPr>
                <w:szCs w:val="24"/>
              </w:rPr>
              <w:t>1.5</w:t>
            </w:r>
          </w:p>
        </w:tc>
        <w:tc>
          <w:tcPr>
            <w:tcW w:w="3827"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rPr>
                <w:szCs w:val="24"/>
              </w:rPr>
            </w:pPr>
            <w:r w:rsidRPr="00345BC2">
              <w:rPr>
                <w:szCs w:val="24"/>
              </w:rPr>
              <w:t>Egyéb tevékenység nyeresége</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right"/>
              <w:rPr>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right"/>
              <w:rPr>
                <w:szCs w:val="24"/>
              </w:rPr>
            </w:pPr>
            <w:r w:rsidRPr="00345BC2">
              <w:rPr>
                <w:szCs w:val="24"/>
              </w:rPr>
              <w:t>3 719</w:t>
            </w:r>
          </w:p>
        </w:tc>
        <w:tc>
          <w:tcPr>
            <w:tcW w:w="850" w:type="dxa"/>
            <w:tcBorders>
              <w:top w:val="nil"/>
              <w:left w:val="nil"/>
              <w:bottom w:val="single" w:sz="4" w:space="0" w:color="auto"/>
              <w:right w:val="single" w:sz="4" w:space="0" w:color="auto"/>
            </w:tcBorders>
            <w:shd w:val="clear" w:color="000000" w:fill="FFFF00"/>
            <w:noWrap/>
            <w:vAlign w:val="center"/>
            <w:hideMark/>
          </w:tcPr>
          <w:p w:rsidR="00AD26D7" w:rsidRPr="00345BC2" w:rsidRDefault="00AD26D7" w:rsidP="00A70C15">
            <w:pPr>
              <w:jc w:val="right"/>
              <w:rPr>
                <w:szCs w:val="24"/>
              </w:rPr>
            </w:pPr>
            <w:r w:rsidRPr="00345BC2">
              <w:rPr>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D26D7" w:rsidRPr="00345BC2" w:rsidRDefault="00AD26D7" w:rsidP="00A70C15">
            <w:pPr>
              <w:jc w:val="right"/>
              <w:rPr>
                <w:szCs w:val="24"/>
              </w:rPr>
            </w:pPr>
            <w:r w:rsidRPr="00345BC2">
              <w:rPr>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right"/>
              <w:rPr>
                <w:szCs w:val="24"/>
              </w:rPr>
            </w:pPr>
            <w:r w:rsidRPr="00345BC2">
              <w:rPr>
                <w:szCs w:val="24"/>
              </w:rPr>
              <w:t> </w:t>
            </w:r>
          </w:p>
        </w:tc>
      </w:tr>
      <w:tr w:rsidR="00AD26D7" w:rsidRPr="00345BC2" w:rsidTr="00A70C15">
        <w:trPr>
          <w:trHeight w:val="51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345BC2" w:rsidRDefault="00AD26D7" w:rsidP="00A70C15">
            <w:pPr>
              <w:rPr>
                <w:szCs w:val="24"/>
              </w:rPr>
            </w:pPr>
            <w:r w:rsidRPr="00345BC2">
              <w:rPr>
                <w:szCs w:val="24"/>
              </w:rPr>
              <w:t>1.6</w:t>
            </w:r>
          </w:p>
        </w:tc>
        <w:tc>
          <w:tcPr>
            <w:tcW w:w="3827" w:type="dxa"/>
            <w:tcBorders>
              <w:top w:val="nil"/>
              <w:left w:val="nil"/>
              <w:bottom w:val="single" w:sz="4" w:space="0" w:color="auto"/>
              <w:right w:val="single" w:sz="4" w:space="0" w:color="auto"/>
            </w:tcBorders>
            <w:shd w:val="clear" w:color="000000" w:fill="FFFF00"/>
            <w:vAlign w:val="center"/>
            <w:hideMark/>
          </w:tcPr>
          <w:p w:rsidR="00AD26D7" w:rsidRPr="00345BC2" w:rsidRDefault="00AD26D7" w:rsidP="00A70C15">
            <w:pPr>
              <w:rPr>
                <w:b/>
                <w:bCs/>
                <w:szCs w:val="24"/>
              </w:rPr>
            </w:pPr>
            <w:r w:rsidRPr="00345BC2">
              <w:rPr>
                <w:b/>
                <w:bCs/>
                <w:szCs w:val="24"/>
              </w:rPr>
              <w:t>Szolgáltatási támogatás (1.1+1.2-1.3-1.4-1.5)</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345BC2" w:rsidRDefault="00AD26D7" w:rsidP="00A70C15">
            <w:pPr>
              <w:jc w:val="right"/>
              <w:rPr>
                <w:b/>
                <w:bCs/>
                <w:szCs w:val="24"/>
              </w:rPr>
            </w:pPr>
            <w:r w:rsidRPr="00345BC2">
              <w:rPr>
                <w:b/>
                <w:bCs/>
                <w:szCs w:val="24"/>
              </w:rPr>
              <w:t>18 890</w:t>
            </w:r>
          </w:p>
        </w:tc>
        <w:tc>
          <w:tcPr>
            <w:tcW w:w="851" w:type="dxa"/>
            <w:tcBorders>
              <w:top w:val="nil"/>
              <w:left w:val="nil"/>
              <w:bottom w:val="single" w:sz="4" w:space="0" w:color="auto"/>
              <w:right w:val="single" w:sz="4" w:space="0" w:color="auto"/>
            </w:tcBorders>
            <w:shd w:val="clear" w:color="000000" w:fill="FFFF00"/>
            <w:noWrap/>
            <w:vAlign w:val="center"/>
            <w:hideMark/>
          </w:tcPr>
          <w:p w:rsidR="00AD26D7" w:rsidRPr="00345BC2" w:rsidRDefault="00AD26D7" w:rsidP="00A70C15">
            <w:pPr>
              <w:jc w:val="right"/>
              <w:rPr>
                <w:b/>
                <w:bCs/>
                <w:szCs w:val="24"/>
              </w:rPr>
            </w:pPr>
            <w:r w:rsidRPr="00345BC2">
              <w:rPr>
                <w:b/>
                <w:bCs/>
                <w:szCs w:val="24"/>
              </w:rPr>
              <w:t>9 313</w:t>
            </w:r>
          </w:p>
        </w:tc>
        <w:tc>
          <w:tcPr>
            <w:tcW w:w="850" w:type="dxa"/>
            <w:tcBorders>
              <w:top w:val="nil"/>
              <w:left w:val="nil"/>
              <w:bottom w:val="single" w:sz="4" w:space="0" w:color="auto"/>
              <w:right w:val="single" w:sz="4" w:space="0" w:color="auto"/>
            </w:tcBorders>
            <w:shd w:val="clear" w:color="000000" w:fill="FFFF00"/>
            <w:noWrap/>
            <w:vAlign w:val="center"/>
            <w:hideMark/>
          </w:tcPr>
          <w:p w:rsidR="00AD26D7" w:rsidRPr="00345BC2" w:rsidRDefault="00AD26D7" w:rsidP="00A70C15">
            <w:pPr>
              <w:jc w:val="right"/>
              <w:rPr>
                <w:b/>
                <w:bCs/>
                <w:szCs w:val="24"/>
              </w:rPr>
            </w:pPr>
            <w:r w:rsidRPr="00345BC2">
              <w:rPr>
                <w:b/>
                <w:bCs/>
                <w:szCs w:val="24"/>
              </w:rPr>
              <w:t>6 026</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345BC2" w:rsidRDefault="00AD26D7" w:rsidP="00A70C15">
            <w:pPr>
              <w:jc w:val="right"/>
              <w:rPr>
                <w:b/>
                <w:bCs/>
                <w:szCs w:val="24"/>
              </w:rPr>
            </w:pPr>
            <w:r w:rsidRPr="00345BC2">
              <w:rPr>
                <w:b/>
                <w:bCs/>
                <w:szCs w:val="24"/>
              </w:rPr>
              <w:t>16 207</w:t>
            </w:r>
          </w:p>
        </w:tc>
        <w:tc>
          <w:tcPr>
            <w:tcW w:w="709"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right"/>
              <w:rPr>
                <w:b/>
                <w:bCs/>
                <w:szCs w:val="24"/>
              </w:rPr>
            </w:pPr>
            <w:r w:rsidRPr="00345BC2">
              <w:rPr>
                <w:b/>
                <w:bCs/>
                <w:szCs w:val="24"/>
              </w:rPr>
              <w:t>86%</w:t>
            </w:r>
          </w:p>
        </w:tc>
      </w:tr>
      <w:tr w:rsidR="00AD26D7" w:rsidRPr="00345BC2" w:rsidTr="00A70C15">
        <w:trPr>
          <w:trHeight w:val="4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345BC2" w:rsidRDefault="00AD26D7" w:rsidP="00A70C15">
            <w:pPr>
              <w:rPr>
                <w:szCs w:val="24"/>
              </w:rPr>
            </w:pPr>
            <w:r w:rsidRPr="00345BC2">
              <w:rPr>
                <w:szCs w:val="24"/>
              </w:rPr>
              <w:t>1.7</w:t>
            </w:r>
          </w:p>
        </w:tc>
        <w:tc>
          <w:tcPr>
            <w:tcW w:w="3827"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rPr>
                <w:szCs w:val="24"/>
              </w:rPr>
            </w:pPr>
            <w:r w:rsidRPr="00345BC2">
              <w:rPr>
                <w:szCs w:val="24"/>
              </w:rPr>
              <w:t>Felosztott központi általános költség</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26 740</w:t>
            </w:r>
          </w:p>
        </w:tc>
        <w:tc>
          <w:tcPr>
            <w:tcW w:w="851"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29 561</w:t>
            </w:r>
          </w:p>
        </w:tc>
        <w:tc>
          <w:tcPr>
            <w:tcW w:w="850" w:type="dxa"/>
            <w:tcBorders>
              <w:top w:val="nil"/>
              <w:left w:val="nil"/>
              <w:bottom w:val="single" w:sz="4" w:space="0" w:color="auto"/>
              <w:right w:val="single" w:sz="4" w:space="0" w:color="auto"/>
            </w:tcBorders>
            <w:shd w:val="clear" w:color="000000" w:fill="FFFF00"/>
            <w:vAlign w:val="center"/>
            <w:hideMark/>
          </w:tcPr>
          <w:p w:rsidR="00AD26D7" w:rsidRPr="00345BC2" w:rsidRDefault="00AD26D7" w:rsidP="00A70C15">
            <w:pPr>
              <w:jc w:val="right"/>
              <w:rPr>
                <w:szCs w:val="24"/>
              </w:rPr>
            </w:pPr>
            <w:r w:rsidRPr="00345BC2">
              <w:rPr>
                <w:szCs w:val="24"/>
              </w:rPr>
              <w:t>19 333</w:t>
            </w:r>
          </w:p>
        </w:tc>
        <w:tc>
          <w:tcPr>
            <w:tcW w:w="992"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rPr>
                <w:szCs w:val="24"/>
              </w:rPr>
            </w:pPr>
            <w:r w:rsidRPr="00345BC2">
              <w:rPr>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72%</w:t>
            </w:r>
          </w:p>
        </w:tc>
      </w:tr>
      <w:tr w:rsidR="00AD26D7" w:rsidRPr="00345BC2"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345BC2" w:rsidRDefault="00AD26D7" w:rsidP="00A70C15">
            <w:pPr>
              <w:rPr>
                <w:szCs w:val="24"/>
              </w:rPr>
            </w:pPr>
            <w:r w:rsidRPr="00345BC2">
              <w:rPr>
                <w:szCs w:val="24"/>
              </w:rPr>
              <w:t>1.8</w:t>
            </w:r>
          </w:p>
        </w:tc>
        <w:tc>
          <w:tcPr>
            <w:tcW w:w="3827" w:type="dxa"/>
            <w:tcBorders>
              <w:top w:val="nil"/>
              <w:left w:val="nil"/>
              <w:bottom w:val="single" w:sz="4" w:space="0" w:color="auto"/>
              <w:right w:val="single" w:sz="4" w:space="0" w:color="auto"/>
            </w:tcBorders>
            <w:shd w:val="clear" w:color="auto" w:fill="auto"/>
            <w:vAlign w:val="center"/>
            <w:hideMark/>
          </w:tcPr>
          <w:p w:rsidR="00AD26D7" w:rsidRPr="00345BC2" w:rsidRDefault="00AD26D7" w:rsidP="00A70C15">
            <w:pPr>
              <w:jc w:val="right"/>
              <w:rPr>
                <w:szCs w:val="24"/>
              </w:rPr>
            </w:pPr>
            <w:r w:rsidRPr="00345BC2">
              <w:rPr>
                <w:szCs w:val="24"/>
              </w:rPr>
              <w:t>Egyéb tevékenység nyeresége</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right"/>
              <w:rPr>
                <w:szCs w:val="24"/>
              </w:rPr>
            </w:pPr>
            <w:r w:rsidRPr="00345BC2">
              <w:rPr>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right"/>
              <w:rPr>
                <w:szCs w:val="24"/>
              </w:rPr>
            </w:pPr>
            <w:r w:rsidRPr="00345BC2">
              <w:rPr>
                <w:szCs w:val="24"/>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AD26D7" w:rsidRPr="00345BC2" w:rsidRDefault="00AD26D7" w:rsidP="00A70C15">
            <w:pPr>
              <w:jc w:val="right"/>
              <w:rPr>
                <w:b/>
                <w:bCs/>
                <w:szCs w:val="24"/>
              </w:rPr>
            </w:pPr>
            <w:r w:rsidRPr="00345BC2">
              <w:rPr>
                <w:b/>
                <w:bCs/>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right"/>
              <w:rPr>
                <w:b/>
                <w:bCs/>
                <w:szCs w:val="24"/>
              </w:rPr>
            </w:pPr>
            <w:r w:rsidRPr="00345BC2">
              <w:rPr>
                <w:b/>
                <w:bCs/>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AD26D7" w:rsidRPr="00345BC2" w:rsidRDefault="00AD26D7" w:rsidP="00A70C15">
            <w:pPr>
              <w:jc w:val="right"/>
              <w:rPr>
                <w:b/>
                <w:bCs/>
                <w:szCs w:val="24"/>
              </w:rPr>
            </w:pPr>
            <w:r w:rsidRPr="00345BC2">
              <w:rPr>
                <w:b/>
                <w:bCs/>
                <w:szCs w:val="24"/>
              </w:rPr>
              <w:t> </w:t>
            </w:r>
          </w:p>
        </w:tc>
      </w:tr>
      <w:tr w:rsidR="00AD26D7" w:rsidRPr="00345BC2" w:rsidTr="00A70C15">
        <w:trPr>
          <w:trHeight w:val="315"/>
        </w:trPr>
        <w:tc>
          <w:tcPr>
            <w:tcW w:w="567" w:type="dxa"/>
            <w:tcBorders>
              <w:top w:val="nil"/>
              <w:left w:val="single" w:sz="8" w:space="0" w:color="auto"/>
              <w:bottom w:val="nil"/>
              <w:right w:val="single" w:sz="4" w:space="0" w:color="auto"/>
            </w:tcBorders>
            <w:shd w:val="clear" w:color="auto" w:fill="auto"/>
            <w:noWrap/>
            <w:vAlign w:val="center"/>
            <w:hideMark/>
          </w:tcPr>
          <w:p w:rsidR="00AD26D7" w:rsidRPr="00345BC2" w:rsidRDefault="00AD26D7" w:rsidP="00A70C15">
            <w:pPr>
              <w:rPr>
                <w:rFonts w:ascii="Arial" w:hAnsi="Arial" w:cs="Arial"/>
                <w:sz w:val="20"/>
              </w:rPr>
            </w:pPr>
            <w:r w:rsidRPr="00345BC2">
              <w:rPr>
                <w:rFonts w:ascii="Arial" w:hAnsi="Arial" w:cs="Arial"/>
                <w:sz w:val="20"/>
              </w:rPr>
              <w:t>1.9</w:t>
            </w:r>
          </w:p>
        </w:tc>
        <w:tc>
          <w:tcPr>
            <w:tcW w:w="3827" w:type="dxa"/>
            <w:tcBorders>
              <w:top w:val="nil"/>
              <w:left w:val="nil"/>
              <w:bottom w:val="nil"/>
              <w:right w:val="single" w:sz="4" w:space="0" w:color="auto"/>
            </w:tcBorders>
            <w:shd w:val="clear" w:color="000000" w:fill="FFFF00"/>
            <w:vAlign w:val="center"/>
            <w:hideMark/>
          </w:tcPr>
          <w:p w:rsidR="00AD26D7" w:rsidRPr="00345BC2" w:rsidRDefault="00AD26D7" w:rsidP="00A70C15">
            <w:pPr>
              <w:rPr>
                <w:rFonts w:ascii="Arial" w:hAnsi="Arial" w:cs="Arial"/>
                <w:b/>
                <w:bCs/>
                <w:sz w:val="20"/>
              </w:rPr>
            </w:pPr>
            <w:r w:rsidRPr="00345BC2">
              <w:rPr>
                <w:rFonts w:ascii="Arial" w:hAnsi="Arial" w:cs="Arial"/>
                <w:b/>
                <w:bCs/>
                <w:sz w:val="20"/>
              </w:rPr>
              <w:t>Működési támogatás (1.7-1.8)</w:t>
            </w:r>
          </w:p>
        </w:tc>
        <w:tc>
          <w:tcPr>
            <w:tcW w:w="992" w:type="dxa"/>
            <w:tcBorders>
              <w:top w:val="nil"/>
              <w:left w:val="nil"/>
              <w:bottom w:val="nil"/>
              <w:right w:val="single" w:sz="4" w:space="0" w:color="auto"/>
            </w:tcBorders>
            <w:shd w:val="clear" w:color="000000" w:fill="FFFF00"/>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26 740</w:t>
            </w:r>
          </w:p>
        </w:tc>
        <w:tc>
          <w:tcPr>
            <w:tcW w:w="851" w:type="dxa"/>
            <w:tcBorders>
              <w:top w:val="nil"/>
              <w:left w:val="nil"/>
              <w:bottom w:val="nil"/>
              <w:right w:val="single" w:sz="4" w:space="0" w:color="auto"/>
            </w:tcBorders>
            <w:shd w:val="clear" w:color="000000" w:fill="FFFF00"/>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29 561</w:t>
            </w:r>
          </w:p>
        </w:tc>
        <w:tc>
          <w:tcPr>
            <w:tcW w:w="850" w:type="dxa"/>
            <w:tcBorders>
              <w:top w:val="nil"/>
              <w:left w:val="nil"/>
              <w:bottom w:val="nil"/>
              <w:right w:val="single" w:sz="4" w:space="0" w:color="auto"/>
            </w:tcBorders>
            <w:shd w:val="clear" w:color="000000" w:fill="FFFF00"/>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29 561</w:t>
            </w:r>
          </w:p>
        </w:tc>
        <w:tc>
          <w:tcPr>
            <w:tcW w:w="992" w:type="dxa"/>
            <w:tcBorders>
              <w:top w:val="nil"/>
              <w:left w:val="nil"/>
              <w:bottom w:val="nil"/>
              <w:right w:val="single" w:sz="4" w:space="0" w:color="auto"/>
            </w:tcBorders>
            <w:shd w:val="clear" w:color="000000" w:fill="FFFF00"/>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19 333</w:t>
            </w:r>
          </w:p>
        </w:tc>
        <w:tc>
          <w:tcPr>
            <w:tcW w:w="709" w:type="dxa"/>
            <w:tcBorders>
              <w:top w:val="nil"/>
              <w:left w:val="nil"/>
              <w:bottom w:val="nil"/>
              <w:right w:val="single" w:sz="4" w:space="0" w:color="auto"/>
            </w:tcBorders>
            <w:shd w:val="clear" w:color="auto" w:fill="auto"/>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72%</w:t>
            </w:r>
          </w:p>
        </w:tc>
      </w:tr>
      <w:tr w:rsidR="00AD26D7" w:rsidRPr="00345BC2" w:rsidTr="00A70C15">
        <w:trPr>
          <w:trHeight w:val="315"/>
        </w:trPr>
        <w:tc>
          <w:tcPr>
            <w:tcW w:w="567" w:type="dxa"/>
            <w:tcBorders>
              <w:top w:val="single" w:sz="8" w:space="0" w:color="auto"/>
              <w:left w:val="single" w:sz="8" w:space="0" w:color="auto"/>
              <w:bottom w:val="single" w:sz="8" w:space="0" w:color="auto"/>
              <w:right w:val="single" w:sz="4" w:space="0" w:color="auto"/>
            </w:tcBorders>
            <w:shd w:val="clear" w:color="000000" w:fill="D7E4BC"/>
            <w:noWrap/>
            <w:vAlign w:val="center"/>
            <w:hideMark/>
          </w:tcPr>
          <w:p w:rsidR="00AD26D7" w:rsidRPr="00345BC2" w:rsidRDefault="00AD26D7" w:rsidP="00A70C15">
            <w:pPr>
              <w:rPr>
                <w:rFonts w:ascii="Arial" w:hAnsi="Arial" w:cs="Arial"/>
                <w:sz w:val="20"/>
              </w:rPr>
            </w:pPr>
            <w:r w:rsidRPr="00345BC2">
              <w:rPr>
                <w:rFonts w:ascii="Arial" w:hAnsi="Arial" w:cs="Arial"/>
                <w:sz w:val="20"/>
              </w:rPr>
              <w:t>1.10</w:t>
            </w:r>
          </w:p>
        </w:tc>
        <w:tc>
          <w:tcPr>
            <w:tcW w:w="3827" w:type="dxa"/>
            <w:tcBorders>
              <w:top w:val="single" w:sz="8" w:space="0" w:color="auto"/>
              <w:left w:val="nil"/>
              <w:bottom w:val="single" w:sz="8" w:space="0" w:color="auto"/>
              <w:right w:val="single" w:sz="4" w:space="0" w:color="auto"/>
            </w:tcBorders>
            <w:shd w:val="clear" w:color="000000" w:fill="D7E4BC"/>
            <w:vAlign w:val="center"/>
            <w:hideMark/>
          </w:tcPr>
          <w:p w:rsidR="00AD26D7" w:rsidRPr="00345BC2" w:rsidRDefault="00AD26D7" w:rsidP="00A70C15">
            <w:pPr>
              <w:rPr>
                <w:rFonts w:ascii="Arial" w:hAnsi="Arial" w:cs="Arial"/>
                <w:b/>
                <w:bCs/>
                <w:sz w:val="20"/>
              </w:rPr>
            </w:pPr>
            <w:r w:rsidRPr="00345BC2">
              <w:rPr>
                <w:rFonts w:ascii="Arial" w:hAnsi="Arial" w:cs="Arial"/>
                <w:b/>
                <w:bCs/>
                <w:sz w:val="20"/>
              </w:rPr>
              <w:t>Kompenzáció összesen:(1.6+1.9)</w:t>
            </w:r>
          </w:p>
        </w:tc>
        <w:tc>
          <w:tcPr>
            <w:tcW w:w="992"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45 630</w:t>
            </w:r>
          </w:p>
        </w:tc>
        <w:tc>
          <w:tcPr>
            <w:tcW w:w="851"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38 874</w:t>
            </w:r>
          </w:p>
        </w:tc>
        <w:tc>
          <w:tcPr>
            <w:tcW w:w="850"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35 587</w:t>
            </w:r>
          </w:p>
        </w:tc>
        <w:tc>
          <w:tcPr>
            <w:tcW w:w="992"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35 540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AD26D7" w:rsidRPr="00345BC2" w:rsidRDefault="00AD26D7" w:rsidP="00A70C15">
            <w:pPr>
              <w:jc w:val="right"/>
              <w:rPr>
                <w:rFonts w:ascii="Arial" w:hAnsi="Arial" w:cs="Arial"/>
                <w:b/>
                <w:bCs/>
                <w:sz w:val="20"/>
              </w:rPr>
            </w:pPr>
            <w:r w:rsidRPr="00345BC2">
              <w:rPr>
                <w:rFonts w:ascii="Arial" w:hAnsi="Arial" w:cs="Arial"/>
                <w:b/>
                <w:bCs/>
                <w:sz w:val="20"/>
              </w:rPr>
              <w:t>78%</w:t>
            </w:r>
          </w:p>
        </w:tc>
      </w:tr>
    </w:tbl>
    <w:p w:rsidR="00AD26D7" w:rsidRDefault="00AD26D7" w:rsidP="00AD26D7">
      <w:pPr>
        <w:pStyle w:val="Szvegtrzs"/>
        <w:ind w:left="1276"/>
      </w:pPr>
    </w:p>
    <w:p w:rsidR="00AD26D7" w:rsidRPr="009B6B88" w:rsidRDefault="00AD26D7" w:rsidP="00AD26D7">
      <w:pPr>
        <w:pStyle w:val="StlusCmsor311pt"/>
      </w:pPr>
      <w:bookmarkStart w:id="106" w:name="_Toc289616992"/>
      <w:bookmarkStart w:id="107" w:name="_Toc320784663"/>
      <w:r>
        <w:t xml:space="preserve">A </w:t>
      </w:r>
      <w:proofErr w:type="gramStart"/>
      <w:r>
        <w:t>munkaerő-piaci szolgáltatások</w:t>
      </w:r>
      <w:bookmarkEnd w:id="106"/>
      <w:bookmarkEnd w:id="107"/>
      <w:proofErr w:type="gramEnd"/>
    </w:p>
    <w:p w:rsidR="00AD26D7" w:rsidRPr="003D1F42" w:rsidRDefault="00AD26D7" w:rsidP="00AD26D7">
      <w:pPr>
        <w:pStyle w:val="Szvegtrzs2"/>
        <w:ind w:left="567"/>
        <w:rPr>
          <w:b/>
        </w:rPr>
      </w:pPr>
      <w:r w:rsidRPr="009B6B88">
        <w:t xml:space="preserve">Az </w:t>
      </w:r>
      <w:r>
        <w:t>álláskeresők munkába segítése</w:t>
      </w:r>
      <w:r w:rsidRPr="009B6B88">
        <w:t xml:space="preserve"> </w:t>
      </w:r>
      <w:r>
        <w:t xml:space="preserve">három szolgáltatatási csoportban történik. Egyrészről a </w:t>
      </w:r>
      <w:r w:rsidRPr="001D2045">
        <w:t>közfoglalkoztatásra jelentkezők, illetve az ott dolgozóknak</w:t>
      </w:r>
      <w:r>
        <w:t>, m</w:t>
      </w:r>
      <w:r w:rsidRPr="001D2045">
        <w:t xml:space="preserve">ásrészt </w:t>
      </w:r>
      <w:r>
        <w:t xml:space="preserve">az </w:t>
      </w:r>
      <w:r w:rsidRPr="001D2045">
        <w:t xml:space="preserve">EU-s támogatású </w:t>
      </w:r>
      <w:r>
        <w:t xml:space="preserve">foglalkoztatás fejlesztő </w:t>
      </w:r>
      <w:r w:rsidRPr="001D2045">
        <w:t>projekt</w:t>
      </w:r>
      <w:r>
        <w:t xml:space="preserve">ek résztvevőinek, és harmadrészt az Munkaügyi Központok kiszervezésében, az ő általuk közvetített álláskeresőknek </w:t>
      </w:r>
      <w:r w:rsidRPr="001D2045">
        <w:t>segítün</w:t>
      </w:r>
      <w:r>
        <w:t>k kijutni a piaci munkah</w:t>
      </w:r>
      <w:r>
        <w:t>e</w:t>
      </w:r>
      <w:r>
        <w:t>lyekre.</w:t>
      </w:r>
      <w:r w:rsidRPr="00581B80">
        <w:t xml:space="preserve"> </w:t>
      </w:r>
      <w:r>
        <w:t xml:space="preserve">Mindhárom tevékenység szakmai és pénzügyi paramétereit elkülönítetten tartjuk nyilván. A teljes munkába segítő szolgáltatás összesített </w:t>
      </w:r>
      <w:r w:rsidRPr="001D2045">
        <w:t xml:space="preserve">eredményeit, </w:t>
      </w:r>
      <w:r>
        <w:t xml:space="preserve">az ábra és szöveg gyűjtemény </w:t>
      </w:r>
      <w:r w:rsidRPr="00C24F56">
        <w:t>2. a)</w:t>
      </w:r>
      <w:r>
        <w:t xml:space="preserve"> táblázata mutatja</w:t>
      </w:r>
      <w:r w:rsidRPr="001D2045">
        <w:t>.</w:t>
      </w:r>
      <w:r>
        <w:t xml:space="preserve"> Összességében </w:t>
      </w:r>
      <w:r>
        <w:rPr>
          <w:b/>
        </w:rPr>
        <w:t>5.058</w:t>
      </w:r>
      <w:r w:rsidRPr="004B6ACB">
        <w:rPr>
          <w:b/>
        </w:rPr>
        <w:t xml:space="preserve"> álláskereső</w:t>
      </w:r>
      <w:r>
        <w:t xml:space="preserve"> ügyféllel dolgoztunk, (ez a 2010. évi 125%-a). Közülük </w:t>
      </w:r>
      <w:r>
        <w:rPr>
          <w:b/>
        </w:rPr>
        <w:t>1.705</w:t>
      </w:r>
      <w:r w:rsidRPr="0053591D">
        <w:rPr>
          <w:b/>
        </w:rPr>
        <w:t xml:space="preserve"> főnek </w:t>
      </w:r>
      <w:r>
        <w:t xml:space="preserve">(137%) </w:t>
      </w:r>
      <w:r w:rsidRPr="0053591D">
        <w:rPr>
          <w:b/>
        </w:rPr>
        <w:t>tudtunk legális munkát szerezni</w:t>
      </w:r>
      <w:r>
        <w:t xml:space="preserve"> rövidebb-hosszabb időre. Közfoglalkoztatásba 1.346 főt közfoglalkoztatásba, </w:t>
      </w:r>
      <w:r w:rsidRPr="003D1F42">
        <w:rPr>
          <w:b/>
        </w:rPr>
        <w:t xml:space="preserve">tartós, piaci </w:t>
      </w:r>
      <w:r w:rsidRPr="00D85CD4">
        <w:rPr>
          <w:b/>
        </w:rPr>
        <w:t>munkahelyre –a válság ellenére is</w:t>
      </w:r>
      <w:r>
        <w:t xml:space="preserve"> </w:t>
      </w:r>
      <w:r>
        <w:rPr>
          <w:b/>
        </w:rPr>
        <w:t>359</w:t>
      </w:r>
      <w:r w:rsidRPr="00FD1185">
        <w:rPr>
          <w:b/>
        </w:rPr>
        <w:t xml:space="preserve"> főt (!)</w:t>
      </w:r>
      <w:r>
        <w:rPr>
          <w:b/>
        </w:rPr>
        <w:t xml:space="preserve"> </w:t>
      </w:r>
      <w:proofErr w:type="gramStart"/>
      <w:r w:rsidRPr="003D1F42">
        <w:rPr>
          <w:b/>
        </w:rPr>
        <w:t>sikerült</w:t>
      </w:r>
      <w:proofErr w:type="gramEnd"/>
      <w:r w:rsidRPr="003D1F42">
        <w:rPr>
          <w:b/>
        </w:rPr>
        <w:t xml:space="preserve"> vezetni!</w:t>
      </w:r>
    </w:p>
    <w:p w:rsidR="00AD26D7" w:rsidRPr="00736975" w:rsidRDefault="00AD26D7" w:rsidP="00AD26D7">
      <w:pPr>
        <w:pStyle w:val="StlusCmsor4Egalizls14pt"/>
      </w:pPr>
      <w:r>
        <w:t>S</w:t>
      </w:r>
      <w:r w:rsidRPr="00736975">
        <w:t>zakmai teljesítés</w:t>
      </w:r>
    </w:p>
    <w:p w:rsidR="00AD26D7" w:rsidRDefault="00AD26D7" w:rsidP="00AD26D7">
      <w:pPr>
        <w:pStyle w:val="Szvegtrzs2"/>
        <w:ind w:left="567"/>
      </w:pPr>
      <w:r>
        <w:t xml:space="preserve">A Fővárosi Önkormányzattal fennálló Közszolgáltatási Szerződésben külön </w:t>
      </w:r>
      <w:r>
        <w:lastRenderedPageBreak/>
        <w:t>szakfelada</w:t>
      </w:r>
      <w:r>
        <w:t>t</w:t>
      </w:r>
      <w:r>
        <w:t xml:space="preserve">ként szerepelnek a közfoglalkoztatási, a </w:t>
      </w:r>
      <w:proofErr w:type="gramStart"/>
      <w:r>
        <w:t>munkaerő-piaci szolgáltatási</w:t>
      </w:r>
      <w:proofErr w:type="gramEnd"/>
      <w:r>
        <w:t xml:space="preserve"> és a munkába segítő programok. E közszolgáltatáson a 2011. évben </w:t>
      </w:r>
      <w:r w:rsidRPr="000E6656">
        <w:rPr>
          <w:b/>
        </w:rPr>
        <w:t>óriási felfutást tudtunk megszervezni</w:t>
      </w:r>
      <w:r>
        <w:t>. A Munkaügyi Központ (KMRMK) által kiírt, nyertes pályázatunk alapján hét fővárosi ker</w:t>
      </w:r>
      <w:r>
        <w:t>ü</w:t>
      </w:r>
      <w:r>
        <w:t xml:space="preserve">let és a fővárosi hajléktalan álláskeresőknek nyújthatunk szolgáltatást. Az </w:t>
      </w:r>
      <w:r w:rsidRPr="00EC38C8">
        <w:rPr>
          <w:b/>
        </w:rPr>
        <w:t>1.409 állásker</w:t>
      </w:r>
      <w:r w:rsidRPr="00EC38C8">
        <w:rPr>
          <w:b/>
        </w:rPr>
        <w:t>e</w:t>
      </w:r>
      <w:r w:rsidRPr="00EC38C8">
        <w:rPr>
          <w:b/>
        </w:rPr>
        <w:t>sők</w:t>
      </w:r>
      <w:r>
        <w:t xml:space="preserve"> számára</w:t>
      </w:r>
      <w:r w:rsidRPr="00152717">
        <w:t xml:space="preserve"> egyéni tanácsadást, csoportos álláskeresési technikák oktatását és Álláskereső </w:t>
      </w:r>
      <w:proofErr w:type="gramStart"/>
      <w:r w:rsidRPr="00152717">
        <w:t>Klub foglalkozásokat</w:t>
      </w:r>
      <w:proofErr w:type="gramEnd"/>
      <w:r w:rsidRPr="00543F9D">
        <w:t xml:space="preserve"> </w:t>
      </w:r>
      <w:r w:rsidRPr="00152717">
        <w:t>nyújt</w:t>
      </w:r>
      <w:r>
        <w:t>ott</w:t>
      </w:r>
      <w:r w:rsidRPr="00152717">
        <w:t xml:space="preserve">unk. </w:t>
      </w:r>
      <w:r>
        <w:t>B</w:t>
      </w:r>
      <w:r w:rsidRPr="00152717">
        <w:t xml:space="preserve">ár a program </w:t>
      </w:r>
      <w:r>
        <w:t xml:space="preserve">2012. áprilisig tart, </w:t>
      </w:r>
      <w:r w:rsidRPr="00152717">
        <w:t xml:space="preserve">de </w:t>
      </w:r>
      <w:r>
        <w:t>az év végéig</w:t>
      </w:r>
      <w:r w:rsidRPr="00152717">
        <w:t xml:space="preserve"> is </w:t>
      </w:r>
      <w:r w:rsidRPr="00EC38C8">
        <w:rPr>
          <w:b/>
        </w:rPr>
        <w:t>214 főt helyeztünk el, közülük 140 főt piaci munkahelyre</w:t>
      </w:r>
      <w:r w:rsidRPr="00152717">
        <w:t>.</w:t>
      </w:r>
      <w:r>
        <w:t xml:space="preserve"> Ez az előző év </w:t>
      </w:r>
      <w:proofErr w:type="gramStart"/>
      <w:r>
        <w:t>több, mint</w:t>
      </w:r>
      <w:proofErr w:type="gramEnd"/>
      <w:r>
        <w:t xml:space="preserve"> ö</w:t>
      </w:r>
      <w:r>
        <w:t>t</w:t>
      </w:r>
      <w:r>
        <w:t>szöröse!</w:t>
      </w:r>
    </w:p>
    <w:p w:rsidR="00AD26D7" w:rsidRDefault="00AD26D7" w:rsidP="00AD26D7">
      <w:pPr>
        <w:pStyle w:val="Szvegtrzs2"/>
        <w:ind w:left="567"/>
      </w:pPr>
    </w:p>
    <w:p w:rsidR="00AD26D7" w:rsidRDefault="00AD26D7" w:rsidP="00AD26D7">
      <w:pPr>
        <w:pStyle w:val="Szvegtrzs"/>
        <w:numPr>
          <w:ilvl w:val="0"/>
          <w:numId w:val="5"/>
        </w:numPr>
        <w:ind w:left="851" w:hanging="323"/>
      </w:pPr>
      <w:r>
        <w:t>számú ábra: A munkaerő-piaci közszolgáltatás teljesítménye</w:t>
      </w:r>
    </w:p>
    <w:p w:rsidR="00AD26D7" w:rsidRDefault="00AD26D7" w:rsidP="00AD26D7">
      <w:pPr>
        <w:pStyle w:val="Szvegtrzs"/>
        <w:ind w:left="851"/>
      </w:pPr>
    </w:p>
    <w:tbl>
      <w:tblPr>
        <w:tblW w:w="8789" w:type="dxa"/>
        <w:tblInd w:w="637" w:type="dxa"/>
        <w:tblCellMar>
          <w:left w:w="70" w:type="dxa"/>
          <w:right w:w="70" w:type="dxa"/>
        </w:tblCellMar>
        <w:tblLook w:val="04A0"/>
      </w:tblPr>
      <w:tblGrid>
        <w:gridCol w:w="3686"/>
        <w:gridCol w:w="850"/>
        <w:gridCol w:w="1276"/>
        <w:gridCol w:w="1559"/>
        <w:gridCol w:w="1418"/>
      </w:tblGrid>
      <w:tr w:rsidR="00AD26D7" w:rsidRPr="003C73C6" w:rsidTr="00A70C15">
        <w:trPr>
          <w:trHeight w:val="330"/>
        </w:trPr>
        <w:tc>
          <w:tcPr>
            <w:tcW w:w="36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26D7" w:rsidRPr="003C73C6" w:rsidRDefault="00AD26D7" w:rsidP="00A70C15">
            <w:pPr>
              <w:rPr>
                <w:b/>
                <w:bCs/>
                <w:szCs w:val="24"/>
              </w:rPr>
            </w:pPr>
            <w:r w:rsidRPr="003C73C6">
              <w:rPr>
                <w:b/>
                <w:bCs/>
                <w:szCs w:val="24"/>
              </w:rPr>
              <w:t>2. Munkaerő-piaci közszolgáltatás</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D26D7" w:rsidRPr="003C73C6" w:rsidRDefault="00AD26D7" w:rsidP="00A70C15">
            <w:pPr>
              <w:jc w:val="center"/>
              <w:rPr>
                <w:szCs w:val="24"/>
              </w:rPr>
            </w:pPr>
            <w:r w:rsidRPr="003C73C6">
              <w:rPr>
                <w:szCs w:val="24"/>
              </w:rPr>
              <w:t> M.E.</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AD26D7" w:rsidRPr="003C73C6" w:rsidRDefault="00AD26D7" w:rsidP="00A70C15">
            <w:pPr>
              <w:jc w:val="center"/>
              <w:rPr>
                <w:szCs w:val="24"/>
              </w:rPr>
            </w:pPr>
            <w:r w:rsidRPr="003C73C6">
              <w:rPr>
                <w:szCs w:val="24"/>
              </w:rPr>
              <w:t xml:space="preserve"> 2010. tény </w:t>
            </w:r>
          </w:p>
        </w:tc>
        <w:tc>
          <w:tcPr>
            <w:tcW w:w="1559" w:type="dxa"/>
            <w:tcBorders>
              <w:top w:val="single" w:sz="8" w:space="0" w:color="auto"/>
              <w:left w:val="nil"/>
              <w:bottom w:val="single" w:sz="8" w:space="0" w:color="auto"/>
              <w:right w:val="single" w:sz="4" w:space="0" w:color="auto"/>
            </w:tcBorders>
            <w:shd w:val="clear" w:color="000000" w:fill="FDE9D9"/>
            <w:vAlign w:val="center"/>
            <w:hideMark/>
          </w:tcPr>
          <w:p w:rsidR="00AD26D7" w:rsidRPr="003C73C6" w:rsidRDefault="00AD26D7" w:rsidP="00A70C15">
            <w:pPr>
              <w:jc w:val="center"/>
              <w:rPr>
                <w:b/>
                <w:bCs/>
                <w:szCs w:val="24"/>
              </w:rPr>
            </w:pPr>
            <w:r w:rsidRPr="003C73C6">
              <w:rPr>
                <w:b/>
                <w:bCs/>
                <w:szCs w:val="24"/>
              </w:rPr>
              <w:t>2011. tény</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D26D7" w:rsidRPr="003C73C6" w:rsidRDefault="00AD26D7" w:rsidP="00A70C15">
            <w:pPr>
              <w:jc w:val="center"/>
              <w:rPr>
                <w:rFonts w:ascii="Arial" w:hAnsi="Arial" w:cs="Arial"/>
                <w:color w:val="000000"/>
                <w:sz w:val="20"/>
              </w:rPr>
            </w:pPr>
            <w:r w:rsidRPr="003C73C6">
              <w:rPr>
                <w:rFonts w:ascii="Arial" w:hAnsi="Arial" w:cs="Arial"/>
                <w:color w:val="000000"/>
                <w:sz w:val="20"/>
              </w:rPr>
              <w:t>2011/2010</w:t>
            </w:r>
          </w:p>
        </w:tc>
      </w:tr>
      <w:tr w:rsidR="00AD26D7" w:rsidRPr="003C73C6" w:rsidTr="00A70C15">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D26D7" w:rsidRPr="003C73C6" w:rsidRDefault="00AD26D7" w:rsidP="00A70C15">
            <w:pPr>
              <w:rPr>
                <w:sz w:val="22"/>
                <w:szCs w:val="22"/>
              </w:rPr>
            </w:pPr>
            <w:r w:rsidRPr="003C73C6">
              <w:rPr>
                <w:sz w:val="22"/>
                <w:szCs w:val="22"/>
              </w:rPr>
              <w:t>a) Ügyfelek száma:</w:t>
            </w:r>
          </w:p>
        </w:tc>
        <w:tc>
          <w:tcPr>
            <w:tcW w:w="850" w:type="dxa"/>
            <w:tcBorders>
              <w:top w:val="nil"/>
              <w:left w:val="nil"/>
              <w:bottom w:val="single" w:sz="4" w:space="0" w:color="auto"/>
              <w:right w:val="single" w:sz="4" w:space="0" w:color="auto"/>
            </w:tcBorders>
            <w:shd w:val="clear" w:color="auto" w:fill="auto"/>
            <w:vAlign w:val="center"/>
            <w:hideMark/>
          </w:tcPr>
          <w:p w:rsidR="00AD26D7" w:rsidRPr="003C73C6" w:rsidRDefault="00AD26D7" w:rsidP="00A70C15">
            <w:pPr>
              <w:jc w:val="center"/>
              <w:rPr>
                <w:sz w:val="22"/>
                <w:szCs w:val="22"/>
              </w:rPr>
            </w:pPr>
            <w:r w:rsidRPr="003C73C6">
              <w:rPr>
                <w:sz w:val="22"/>
                <w:szCs w:val="22"/>
              </w:rPr>
              <w:t>fő</w:t>
            </w:r>
          </w:p>
        </w:tc>
        <w:tc>
          <w:tcPr>
            <w:tcW w:w="1276" w:type="dxa"/>
            <w:tcBorders>
              <w:top w:val="nil"/>
              <w:left w:val="nil"/>
              <w:bottom w:val="single" w:sz="4" w:space="0" w:color="auto"/>
              <w:right w:val="single" w:sz="4" w:space="0" w:color="auto"/>
            </w:tcBorders>
            <w:shd w:val="clear" w:color="auto" w:fill="auto"/>
            <w:vAlign w:val="center"/>
            <w:hideMark/>
          </w:tcPr>
          <w:p w:rsidR="00AD26D7" w:rsidRPr="003C73C6" w:rsidRDefault="00AD26D7" w:rsidP="00A70C15">
            <w:pPr>
              <w:ind w:right="316"/>
              <w:jc w:val="right"/>
              <w:rPr>
                <w:sz w:val="22"/>
                <w:szCs w:val="22"/>
              </w:rPr>
            </w:pPr>
            <w:r w:rsidRPr="003C73C6">
              <w:rPr>
                <w:sz w:val="22"/>
                <w:szCs w:val="22"/>
              </w:rPr>
              <w:t>653</w:t>
            </w:r>
          </w:p>
        </w:tc>
        <w:tc>
          <w:tcPr>
            <w:tcW w:w="1559" w:type="dxa"/>
            <w:tcBorders>
              <w:top w:val="nil"/>
              <w:left w:val="nil"/>
              <w:bottom w:val="single" w:sz="4" w:space="0" w:color="auto"/>
              <w:right w:val="single" w:sz="4" w:space="0" w:color="auto"/>
            </w:tcBorders>
            <w:shd w:val="clear" w:color="000000" w:fill="FDE9D9"/>
            <w:vAlign w:val="center"/>
            <w:hideMark/>
          </w:tcPr>
          <w:p w:rsidR="00AD26D7" w:rsidRPr="003C73C6" w:rsidRDefault="00AD26D7" w:rsidP="00A70C15">
            <w:pPr>
              <w:ind w:right="355"/>
              <w:jc w:val="right"/>
              <w:rPr>
                <w:b/>
                <w:bCs/>
                <w:szCs w:val="24"/>
              </w:rPr>
            </w:pPr>
            <w:r>
              <w:rPr>
                <w:b/>
                <w:bCs/>
                <w:szCs w:val="24"/>
              </w:rPr>
              <w:t>1.</w:t>
            </w:r>
            <w:r w:rsidRPr="003C73C6">
              <w:rPr>
                <w:b/>
                <w:bCs/>
                <w:szCs w:val="24"/>
              </w:rPr>
              <w:t>409</w:t>
            </w:r>
          </w:p>
        </w:tc>
        <w:tc>
          <w:tcPr>
            <w:tcW w:w="1418" w:type="dxa"/>
            <w:tcBorders>
              <w:top w:val="nil"/>
              <w:left w:val="nil"/>
              <w:bottom w:val="single" w:sz="4" w:space="0" w:color="auto"/>
              <w:right w:val="single" w:sz="4" w:space="0" w:color="auto"/>
            </w:tcBorders>
            <w:shd w:val="clear" w:color="auto" w:fill="auto"/>
            <w:vAlign w:val="center"/>
            <w:hideMark/>
          </w:tcPr>
          <w:p w:rsidR="00AD26D7" w:rsidRPr="003C73C6" w:rsidRDefault="00AD26D7" w:rsidP="00A70C15">
            <w:pPr>
              <w:jc w:val="center"/>
              <w:rPr>
                <w:b/>
                <w:bCs/>
                <w:szCs w:val="24"/>
              </w:rPr>
            </w:pPr>
            <w:r w:rsidRPr="003C73C6">
              <w:rPr>
                <w:b/>
                <w:bCs/>
                <w:szCs w:val="24"/>
              </w:rPr>
              <w:t>216%</w:t>
            </w:r>
          </w:p>
        </w:tc>
      </w:tr>
      <w:tr w:rsidR="00AD26D7" w:rsidRPr="003C73C6" w:rsidTr="00A70C15">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D26D7" w:rsidRPr="003C73C6" w:rsidRDefault="00AD26D7" w:rsidP="00A70C15">
            <w:pPr>
              <w:rPr>
                <w:sz w:val="22"/>
                <w:szCs w:val="22"/>
              </w:rPr>
            </w:pPr>
            <w:r w:rsidRPr="003C73C6">
              <w:rPr>
                <w:sz w:val="22"/>
                <w:szCs w:val="22"/>
              </w:rPr>
              <w:t>b) Pozitív kimenet</w:t>
            </w:r>
          </w:p>
        </w:tc>
        <w:tc>
          <w:tcPr>
            <w:tcW w:w="850" w:type="dxa"/>
            <w:tcBorders>
              <w:top w:val="nil"/>
              <w:left w:val="nil"/>
              <w:bottom w:val="single" w:sz="4" w:space="0" w:color="auto"/>
              <w:right w:val="single" w:sz="4" w:space="0" w:color="auto"/>
            </w:tcBorders>
            <w:shd w:val="clear" w:color="auto" w:fill="auto"/>
            <w:vAlign w:val="center"/>
            <w:hideMark/>
          </w:tcPr>
          <w:p w:rsidR="00AD26D7" w:rsidRPr="003C73C6" w:rsidRDefault="00AD26D7" w:rsidP="00A70C15">
            <w:pPr>
              <w:jc w:val="center"/>
              <w:rPr>
                <w:sz w:val="22"/>
                <w:szCs w:val="22"/>
              </w:rPr>
            </w:pPr>
            <w:r w:rsidRPr="003C73C6">
              <w:rPr>
                <w:sz w:val="22"/>
                <w:szCs w:val="22"/>
              </w:rPr>
              <w:t>fő</w:t>
            </w:r>
          </w:p>
        </w:tc>
        <w:tc>
          <w:tcPr>
            <w:tcW w:w="1276" w:type="dxa"/>
            <w:tcBorders>
              <w:top w:val="nil"/>
              <w:left w:val="nil"/>
              <w:bottom w:val="single" w:sz="4" w:space="0" w:color="auto"/>
              <w:right w:val="single" w:sz="4" w:space="0" w:color="auto"/>
            </w:tcBorders>
            <w:shd w:val="clear" w:color="auto" w:fill="auto"/>
            <w:vAlign w:val="center"/>
            <w:hideMark/>
          </w:tcPr>
          <w:p w:rsidR="00AD26D7" w:rsidRPr="003C73C6" w:rsidRDefault="00AD26D7" w:rsidP="00A70C15">
            <w:pPr>
              <w:ind w:right="316"/>
              <w:jc w:val="right"/>
              <w:rPr>
                <w:sz w:val="22"/>
                <w:szCs w:val="22"/>
              </w:rPr>
            </w:pPr>
            <w:r w:rsidRPr="003C73C6">
              <w:rPr>
                <w:sz w:val="22"/>
                <w:szCs w:val="22"/>
              </w:rPr>
              <w:t>113</w:t>
            </w:r>
          </w:p>
        </w:tc>
        <w:tc>
          <w:tcPr>
            <w:tcW w:w="1559" w:type="dxa"/>
            <w:tcBorders>
              <w:top w:val="nil"/>
              <w:left w:val="nil"/>
              <w:bottom w:val="single" w:sz="4" w:space="0" w:color="auto"/>
              <w:right w:val="single" w:sz="4" w:space="0" w:color="auto"/>
            </w:tcBorders>
            <w:shd w:val="clear" w:color="000000" w:fill="FDE9D9"/>
            <w:vAlign w:val="center"/>
            <w:hideMark/>
          </w:tcPr>
          <w:p w:rsidR="00AD26D7" w:rsidRPr="003C73C6" w:rsidRDefault="00AD26D7" w:rsidP="00A70C15">
            <w:pPr>
              <w:ind w:right="355"/>
              <w:jc w:val="right"/>
              <w:rPr>
                <w:b/>
                <w:bCs/>
                <w:szCs w:val="24"/>
              </w:rPr>
            </w:pPr>
            <w:r w:rsidRPr="003C73C6">
              <w:rPr>
                <w:b/>
                <w:bCs/>
                <w:szCs w:val="24"/>
              </w:rPr>
              <w:t>267</w:t>
            </w:r>
          </w:p>
        </w:tc>
        <w:tc>
          <w:tcPr>
            <w:tcW w:w="1418" w:type="dxa"/>
            <w:tcBorders>
              <w:top w:val="nil"/>
              <w:left w:val="nil"/>
              <w:bottom w:val="single" w:sz="4" w:space="0" w:color="auto"/>
              <w:right w:val="single" w:sz="4" w:space="0" w:color="auto"/>
            </w:tcBorders>
            <w:shd w:val="clear" w:color="auto" w:fill="auto"/>
            <w:vAlign w:val="center"/>
            <w:hideMark/>
          </w:tcPr>
          <w:p w:rsidR="00AD26D7" w:rsidRPr="003C73C6" w:rsidRDefault="00AD26D7" w:rsidP="00A70C15">
            <w:pPr>
              <w:jc w:val="center"/>
              <w:rPr>
                <w:b/>
                <w:bCs/>
                <w:szCs w:val="24"/>
              </w:rPr>
            </w:pPr>
            <w:r w:rsidRPr="003C73C6">
              <w:rPr>
                <w:b/>
                <w:bCs/>
                <w:szCs w:val="24"/>
              </w:rPr>
              <w:t>236%</w:t>
            </w:r>
          </w:p>
        </w:tc>
      </w:tr>
      <w:tr w:rsidR="00AD26D7" w:rsidRPr="003C73C6" w:rsidTr="00A70C15">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D26D7" w:rsidRPr="003C73C6" w:rsidRDefault="00AD26D7" w:rsidP="00A70C15">
            <w:pPr>
              <w:rPr>
                <w:sz w:val="22"/>
                <w:szCs w:val="22"/>
              </w:rPr>
            </w:pPr>
            <w:r w:rsidRPr="003C73C6">
              <w:rPr>
                <w:sz w:val="22"/>
                <w:szCs w:val="22"/>
              </w:rPr>
              <w:t>c) Munkaszerződést kötött:</w:t>
            </w:r>
          </w:p>
        </w:tc>
        <w:tc>
          <w:tcPr>
            <w:tcW w:w="850" w:type="dxa"/>
            <w:tcBorders>
              <w:top w:val="nil"/>
              <w:left w:val="nil"/>
              <w:bottom w:val="single" w:sz="4" w:space="0" w:color="auto"/>
              <w:right w:val="single" w:sz="4" w:space="0" w:color="auto"/>
            </w:tcBorders>
            <w:shd w:val="clear" w:color="auto" w:fill="auto"/>
            <w:vAlign w:val="center"/>
            <w:hideMark/>
          </w:tcPr>
          <w:p w:rsidR="00AD26D7" w:rsidRPr="003C73C6" w:rsidRDefault="00AD26D7" w:rsidP="00A70C15">
            <w:pPr>
              <w:jc w:val="center"/>
              <w:rPr>
                <w:sz w:val="22"/>
                <w:szCs w:val="22"/>
              </w:rPr>
            </w:pPr>
            <w:r w:rsidRPr="003C73C6">
              <w:rPr>
                <w:sz w:val="22"/>
                <w:szCs w:val="22"/>
              </w:rPr>
              <w:t>fő</w:t>
            </w:r>
          </w:p>
        </w:tc>
        <w:tc>
          <w:tcPr>
            <w:tcW w:w="1276" w:type="dxa"/>
            <w:tcBorders>
              <w:top w:val="nil"/>
              <w:left w:val="nil"/>
              <w:bottom w:val="single" w:sz="4" w:space="0" w:color="auto"/>
              <w:right w:val="single" w:sz="4" w:space="0" w:color="auto"/>
            </w:tcBorders>
            <w:shd w:val="clear" w:color="auto" w:fill="auto"/>
            <w:vAlign w:val="center"/>
            <w:hideMark/>
          </w:tcPr>
          <w:p w:rsidR="00AD26D7" w:rsidRPr="003C73C6" w:rsidRDefault="00AD26D7" w:rsidP="00A70C15">
            <w:pPr>
              <w:ind w:right="316"/>
              <w:jc w:val="right"/>
              <w:rPr>
                <w:sz w:val="22"/>
                <w:szCs w:val="22"/>
              </w:rPr>
            </w:pPr>
            <w:r w:rsidRPr="003C73C6">
              <w:rPr>
                <w:sz w:val="22"/>
                <w:szCs w:val="22"/>
              </w:rPr>
              <w:t>38</w:t>
            </w:r>
          </w:p>
        </w:tc>
        <w:tc>
          <w:tcPr>
            <w:tcW w:w="1559" w:type="dxa"/>
            <w:tcBorders>
              <w:top w:val="nil"/>
              <w:left w:val="nil"/>
              <w:bottom w:val="single" w:sz="4" w:space="0" w:color="auto"/>
              <w:right w:val="single" w:sz="4" w:space="0" w:color="auto"/>
            </w:tcBorders>
            <w:shd w:val="clear" w:color="000000" w:fill="FDE9D9"/>
            <w:vAlign w:val="center"/>
            <w:hideMark/>
          </w:tcPr>
          <w:p w:rsidR="00AD26D7" w:rsidRPr="003C73C6" w:rsidRDefault="00AD26D7" w:rsidP="00A70C15">
            <w:pPr>
              <w:ind w:right="355"/>
              <w:jc w:val="right"/>
              <w:rPr>
                <w:b/>
                <w:bCs/>
                <w:szCs w:val="24"/>
              </w:rPr>
            </w:pPr>
            <w:r w:rsidRPr="003C73C6">
              <w:rPr>
                <w:b/>
                <w:bCs/>
                <w:szCs w:val="24"/>
              </w:rPr>
              <w:t>214</w:t>
            </w:r>
          </w:p>
        </w:tc>
        <w:tc>
          <w:tcPr>
            <w:tcW w:w="1418" w:type="dxa"/>
            <w:tcBorders>
              <w:top w:val="nil"/>
              <w:left w:val="nil"/>
              <w:bottom w:val="single" w:sz="4" w:space="0" w:color="auto"/>
              <w:right w:val="single" w:sz="4" w:space="0" w:color="auto"/>
            </w:tcBorders>
            <w:shd w:val="clear" w:color="auto" w:fill="auto"/>
            <w:vAlign w:val="center"/>
            <w:hideMark/>
          </w:tcPr>
          <w:p w:rsidR="00AD26D7" w:rsidRPr="003C73C6" w:rsidRDefault="00AD26D7" w:rsidP="00A70C15">
            <w:pPr>
              <w:jc w:val="center"/>
              <w:rPr>
                <w:b/>
                <w:bCs/>
                <w:szCs w:val="24"/>
              </w:rPr>
            </w:pPr>
            <w:r w:rsidRPr="003C73C6">
              <w:rPr>
                <w:b/>
                <w:bCs/>
                <w:szCs w:val="24"/>
              </w:rPr>
              <w:t>563%</w:t>
            </w:r>
          </w:p>
        </w:tc>
      </w:tr>
    </w:tbl>
    <w:p w:rsidR="00AD26D7" w:rsidRDefault="00AD26D7" w:rsidP="00AD26D7">
      <w:pPr>
        <w:pStyle w:val="Szvegtrzs2"/>
        <w:ind w:left="567"/>
      </w:pPr>
    </w:p>
    <w:p w:rsidR="00AD26D7" w:rsidRPr="00736975" w:rsidRDefault="00AD26D7" w:rsidP="00AD26D7">
      <w:pPr>
        <w:pStyle w:val="StlusCmsor4Egalizls14pt"/>
      </w:pPr>
      <w:r w:rsidRPr="00736975">
        <w:t>Pénzügyi teljesítés</w:t>
      </w:r>
    </w:p>
    <w:p w:rsidR="00AD26D7" w:rsidRPr="00611B04" w:rsidRDefault="00AD26D7" w:rsidP="00AD26D7">
      <w:pPr>
        <w:pStyle w:val="Szvegtrzs2"/>
        <w:ind w:left="567"/>
      </w:pPr>
      <w:r>
        <w:t>A nyert többletfeladatok ellátására négy munkatanácsadót vettünk fel, továbbá a koordin</w:t>
      </w:r>
      <w:r>
        <w:t>á</w:t>
      </w:r>
      <w:r>
        <w:t xml:space="preserve">cióra egy nagy tapasztalattal rendelkező kerületi kirendeltség-vezetőt csoportosítottunk át, s végül egy </w:t>
      </w:r>
      <w:proofErr w:type="spellStart"/>
      <w:r>
        <w:t>GYES-ről</w:t>
      </w:r>
      <w:proofErr w:type="spellEnd"/>
      <w:r>
        <w:t xml:space="preserve"> visszatérő munkáltatói kapcsolati menedzsert szerveztünk be. A 24.877 ezer Ft közvetlen költségeket a KMRMK teljes mértékben finanszírozta (4. számú ábra). A központi általános költségek a szakfeladatot jóval nagyobb arányban terhelték, h</w:t>
      </w:r>
      <w:r>
        <w:t>i</w:t>
      </w:r>
      <w:r>
        <w:t>szen az igen nagy ügyfélforgalom és a szinte folyamatos képzés, csoportos tanácsadás j</w:t>
      </w:r>
      <w:r>
        <w:t>e</w:t>
      </w:r>
      <w:r>
        <w:t xml:space="preserve">lentősen megnövelte az épület használati arányt. Így itt kevéssé volt érezhető e költség csökkenése. A 9.487 ezer Ft felosztott általános költségből viszont 5.116 ezer Ft-ot még képes volt fedezni, így a fővárosi jogos kompenzáció mértéke 4.371 ezer Ft. Ez az összeg az előirányzatot (2.000 ezer Ft) meghaladja, viszont így is, </w:t>
      </w:r>
      <w:r w:rsidRPr="00611B04">
        <w:t>3-5-szörös teljesítmény mellett is, az előző évi támogatásnak csak 87%-</w:t>
      </w:r>
      <w:proofErr w:type="gramStart"/>
      <w:r w:rsidRPr="00611B04">
        <w:t>a.</w:t>
      </w:r>
      <w:proofErr w:type="gramEnd"/>
    </w:p>
    <w:p w:rsidR="00AD26D7" w:rsidRDefault="00AD26D7" w:rsidP="00AD26D7"/>
    <w:p w:rsidR="00AD26D7" w:rsidRDefault="00AD26D7" w:rsidP="00AD26D7">
      <w:pPr>
        <w:pStyle w:val="Szvegtrzs"/>
        <w:numPr>
          <w:ilvl w:val="0"/>
          <w:numId w:val="5"/>
        </w:numPr>
        <w:ind w:left="1276" w:hanging="323"/>
      </w:pPr>
      <w:r>
        <w:t>számú ábra: A Munkaerő-piaci közszolgáltatás egyenlege</w:t>
      </w:r>
    </w:p>
    <w:p w:rsidR="00AD26D7" w:rsidRDefault="00AD26D7" w:rsidP="00AD26D7">
      <w:pPr>
        <w:pStyle w:val="Szvegtrzs"/>
        <w:ind w:left="1276"/>
      </w:pPr>
    </w:p>
    <w:tbl>
      <w:tblPr>
        <w:tblW w:w="9508" w:type="dxa"/>
        <w:tblInd w:w="60" w:type="dxa"/>
        <w:tblCellMar>
          <w:left w:w="70" w:type="dxa"/>
          <w:right w:w="70" w:type="dxa"/>
        </w:tblCellMar>
        <w:tblLook w:val="04A0"/>
      </w:tblPr>
      <w:tblGrid>
        <w:gridCol w:w="520"/>
        <w:gridCol w:w="3880"/>
        <w:gridCol w:w="997"/>
        <w:gridCol w:w="992"/>
        <w:gridCol w:w="992"/>
        <w:gridCol w:w="1276"/>
        <w:gridCol w:w="851"/>
      </w:tblGrid>
      <w:tr w:rsidR="00AD26D7" w:rsidRPr="00713EF0" w:rsidTr="00A70C15">
        <w:trPr>
          <w:trHeight w:val="525"/>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D26D7" w:rsidRPr="00713EF0" w:rsidRDefault="00AD26D7" w:rsidP="00A70C15">
            <w:pPr>
              <w:rPr>
                <w:rFonts w:ascii="Arial" w:hAnsi="Arial" w:cs="Arial"/>
                <w:sz w:val="20"/>
              </w:rPr>
            </w:pPr>
            <w:r w:rsidRPr="00713EF0">
              <w:rPr>
                <w:rFonts w:ascii="Arial" w:hAnsi="Arial" w:cs="Arial"/>
                <w:sz w:val="20"/>
              </w:rPr>
              <w:t>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AD26D7" w:rsidRPr="00713EF0" w:rsidRDefault="00AD26D7" w:rsidP="00A70C15">
            <w:pPr>
              <w:rPr>
                <w:rFonts w:ascii="Arial" w:hAnsi="Arial" w:cs="Arial"/>
                <w:b/>
                <w:bCs/>
                <w:sz w:val="20"/>
              </w:rPr>
            </w:pPr>
            <w:r w:rsidRPr="00713EF0">
              <w:rPr>
                <w:rFonts w:ascii="Arial" w:hAnsi="Arial" w:cs="Arial"/>
                <w:b/>
                <w:bCs/>
                <w:sz w:val="20"/>
              </w:rPr>
              <w:t>Munkaerő-piaci Közszolgáltatás</w:t>
            </w:r>
          </w:p>
        </w:tc>
        <w:tc>
          <w:tcPr>
            <w:tcW w:w="997" w:type="dxa"/>
            <w:tcBorders>
              <w:top w:val="single" w:sz="8" w:space="0" w:color="auto"/>
              <w:left w:val="nil"/>
              <w:bottom w:val="single" w:sz="8" w:space="0" w:color="auto"/>
              <w:right w:val="single" w:sz="4" w:space="0" w:color="auto"/>
            </w:tcBorders>
            <w:shd w:val="clear" w:color="auto" w:fill="auto"/>
            <w:vAlign w:val="center"/>
            <w:hideMark/>
          </w:tcPr>
          <w:p w:rsidR="00AD26D7" w:rsidRPr="00713EF0" w:rsidRDefault="00AD26D7" w:rsidP="00A70C15">
            <w:pPr>
              <w:jc w:val="center"/>
              <w:rPr>
                <w:rFonts w:ascii="Arial" w:hAnsi="Arial" w:cs="Arial"/>
                <w:sz w:val="20"/>
              </w:rPr>
            </w:pPr>
            <w:r w:rsidRPr="00713EF0">
              <w:rPr>
                <w:rFonts w:ascii="Arial" w:hAnsi="Arial" w:cs="Arial"/>
                <w:sz w:val="20"/>
              </w:rPr>
              <w:t>2010. tény*</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D26D7" w:rsidRPr="00713EF0" w:rsidRDefault="00AD26D7" w:rsidP="00A70C15">
            <w:pPr>
              <w:jc w:val="center"/>
              <w:rPr>
                <w:rFonts w:ascii="Arial" w:hAnsi="Arial" w:cs="Arial"/>
                <w:sz w:val="20"/>
              </w:rPr>
            </w:pPr>
            <w:proofErr w:type="gramStart"/>
            <w:r w:rsidRPr="00713EF0">
              <w:rPr>
                <w:rFonts w:ascii="Arial" w:hAnsi="Arial" w:cs="Arial"/>
                <w:sz w:val="20"/>
              </w:rPr>
              <w:t>2011.  terv</w:t>
            </w:r>
            <w:proofErr w:type="gramEnd"/>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AD26D7" w:rsidRPr="00713EF0" w:rsidRDefault="00AD26D7" w:rsidP="00A70C15">
            <w:pPr>
              <w:jc w:val="center"/>
              <w:rPr>
                <w:rFonts w:ascii="Arial" w:hAnsi="Arial" w:cs="Arial"/>
                <w:sz w:val="20"/>
              </w:rPr>
            </w:pPr>
            <w:proofErr w:type="gramStart"/>
            <w:r w:rsidRPr="00713EF0">
              <w:rPr>
                <w:rFonts w:ascii="Arial" w:hAnsi="Arial" w:cs="Arial"/>
                <w:sz w:val="20"/>
              </w:rPr>
              <w:t>2011.  tény</w:t>
            </w:r>
            <w:proofErr w:type="gramEnd"/>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AD26D7" w:rsidRPr="00713EF0" w:rsidRDefault="00AD26D7" w:rsidP="00A70C15">
            <w:pPr>
              <w:jc w:val="center"/>
              <w:rPr>
                <w:rFonts w:ascii="Arial" w:hAnsi="Arial" w:cs="Arial"/>
                <w:sz w:val="20"/>
              </w:rPr>
            </w:pPr>
            <w:r w:rsidRPr="00713EF0">
              <w:rPr>
                <w:rFonts w:ascii="Arial" w:hAnsi="Arial" w:cs="Arial"/>
                <w:sz w:val="20"/>
              </w:rPr>
              <w:t>2011. jogos komp</w:t>
            </w:r>
            <w:r>
              <w:rPr>
                <w:rFonts w:ascii="Arial" w:hAnsi="Arial" w:cs="Arial"/>
                <w:sz w:val="20"/>
              </w:rPr>
              <w:t>.</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AD26D7" w:rsidRDefault="00AD26D7" w:rsidP="00A70C15">
            <w:pPr>
              <w:jc w:val="center"/>
              <w:rPr>
                <w:rFonts w:ascii="Arial" w:hAnsi="Arial" w:cs="Arial"/>
                <w:sz w:val="20"/>
              </w:rPr>
            </w:pPr>
            <w:r w:rsidRPr="00713EF0">
              <w:rPr>
                <w:rFonts w:ascii="Arial" w:hAnsi="Arial" w:cs="Arial"/>
                <w:sz w:val="20"/>
              </w:rPr>
              <w:t>2011/</w:t>
            </w:r>
          </w:p>
          <w:p w:rsidR="00AD26D7" w:rsidRPr="00713EF0" w:rsidRDefault="00AD26D7" w:rsidP="00A70C15">
            <w:pPr>
              <w:jc w:val="center"/>
              <w:rPr>
                <w:rFonts w:ascii="Arial" w:hAnsi="Arial" w:cs="Arial"/>
                <w:sz w:val="20"/>
              </w:rPr>
            </w:pPr>
            <w:r w:rsidRPr="00713EF0">
              <w:rPr>
                <w:rFonts w:ascii="Arial" w:hAnsi="Arial" w:cs="Arial"/>
                <w:sz w:val="20"/>
              </w:rPr>
              <w:t>2010</w:t>
            </w:r>
          </w:p>
        </w:tc>
      </w:tr>
      <w:tr w:rsidR="00AD26D7" w:rsidRPr="00713EF0" w:rsidTr="00A70C1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713EF0" w:rsidRDefault="00AD26D7" w:rsidP="00A70C15">
            <w:pPr>
              <w:rPr>
                <w:rFonts w:ascii="Arial" w:hAnsi="Arial" w:cs="Arial"/>
                <w:b/>
                <w:bCs/>
                <w:sz w:val="20"/>
              </w:rPr>
            </w:pPr>
            <w:r w:rsidRPr="00713EF0">
              <w:rPr>
                <w:rFonts w:ascii="Arial" w:hAnsi="Arial" w:cs="Arial"/>
                <w:b/>
                <w:bCs/>
                <w:sz w:val="20"/>
              </w:rPr>
              <w:t>2.</w:t>
            </w:r>
          </w:p>
        </w:tc>
        <w:tc>
          <w:tcPr>
            <w:tcW w:w="3880" w:type="dxa"/>
            <w:tcBorders>
              <w:top w:val="single" w:sz="8" w:space="0" w:color="auto"/>
              <w:left w:val="nil"/>
              <w:bottom w:val="single" w:sz="4" w:space="0" w:color="auto"/>
              <w:right w:val="single" w:sz="4" w:space="0" w:color="auto"/>
            </w:tcBorders>
            <w:shd w:val="clear" w:color="auto" w:fill="auto"/>
            <w:noWrap/>
            <w:vAlign w:val="center"/>
            <w:hideMark/>
          </w:tcPr>
          <w:p w:rsidR="00AD26D7" w:rsidRPr="00713EF0" w:rsidRDefault="00AD26D7" w:rsidP="00A70C15">
            <w:pPr>
              <w:jc w:val="center"/>
              <w:rPr>
                <w:rFonts w:ascii="Calibri" w:hAnsi="Calibri"/>
                <w:b/>
                <w:bCs/>
                <w:sz w:val="22"/>
                <w:szCs w:val="22"/>
              </w:rPr>
            </w:pPr>
            <w:r w:rsidRPr="00713EF0">
              <w:rPr>
                <w:rFonts w:ascii="Calibri" w:hAnsi="Calibri"/>
                <w:b/>
                <w:bCs/>
                <w:sz w:val="22"/>
                <w:szCs w:val="22"/>
              </w:rPr>
              <w:t>Egyenleg</w:t>
            </w:r>
          </w:p>
        </w:tc>
        <w:tc>
          <w:tcPr>
            <w:tcW w:w="997"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center"/>
              <w:rPr>
                <w:rFonts w:ascii="Arial" w:hAnsi="Arial" w:cs="Arial"/>
                <w:b/>
                <w:bCs/>
                <w:sz w:val="20"/>
              </w:rPr>
            </w:pPr>
            <w:r w:rsidRPr="00713EF0">
              <w:rPr>
                <w:rFonts w:ascii="Arial" w:hAnsi="Arial" w:cs="Arial"/>
                <w:b/>
                <w:bCs/>
                <w:sz w:val="20"/>
              </w:rPr>
              <w:t>-428</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center"/>
              <w:rPr>
                <w:rFonts w:ascii="Arial" w:hAnsi="Arial" w:cs="Arial"/>
                <w:b/>
                <w:bCs/>
                <w:sz w:val="20"/>
              </w:rPr>
            </w:pPr>
            <w:r w:rsidRPr="00713EF0">
              <w:rPr>
                <w:rFonts w:ascii="Arial" w:hAnsi="Arial" w:cs="Arial"/>
                <w:b/>
                <w:bCs/>
                <w:sz w:val="20"/>
              </w:rPr>
              <w:t>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713EF0" w:rsidRDefault="00AD26D7" w:rsidP="00A70C15">
            <w:pPr>
              <w:jc w:val="center"/>
              <w:rPr>
                <w:rFonts w:ascii="Arial" w:hAnsi="Arial" w:cs="Arial"/>
                <w:b/>
                <w:bCs/>
                <w:sz w:val="20"/>
              </w:rPr>
            </w:pPr>
            <w:r w:rsidRPr="00713EF0">
              <w:rPr>
                <w:rFonts w:ascii="Arial" w:hAnsi="Arial" w:cs="Arial"/>
                <w:b/>
                <w:bCs/>
                <w:sz w:val="20"/>
              </w:rPr>
              <w:t>-2 371</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center"/>
              <w:rPr>
                <w:rFonts w:ascii="Arial" w:hAnsi="Arial" w:cs="Arial"/>
                <w:b/>
                <w:bCs/>
                <w:sz w:val="20"/>
              </w:rPr>
            </w:pPr>
            <w:r w:rsidRPr="00713EF0">
              <w:rPr>
                <w:rFonts w:ascii="Arial" w:hAnsi="Arial" w:cs="Arial"/>
                <w:b/>
                <w:bCs/>
                <w:sz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center"/>
              <w:rPr>
                <w:rFonts w:ascii="Arial" w:hAnsi="Arial" w:cs="Arial"/>
                <w:b/>
                <w:bCs/>
                <w:sz w:val="20"/>
              </w:rPr>
            </w:pPr>
            <w:r w:rsidRPr="00713EF0">
              <w:rPr>
                <w:rFonts w:ascii="Arial" w:hAnsi="Arial" w:cs="Arial"/>
                <w:b/>
                <w:bCs/>
                <w:sz w:val="20"/>
              </w:rPr>
              <w:t> </w:t>
            </w:r>
          </w:p>
        </w:tc>
      </w:tr>
      <w:tr w:rsidR="00AD26D7" w:rsidRPr="00713EF0" w:rsidTr="00A70C1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713EF0" w:rsidRDefault="00AD26D7" w:rsidP="00A70C15">
            <w:pPr>
              <w:rPr>
                <w:rFonts w:ascii="Arial" w:hAnsi="Arial" w:cs="Arial"/>
                <w:sz w:val="20"/>
              </w:rPr>
            </w:pPr>
            <w:r w:rsidRPr="00713EF0">
              <w:rPr>
                <w:rFonts w:ascii="Arial" w:hAnsi="Arial" w:cs="Arial"/>
                <w:sz w:val="20"/>
              </w:rPr>
              <w:t>2.1</w:t>
            </w:r>
          </w:p>
        </w:tc>
        <w:tc>
          <w:tcPr>
            <w:tcW w:w="3880"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rPr>
                <w:rFonts w:ascii="Arial" w:hAnsi="Arial" w:cs="Arial"/>
                <w:sz w:val="20"/>
              </w:rPr>
            </w:pPr>
            <w:r w:rsidRPr="00713EF0">
              <w:rPr>
                <w:rFonts w:ascii="Arial" w:hAnsi="Arial" w:cs="Arial"/>
                <w:sz w:val="20"/>
              </w:rPr>
              <w:t>Közvetlen változó költség</w:t>
            </w:r>
          </w:p>
        </w:tc>
        <w:tc>
          <w:tcPr>
            <w:tcW w:w="997"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5 683</w:t>
            </w:r>
          </w:p>
        </w:tc>
        <w:tc>
          <w:tcPr>
            <w:tcW w:w="992"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6 400</w:t>
            </w:r>
          </w:p>
        </w:tc>
        <w:tc>
          <w:tcPr>
            <w:tcW w:w="992" w:type="dxa"/>
            <w:tcBorders>
              <w:top w:val="nil"/>
              <w:left w:val="nil"/>
              <w:bottom w:val="single" w:sz="4" w:space="0" w:color="auto"/>
              <w:right w:val="single" w:sz="4" w:space="0" w:color="auto"/>
            </w:tcBorders>
            <w:shd w:val="clear" w:color="000000" w:fill="FFFF00"/>
            <w:vAlign w:val="center"/>
            <w:hideMark/>
          </w:tcPr>
          <w:p w:rsidR="00AD26D7" w:rsidRPr="00713EF0" w:rsidRDefault="00AD26D7" w:rsidP="00A70C15">
            <w:pPr>
              <w:jc w:val="right"/>
              <w:rPr>
                <w:rFonts w:ascii="Arial" w:hAnsi="Arial" w:cs="Arial"/>
                <w:sz w:val="20"/>
              </w:rPr>
            </w:pPr>
            <w:r w:rsidRPr="00713EF0">
              <w:rPr>
                <w:rFonts w:ascii="Arial" w:hAnsi="Arial" w:cs="Arial"/>
                <w:sz w:val="20"/>
              </w:rPr>
              <w:t>24 877</w:t>
            </w:r>
          </w:p>
        </w:tc>
        <w:tc>
          <w:tcPr>
            <w:tcW w:w="1276"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rPr>
                <w:rFonts w:ascii="Arial" w:hAnsi="Arial" w:cs="Arial"/>
                <w:sz w:val="20"/>
              </w:rPr>
            </w:pPr>
            <w:r w:rsidRPr="00713EF0">
              <w:rPr>
                <w:rFonts w:ascii="Arial" w:hAnsi="Arial" w:cs="Arial"/>
                <w:sz w:val="20"/>
              </w:rPr>
              <w:t> </w:t>
            </w:r>
          </w:p>
        </w:tc>
        <w:tc>
          <w:tcPr>
            <w:tcW w:w="851"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438%</w:t>
            </w:r>
          </w:p>
        </w:tc>
      </w:tr>
      <w:tr w:rsidR="00AD26D7" w:rsidRPr="00713EF0" w:rsidTr="00A70C1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713EF0" w:rsidRDefault="00AD26D7" w:rsidP="00A70C15">
            <w:pPr>
              <w:rPr>
                <w:rFonts w:ascii="Arial" w:hAnsi="Arial" w:cs="Arial"/>
                <w:sz w:val="20"/>
              </w:rPr>
            </w:pPr>
            <w:r w:rsidRPr="00713EF0">
              <w:rPr>
                <w:rFonts w:ascii="Arial" w:hAnsi="Arial" w:cs="Arial"/>
                <w:sz w:val="20"/>
              </w:rPr>
              <w:t>2.2</w:t>
            </w:r>
          </w:p>
        </w:tc>
        <w:tc>
          <w:tcPr>
            <w:tcW w:w="3880"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rPr>
                <w:rFonts w:ascii="Arial" w:hAnsi="Arial" w:cs="Arial"/>
                <w:sz w:val="20"/>
              </w:rPr>
            </w:pPr>
            <w:r w:rsidRPr="00713EF0">
              <w:rPr>
                <w:rFonts w:ascii="Arial" w:hAnsi="Arial" w:cs="Arial"/>
                <w:sz w:val="20"/>
              </w:rPr>
              <w:t>Közvetlen állandó költség</w:t>
            </w:r>
          </w:p>
        </w:tc>
        <w:tc>
          <w:tcPr>
            <w:tcW w:w="997"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0</w:t>
            </w:r>
          </w:p>
        </w:tc>
        <w:tc>
          <w:tcPr>
            <w:tcW w:w="992"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0</w:t>
            </w:r>
          </w:p>
        </w:tc>
        <w:tc>
          <w:tcPr>
            <w:tcW w:w="992" w:type="dxa"/>
            <w:tcBorders>
              <w:top w:val="nil"/>
              <w:left w:val="nil"/>
              <w:bottom w:val="single" w:sz="4" w:space="0" w:color="auto"/>
              <w:right w:val="single" w:sz="4" w:space="0" w:color="auto"/>
            </w:tcBorders>
            <w:shd w:val="clear" w:color="000000" w:fill="FFFF00"/>
            <w:vAlign w:val="center"/>
            <w:hideMark/>
          </w:tcPr>
          <w:p w:rsidR="00AD26D7" w:rsidRPr="00713EF0" w:rsidRDefault="00AD26D7" w:rsidP="00A70C15">
            <w:pPr>
              <w:jc w:val="right"/>
              <w:rPr>
                <w:rFonts w:ascii="Arial" w:hAnsi="Arial" w:cs="Arial"/>
                <w:sz w:val="20"/>
              </w:rPr>
            </w:pPr>
            <w:r w:rsidRPr="00713EF0">
              <w:rPr>
                <w:rFonts w:ascii="Arial" w:hAnsi="Arial" w:cs="Arial"/>
                <w:sz w:val="20"/>
              </w:rPr>
              <w:t>0</w:t>
            </w:r>
          </w:p>
        </w:tc>
        <w:tc>
          <w:tcPr>
            <w:tcW w:w="1276"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rPr>
                <w:rFonts w:ascii="Arial" w:hAnsi="Arial" w:cs="Arial"/>
                <w:sz w:val="20"/>
              </w:rPr>
            </w:pPr>
            <w:r w:rsidRPr="00713EF0">
              <w:rPr>
                <w:rFonts w:ascii="Arial" w:hAnsi="Arial" w:cs="Arial"/>
                <w:sz w:val="20"/>
              </w:rPr>
              <w:t> </w:t>
            </w:r>
          </w:p>
        </w:tc>
        <w:tc>
          <w:tcPr>
            <w:tcW w:w="851"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rPr>
                <w:rFonts w:ascii="Arial" w:hAnsi="Arial" w:cs="Arial"/>
                <w:sz w:val="20"/>
              </w:rPr>
            </w:pPr>
            <w:r w:rsidRPr="00713EF0">
              <w:rPr>
                <w:rFonts w:ascii="Arial" w:hAnsi="Arial" w:cs="Arial"/>
                <w:sz w:val="20"/>
              </w:rPr>
              <w:t> </w:t>
            </w:r>
          </w:p>
        </w:tc>
      </w:tr>
      <w:tr w:rsidR="00AD26D7" w:rsidRPr="00713EF0" w:rsidTr="00A70C1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713EF0" w:rsidRDefault="00AD26D7" w:rsidP="00A70C15">
            <w:pPr>
              <w:rPr>
                <w:rFonts w:ascii="Arial" w:hAnsi="Arial" w:cs="Arial"/>
                <w:sz w:val="20"/>
              </w:rPr>
            </w:pPr>
            <w:r w:rsidRPr="00713EF0">
              <w:rPr>
                <w:rFonts w:ascii="Arial" w:hAnsi="Arial" w:cs="Arial"/>
                <w:sz w:val="20"/>
              </w:rPr>
              <w:t>2.3</w:t>
            </w:r>
          </w:p>
        </w:tc>
        <w:tc>
          <w:tcPr>
            <w:tcW w:w="3880"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KMRMK forrás</w:t>
            </w:r>
          </w:p>
        </w:tc>
        <w:tc>
          <w:tcPr>
            <w:tcW w:w="997"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8 082</w:t>
            </w:r>
          </w:p>
        </w:tc>
        <w:tc>
          <w:tcPr>
            <w:tcW w:w="992"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12 000</w:t>
            </w:r>
          </w:p>
        </w:tc>
        <w:tc>
          <w:tcPr>
            <w:tcW w:w="992" w:type="dxa"/>
            <w:tcBorders>
              <w:top w:val="nil"/>
              <w:left w:val="nil"/>
              <w:bottom w:val="single" w:sz="4" w:space="0" w:color="auto"/>
              <w:right w:val="single" w:sz="4" w:space="0" w:color="auto"/>
            </w:tcBorders>
            <w:shd w:val="clear" w:color="000000" w:fill="FFFF00"/>
            <w:vAlign w:val="center"/>
            <w:hideMark/>
          </w:tcPr>
          <w:p w:rsidR="00AD26D7" w:rsidRPr="00713EF0" w:rsidRDefault="00AD26D7" w:rsidP="00A70C15">
            <w:pPr>
              <w:jc w:val="right"/>
              <w:rPr>
                <w:rFonts w:ascii="Arial" w:hAnsi="Arial" w:cs="Arial"/>
                <w:sz w:val="20"/>
              </w:rPr>
            </w:pPr>
            <w:r w:rsidRPr="00713EF0">
              <w:rPr>
                <w:rFonts w:ascii="Arial" w:hAnsi="Arial" w:cs="Arial"/>
                <w:sz w:val="20"/>
              </w:rPr>
              <w:t>24 877</w:t>
            </w:r>
          </w:p>
        </w:tc>
        <w:tc>
          <w:tcPr>
            <w:tcW w:w="1276"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 </w:t>
            </w:r>
          </w:p>
        </w:tc>
        <w:tc>
          <w:tcPr>
            <w:tcW w:w="851"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308%</w:t>
            </w:r>
          </w:p>
        </w:tc>
      </w:tr>
      <w:tr w:rsidR="00AD26D7" w:rsidRPr="00713EF0" w:rsidTr="00A70C1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713EF0" w:rsidRDefault="00AD26D7" w:rsidP="00A70C15">
            <w:pPr>
              <w:rPr>
                <w:rFonts w:ascii="Arial" w:hAnsi="Arial" w:cs="Arial"/>
                <w:sz w:val="20"/>
              </w:rPr>
            </w:pPr>
            <w:r w:rsidRPr="00713EF0">
              <w:rPr>
                <w:rFonts w:ascii="Arial" w:hAnsi="Arial" w:cs="Arial"/>
                <w:sz w:val="20"/>
              </w:rPr>
              <w:t>2.4</w:t>
            </w:r>
          </w:p>
        </w:tc>
        <w:tc>
          <w:tcPr>
            <w:tcW w:w="3880"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Egyéb tevékenység nyeresége</w:t>
            </w:r>
          </w:p>
        </w:tc>
        <w:tc>
          <w:tcPr>
            <w:tcW w:w="997"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-5 600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 </w:t>
            </w:r>
          </w:p>
        </w:tc>
      </w:tr>
      <w:tr w:rsidR="00AD26D7" w:rsidRPr="00713EF0" w:rsidTr="00A70C15">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713EF0" w:rsidRDefault="00AD26D7" w:rsidP="00A70C15">
            <w:pPr>
              <w:rPr>
                <w:rFonts w:ascii="Arial" w:hAnsi="Arial" w:cs="Arial"/>
                <w:sz w:val="20"/>
              </w:rPr>
            </w:pPr>
            <w:r w:rsidRPr="00713EF0">
              <w:rPr>
                <w:rFonts w:ascii="Arial" w:hAnsi="Arial" w:cs="Arial"/>
                <w:sz w:val="20"/>
              </w:rPr>
              <w:t>2.5</w:t>
            </w:r>
          </w:p>
        </w:tc>
        <w:tc>
          <w:tcPr>
            <w:tcW w:w="3880" w:type="dxa"/>
            <w:tcBorders>
              <w:top w:val="nil"/>
              <w:left w:val="nil"/>
              <w:bottom w:val="single" w:sz="4" w:space="0" w:color="auto"/>
              <w:right w:val="single" w:sz="4" w:space="0" w:color="auto"/>
            </w:tcBorders>
            <w:shd w:val="clear" w:color="000000" w:fill="FFFF00"/>
            <w:vAlign w:val="center"/>
            <w:hideMark/>
          </w:tcPr>
          <w:p w:rsidR="00AD26D7" w:rsidRPr="00713EF0" w:rsidRDefault="00AD26D7" w:rsidP="00A70C15">
            <w:pPr>
              <w:rPr>
                <w:rFonts w:ascii="Arial" w:hAnsi="Arial" w:cs="Arial"/>
                <w:b/>
                <w:bCs/>
                <w:sz w:val="20"/>
              </w:rPr>
            </w:pPr>
            <w:r w:rsidRPr="00713EF0">
              <w:rPr>
                <w:rFonts w:ascii="Arial" w:hAnsi="Arial" w:cs="Arial"/>
                <w:b/>
                <w:bCs/>
                <w:sz w:val="20"/>
              </w:rPr>
              <w:t>Szolgáltatási támogatás (2.1+2.2-2.3-2.4)</w:t>
            </w:r>
          </w:p>
        </w:tc>
        <w:tc>
          <w:tcPr>
            <w:tcW w:w="997" w:type="dxa"/>
            <w:tcBorders>
              <w:top w:val="nil"/>
              <w:left w:val="nil"/>
              <w:bottom w:val="single" w:sz="4" w:space="0" w:color="auto"/>
              <w:right w:val="single" w:sz="4" w:space="0" w:color="auto"/>
            </w:tcBorders>
            <w:shd w:val="clear" w:color="000000" w:fill="FFFF00"/>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0</w:t>
            </w:r>
          </w:p>
        </w:tc>
        <w:tc>
          <w:tcPr>
            <w:tcW w:w="1276" w:type="dxa"/>
            <w:tcBorders>
              <w:top w:val="nil"/>
              <w:left w:val="nil"/>
              <w:bottom w:val="single" w:sz="4" w:space="0" w:color="auto"/>
              <w:right w:val="single" w:sz="4" w:space="0" w:color="auto"/>
            </w:tcBorders>
            <w:shd w:val="clear" w:color="000000" w:fill="FFFF00"/>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 </w:t>
            </w:r>
          </w:p>
        </w:tc>
      </w:tr>
      <w:tr w:rsidR="00AD26D7" w:rsidRPr="00713EF0" w:rsidTr="00A70C1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713EF0" w:rsidRDefault="00AD26D7" w:rsidP="00A70C15">
            <w:pPr>
              <w:rPr>
                <w:rFonts w:ascii="Arial" w:hAnsi="Arial" w:cs="Arial"/>
                <w:sz w:val="20"/>
              </w:rPr>
            </w:pPr>
            <w:r w:rsidRPr="00713EF0">
              <w:rPr>
                <w:rFonts w:ascii="Arial" w:hAnsi="Arial" w:cs="Arial"/>
                <w:sz w:val="20"/>
              </w:rPr>
              <w:t>2.6</w:t>
            </w:r>
          </w:p>
        </w:tc>
        <w:tc>
          <w:tcPr>
            <w:tcW w:w="3880"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rPr>
                <w:rFonts w:ascii="Arial" w:hAnsi="Arial" w:cs="Arial"/>
                <w:sz w:val="20"/>
              </w:rPr>
            </w:pPr>
            <w:r w:rsidRPr="00713EF0">
              <w:rPr>
                <w:rFonts w:ascii="Arial" w:hAnsi="Arial" w:cs="Arial"/>
                <w:sz w:val="20"/>
              </w:rPr>
              <w:t>Felosztott központi általános költség</w:t>
            </w:r>
          </w:p>
        </w:tc>
        <w:tc>
          <w:tcPr>
            <w:tcW w:w="997"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10 667</w:t>
            </w:r>
          </w:p>
        </w:tc>
        <w:tc>
          <w:tcPr>
            <w:tcW w:w="992"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9 600</w:t>
            </w:r>
          </w:p>
        </w:tc>
        <w:tc>
          <w:tcPr>
            <w:tcW w:w="992" w:type="dxa"/>
            <w:tcBorders>
              <w:top w:val="nil"/>
              <w:left w:val="nil"/>
              <w:bottom w:val="single" w:sz="4" w:space="0" w:color="auto"/>
              <w:right w:val="single" w:sz="4" w:space="0" w:color="auto"/>
            </w:tcBorders>
            <w:shd w:val="clear" w:color="000000" w:fill="FFFF00"/>
            <w:vAlign w:val="center"/>
            <w:hideMark/>
          </w:tcPr>
          <w:p w:rsidR="00AD26D7" w:rsidRPr="00713EF0" w:rsidRDefault="00AD26D7" w:rsidP="00A70C15">
            <w:pPr>
              <w:jc w:val="right"/>
              <w:rPr>
                <w:rFonts w:ascii="Arial" w:hAnsi="Arial" w:cs="Arial"/>
                <w:sz w:val="20"/>
              </w:rPr>
            </w:pPr>
            <w:r w:rsidRPr="00713EF0">
              <w:rPr>
                <w:rFonts w:ascii="Arial" w:hAnsi="Arial" w:cs="Arial"/>
                <w:sz w:val="20"/>
              </w:rPr>
              <w:t>9 487</w:t>
            </w:r>
          </w:p>
        </w:tc>
        <w:tc>
          <w:tcPr>
            <w:tcW w:w="1276"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rPr>
                <w:rFonts w:ascii="Arial" w:hAnsi="Arial" w:cs="Arial"/>
                <w:sz w:val="20"/>
              </w:rPr>
            </w:pPr>
            <w:r w:rsidRPr="00713EF0">
              <w:rPr>
                <w:rFonts w:ascii="Arial" w:hAnsi="Arial" w:cs="Arial"/>
                <w:sz w:val="20"/>
              </w:rPr>
              <w:t> </w:t>
            </w:r>
          </w:p>
        </w:tc>
        <w:tc>
          <w:tcPr>
            <w:tcW w:w="851"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89%</w:t>
            </w:r>
          </w:p>
        </w:tc>
      </w:tr>
      <w:tr w:rsidR="00AD26D7" w:rsidRPr="00713EF0" w:rsidTr="00A70C15">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713EF0" w:rsidRDefault="00AD26D7" w:rsidP="00A70C15">
            <w:pPr>
              <w:rPr>
                <w:rFonts w:ascii="Arial" w:hAnsi="Arial" w:cs="Arial"/>
                <w:sz w:val="20"/>
              </w:rPr>
            </w:pPr>
            <w:r w:rsidRPr="00713EF0">
              <w:rPr>
                <w:rFonts w:ascii="Arial" w:hAnsi="Arial" w:cs="Arial"/>
                <w:sz w:val="20"/>
              </w:rPr>
              <w:t>2.7</w:t>
            </w:r>
          </w:p>
        </w:tc>
        <w:tc>
          <w:tcPr>
            <w:tcW w:w="3880" w:type="dxa"/>
            <w:tcBorders>
              <w:top w:val="nil"/>
              <w:left w:val="nil"/>
              <w:bottom w:val="single" w:sz="4" w:space="0" w:color="auto"/>
              <w:right w:val="single" w:sz="4" w:space="0" w:color="auto"/>
            </w:tcBorders>
            <w:shd w:val="clear" w:color="auto" w:fill="auto"/>
            <w:vAlign w:val="center"/>
            <w:hideMark/>
          </w:tcPr>
          <w:p w:rsidR="00AD26D7" w:rsidRPr="00713EF0" w:rsidRDefault="00AD26D7" w:rsidP="00A70C15">
            <w:pPr>
              <w:jc w:val="right"/>
              <w:rPr>
                <w:rFonts w:ascii="Arial" w:hAnsi="Arial" w:cs="Arial"/>
                <w:sz w:val="20"/>
              </w:rPr>
            </w:pPr>
            <w:r w:rsidRPr="00713EF0">
              <w:rPr>
                <w:rFonts w:ascii="Arial" w:hAnsi="Arial" w:cs="Arial"/>
                <w:sz w:val="20"/>
              </w:rPr>
              <w:t>KMRMK forrás</w:t>
            </w:r>
          </w:p>
        </w:tc>
        <w:tc>
          <w:tcPr>
            <w:tcW w:w="997"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2 840</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7 600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5 116</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sz w:val="20"/>
              </w:rPr>
            </w:pPr>
            <w:r w:rsidRPr="00713EF0">
              <w:rPr>
                <w:rFonts w:ascii="Arial" w:hAnsi="Arial" w:cs="Arial"/>
                <w:sz w:val="20"/>
              </w:rPr>
              <w:t> </w:t>
            </w:r>
          </w:p>
        </w:tc>
      </w:tr>
      <w:tr w:rsidR="00AD26D7" w:rsidRPr="00713EF0" w:rsidTr="00A70C15">
        <w:trPr>
          <w:trHeight w:val="315"/>
        </w:trPr>
        <w:tc>
          <w:tcPr>
            <w:tcW w:w="520" w:type="dxa"/>
            <w:tcBorders>
              <w:top w:val="nil"/>
              <w:left w:val="single" w:sz="8" w:space="0" w:color="auto"/>
              <w:bottom w:val="nil"/>
              <w:right w:val="single" w:sz="4" w:space="0" w:color="auto"/>
            </w:tcBorders>
            <w:shd w:val="clear" w:color="auto" w:fill="auto"/>
            <w:noWrap/>
            <w:vAlign w:val="center"/>
            <w:hideMark/>
          </w:tcPr>
          <w:p w:rsidR="00AD26D7" w:rsidRPr="00713EF0" w:rsidRDefault="00AD26D7" w:rsidP="00A70C15">
            <w:pPr>
              <w:rPr>
                <w:rFonts w:ascii="Arial" w:hAnsi="Arial" w:cs="Arial"/>
                <w:sz w:val="20"/>
              </w:rPr>
            </w:pPr>
            <w:r w:rsidRPr="00713EF0">
              <w:rPr>
                <w:rFonts w:ascii="Arial" w:hAnsi="Arial" w:cs="Arial"/>
                <w:sz w:val="20"/>
              </w:rPr>
              <w:t>2.8</w:t>
            </w:r>
          </w:p>
        </w:tc>
        <w:tc>
          <w:tcPr>
            <w:tcW w:w="3880" w:type="dxa"/>
            <w:tcBorders>
              <w:top w:val="nil"/>
              <w:left w:val="nil"/>
              <w:bottom w:val="nil"/>
              <w:right w:val="single" w:sz="4" w:space="0" w:color="auto"/>
            </w:tcBorders>
            <w:shd w:val="clear" w:color="000000" w:fill="FFFF00"/>
            <w:vAlign w:val="center"/>
            <w:hideMark/>
          </w:tcPr>
          <w:p w:rsidR="00AD26D7" w:rsidRPr="00713EF0" w:rsidRDefault="00AD26D7" w:rsidP="00A70C15">
            <w:pPr>
              <w:rPr>
                <w:rFonts w:ascii="Arial" w:hAnsi="Arial" w:cs="Arial"/>
                <w:b/>
                <w:bCs/>
                <w:sz w:val="20"/>
              </w:rPr>
            </w:pPr>
            <w:r w:rsidRPr="00713EF0">
              <w:rPr>
                <w:rFonts w:ascii="Arial" w:hAnsi="Arial" w:cs="Arial"/>
                <w:b/>
                <w:bCs/>
                <w:sz w:val="20"/>
              </w:rPr>
              <w:t>Működési támogatás (2.6-2.7)</w:t>
            </w:r>
          </w:p>
        </w:tc>
        <w:tc>
          <w:tcPr>
            <w:tcW w:w="997" w:type="dxa"/>
            <w:tcBorders>
              <w:top w:val="nil"/>
              <w:left w:val="nil"/>
              <w:bottom w:val="nil"/>
              <w:right w:val="single" w:sz="4" w:space="0" w:color="auto"/>
            </w:tcBorders>
            <w:shd w:val="clear" w:color="000000" w:fill="FFFF00"/>
            <w:vAlign w:val="center"/>
            <w:hideMark/>
          </w:tcPr>
          <w:p w:rsidR="00AD26D7" w:rsidRPr="00713EF0" w:rsidRDefault="00AD26D7" w:rsidP="00A70C15">
            <w:pPr>
              <w:jc w:val="center"/>
              <w:rPr>
                <w:rFonts w:ascii="Arial" w:hAnsi="Arial" w:cs="Arial"/>
                <w:b/>
                <w:bCs/>
                <w:sz w:val="20"/>
              </w:rPr>
            </w:pPr>
            <w:r w:rsidRPr="00713EF0">
              <w:rPr>
                <w:rFonts w:ascii="Arial" w:hAnsi="Arial" w:cs="Arial"/>
                <w:b/>
                <w:bCs/>
                <w:sz w:val="20"/>
              </w:rPr>
              <w:t>5 000</w:t>
            </w:r>
          </w:p>
        </w:tc>
        <w:tc>
          <w:tcPr>
            <w:tcW w:w="992" w:type="dxa"/>
            <w:tcBorders>
              <w:top w:val="nil"/>
              <w:left w:val="nil"/>
              <w:bottom w:val="nil"/>
              <w:right w:val="single" w:sz="4" w:space="0" w:color="auto"/>
            </w:tcBorders>
            <w:shd w:val="clear" w:color="000000" w:fill="FFFF00"/>
            <w:vAlign w:val="center"/>
            <w:hideMark/>
          </w:tcPr>
          <w:p w:rsidR="00AD26D7" w:rsidRPr="00713EF0" w:rsidRDefault="00AD26D7" w:rsidP="00A70C15">
            <w:pPr>
              <w:jc w:val="center"/>
              <w:rPr>
                <w:rFonts w:ascii="Arial" w:hAnsi="Arial" w:cs="Arial"/>
                <w:b/>
                <w:bCs/>
                <w:sz w:val="20"/>
              </w:rPr>
            </w:pPr>
            <w:r w:rsidRPr="00713EF0">
              <w:rPr>
                <w:rFonts w:ascii="Arial" w:hAnsi="Arial" w:cs="Arial"/>
                <w:b/>
                <w:bCs/>
                <w:sz w:val="20"/>
              </w:rPr>
              <w:t>2 000</w:t>
            </w:r>
          </w:p>
        </w:tc>
        <w:tc>
          <w:tcPr>
            <w:tcW w:w="992" w:type="dxa"/>
            <w:tcBorders>
              <w:top w:val="nil"/>
              <w:left w:val="nil"/>
              <w:bottom w:val="nil"/>
              <w:right w:val="single" w:sz="4" w:space="0" w:color="auto"/>
            </w:tcBorders>
            <w:shd w:val="clear" w:color="000000" w:fill="FFFF00"/>
            <w:vAlign w:val="center"/>
            <w:hideMark/>
          </w:tcPr>
          <w:p w:rsidR="00AD26D7" w:rsidRPr="00713EF0" w:rsidRDefault="00AD26D7" w:rsidP="00A70C15">
            <w:pPr>
              <w:jc w:val="center"/>
              <w:rPr>
                <w:rFonts w:ascii="Arial" w:hAnsi="Arial" w:cs="Arial"/>
                <w:b/>
                <w:bCs/>
                <w:sz w:val="20"/>
              </w:rPr>
            </w:pPr>
            <w:r w:rsidRPr="00713EF0">
              <w:rPr>
                <w:rFonts w:ascii="Arial" w:hAnsi="Arial" w:cs="Arial"/>
                <w:b/>
                <w:bCs/>
                <w:sz w:val="20"/>
              </w:rPr>
              <w:t>2 000</w:t>
            </w:r>
          </w:p>
        </w:tc>
        <w:tc>
          <w:tcPr>
            <w:tcW w:w="1276" w:type="dxa"/>
            <w:tcBorders>
              <w:top w:val="nil"/>
              <w:left w:val="nil"/>
              <w:bottom w:val="nil"/>
              <w:right w:val="single" w:sz="4" w:space="0" w:color="auto"/>
            </w:tcBorders>
            <w:shd w:val="clear" w:color="000000" w:fill="FFFF00"/>
            <w:vAlign w:val="center"/>
            <w:hideMark/>
          </w:tcPr>
          <w:p w:rsidR="00AD26D7" w:rsidRPr="00713EF0" w:rsidRDefault="00AD26D7" w:rsidP="00A70C15">
            <w:pPr>
              <w:jc w:val="center"/>
              <w:rPr>
                <w:rFonts w:ascii="Arial" w:hAnsi="Arial" w:cs="Arial"/>
                <w:b/>
                <w:bCs/>
                <w:sz w:val="20"/>
              </w:rPr>
            </w:pPr>
            <w:r w:rsidRPr="00713EF0">
              <w:rPr>
                <w:rFonts w:ascii="Arial" w:hAnsi="Arial" w:cs="Arial"/>
                <w:b/>
                <w:bCs/>
                <w:sz w:val="20"/>
              </w:rPr>
              <w:t>4 371</w:t>
            </w:r>
          </w:p>
        </w:tc>
        <w:tc>
          <w:tcPr>
            <w:tcW w:w="851" w:type="dxa"/>
            <w:tcBorders>
              <w:top w:val="nil"/>
              <w:left w:val="nil"/>
              <w:bottom w:val="nil"/>
              <w:right w:val="single" w:sz="4" w:space="0" w:color="auto"/>
            </w:tcBorders>
            <w:shd w:val="clear" w:color="auto" w:fill="auto"/>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87%</w:t>
            </w:r>
          </w:p>
        </w:tc>
      </w:tr>
      <w:tr w:rsidR="00AD26D7" w:rsidRPr="00713EF0" w:rsidTr="00A70C15">
        <w:trPr>
          <w:trHeight w:val="315"/>
        </w:trPr>
        <w:tc>
          <w:tcPr>
            <w:tcW w:w="520" w:type="dxa"/>
            <w:tcBorders>
              <w:top w:val="single" w:sz="8" w:space="0" w:color="auto"/>
              <w:left w:val="single" w:sz="8" w:space="0" w:color="auto"/>
              <w:bottom w:val="single" w:sz="8" w:space="0" w:color="auto"/>
              <w:right w:val="single" w:sz="4" w:space="0" w:color="auto"/>
            </w:tcBorders>
            <w:shd w:val="clear" w:color="000000" w:fill="D7E4BC"/>
            <w:noWrap/>
            <w:vAlign w:val="center"/>
            <w:hideMark/>
          </w:tcPr>
          <w:p w:rsidR="00AD26D7" w:rsidRPr="00713EF0" w:rsidRDefault="00AD26D7" w:rsidP="00A70C15">
            <w:pPr>
              <w:rPr>
                <w:rFonts w:ascii="Arial" w:hAnsi="Arial" w:cs="Arial"/>
                <w:sz w:val="20"/>
              </w:rPr>
            </w:pPr>
            <w:r w:rsidRPr="00713EF0">
              <w:rPr>
                <w:rFonts w:ascii="Arial" w:hAnsi="Arial" w:cs="Arial"/>
                <w:sz w:val="20"/>
              </w:rPr>
              <w:t>2.9</w:t>
            </w:r>
          </w:p>
        </w:tc>
        <w:tc>
          <w:tcPr>
            <w:tcW w:w="3880" w:type="dxa"/>
            <w:tcBorders>
              <w:top w:val="single" w:sz="8" w:space="0" w:color="auto"/>
              <w:left w:val="nil"/>
              <w:bottom w:val="single" w:sz="8" w:space="0" w:color="auto"/>
              <w:right w:val="single" w:sz="4" w:space="0" w:color="auto"/>
            </w:tcBorders>
            <w:shd w:val="clear" w:color="000000" w:fill="D7E4BC"/>
            <w:vAlign w:val="center"/>
            <w:hideMark/>
          </w:tcPr>
          <w:p w:rsidR="00AD26D7" w:rsidRPr="00713EF0" w:rsidRDefault="00AD26D7" w:rsidP="00A70C15">
            <w:pPr>
              <w:rPr>
                <w:rFonts w:ascii="Arial" w:hAnsi="Arial" w:cs="Arial"/>
                <w:b/>
                <w:bCs/>
                <w:sz w:val="20"/>
              </w:rPr>
            </w:pPr>
            <w:r w:rsidRPr="00713EF0">
              <w:rPr>
                <w:rFonts w:ascii="Arial" w:hAnsi="Arial" w:cs="Arial"/>
                <w:b/>
                <w:bCs/>
                <w:sz w:val="20"/>
              </w:rPr>
              <w:t>Kompenzáció összesen:(2.5+2.8)</w:t>
            </w:r>
          </w:p>
        </w:tc>
        <w:tc>
          <w:tcPr>
            <w:tcW w:w="997"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5 000</w:t>
            </w:r>
          </w:p>
        </w:tc>
        <w:tc>
          <w:tcPr>
            <w:tcW w:w="992"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2 000</w:t>
            </w:r>
          </w:p>
        </w:tc>
        <w:tc>
          <w:tcPr>
            <w:tcW w:w="992"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2 000</w:t>
            </w:r>
          </w:p>
        </w:tc>
        <w:tc>
          <w:tcPr>
            <w:tcW w:w="1276"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4 371</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AD26D7" w:rsidRPr="00713EF0" w:rsidRDefault="00AD26D7" w:rsidP="00A70C15">
            <w:pPr>
              <w:jc w:val="right"/>
              <w:rPr>
                <w:rFonts w:ascii="Arial" w:hAnsi="Arial" w:cs="Arial"/>
                <w:b/>
                <w:bCs/>
                <w:sz w:val="20"/>
              </w:rPr>
            </w:pPr>
            <w:r w:rsidRPr="00713EF0">
              <w:rPr>
                <w:rFonts w:ascii="Arial" w:hAnsi="Arial" w:cs="Arial"/>
                <w:b/>
                <w:bCs/>
                <w:sz w:val="20"/>
              </w:rPr>
              <w:t>87%</w:t>
            </w:r>
          </w:p>
        </w:tc>
      </w:tr>
    </w:tbl>
    <w:p w:rsidR="00AD26D7" w:rsidRDefault="00AD26D7" w:rsidP="00AD26D7">
      <w:pPr>
        <w:pStyle w:val="StlusCmsor311pt"/>
      </w:pPr>
      <w:bookmarkStart w:id="108" w:name="_Toc320784664"/>
      <w:bookmarkStart w:id="109" w:name="_Toc289616993"/>
      <w:r>
        <w:lastRenderedPageBreak/>
        <w:t>Közegészségügyi közszolgáltatás</w:t>
      </w:r>
      <w:bookmarkEnd w:id="108"/>
    </w:p>
    <w:p w:rsidR="00AD26D7" w:rsidRDefault="00AD26D7" w:rsidP="00AD26D7">
      <w:pPr>
        <w:pStyle w:val="StlusCmsor4Egalizls14pt"/>
      </w:pPr>
      <w:r w:rsidRPr="00736975">
        <w:t>Szakmai teljesítés</w:t>
      </w:r>
    </w:p>
    <w:p w:rsidR="00AD26D7" w:rsidRDefault="00AD26D7" w:rsidP="00AD26D7">
      <w:pPr>
        <w:pStyle w:val="Szvegtrzs2"/>
        <w:ind w:left="567"/>
      </w:pPr>
      <w:r>
        <w:t>Ezen szakfeladat két tevékenységcsoportot takar. A</w:t>
      </w:r>
      <w:r w:rsidRPr="00E97DAB">
        <w:t xml:space="preserve"> </w:t>
      </w:r>
      <w:r w:rsidRPr="00F14F9D">
        <w:t>Fővárosi Önkormányzat tulaj</w:t>
      </w:r>
      <w:r w:rsidRPr="00E97DAB">
        <w:t xml:space="preserve">donában lévő, általa nem hasznosított ingatlanokon gyommentesítési feladatok elvégzése, </w:t>
      </w:r>
      <w:r>
        <w:t>továbbá az illegálisan lerakott, nem veszélyes hulladékok gyűjtése, elszállítása. A szakfeladatok te</w:t>
      </w:r>
      <w:r>
        <w:t>l</w:t>
      </w:r>
      <w:r>
        <w:t xml:space="preserve">jesítése a Fővárosi Önkormányzat </w:t>
      </w:r>
      <w:r w:rsidRPr="000C55CC">
        <w:t xml:space="preserve">Vagyongazdálkodási </w:t>
      </w:r>
      <w:r>
        <w:t xml:space="preserve">Főosztály </w:t>
      </w:r>
      <w:r w:rsidRPr="000C55CC">
        <w:t xml:space="preserve">Vagyongazdálkodási </w:t>
      </w:r>
      <w:r>
        <w:t xml:space="preserve">Osztályának megrendelésére, és teljesítés igazolása alapján történik. </w:t>
      </w:r>
    </w:p>
    <w:p w:rsidR="00AD26D7" w:rsidRDefault="00AD26D7" w:rsidP="00AD26D7">
      <w:pPr>
        <w:pStyle w:val="Szvegtrzs2"/>
        <w:ind w:left="567"/>
      </w:pPr>
      <w:r>
        <w:t>Az igen száraz nyár és kora ősz miatt csak két alkalommal kellett kaszálni, azaz a fővárosi kapacitásnak csak 2/3 arányú igénybevétele történt meg. A kétszeri kaszálás igen egyene</w:t>
      </w:r>
      <w:r>
        <w:t>t</w:t>
      </w:r>
      <w:r>
        <w:t>len, kampányszerű munkaszervezést igényel. Gyakorlatilag 2 x 3 hét időben ad munkát az embereknek. Ezért a csökkentett létszámú (4-5 fős) csapathoz a közfoglalkoztatottak közül veszünk fel alkalmi munkást, illetve a különösen terhelt területek kaszálását – a határidők betartása miatt – külső vállalkozó igénybevételével végezzük el. Az illegálisan lerakott hulladék összegyűjtését részben kézzel, részben külső beszállítói gépi markoló igénybev</w:t>
      </w:r>
      <w:r>
        <w:t>é</w:t>
      </w:r>
      <w:r>
        <w:t xml:space="preserve">telével végezzük. Az elszállításra – teherjárművünk és konténeres kocsink nem lévén – szintén külső beszállítót </w:t>
      </w:r>
      <w:proofErr w:type="gramStart"/>
      <w:r>
        <w:t>kell</w:t>
      </w:r>
      <w:proofErr w:type="gramEnd"/>
      <w:r>
        <w:t xml:space="preserve"> igénybe vegyünk. A szakipari csoportunk, amikor nincs főv</w:t>
      </w:r>
      <w:r>
        <w:t>á</w:t>
      </w:r>
      <w:r>
        <w:t>rosi feladat, hasonló vállalkozási munkákat vállal, melyet a 4.6.</w:t>
      </w:r>
      <w:r w:rsidRPr="0097376D">
        <w:t>2 pontban</w:t>
      </w:r>
      <w:r>
        <w:t xml:space="preserve"> mutatunk be, i</w:t>
      </w:r>
      <w:r>
        <w:t>l</w:t>
      </w:r>
      <w:r>
        <w:t>letve a társaság épületének, udvarának fenntartásában vesz részt. A közvetett költségek megosztását, az elszámolás átláthatóságát dolgozónként vezetett munkaidő nyilvántartás biztosítja, melyben rögzítésre kerül a fővárosi szakfeladatra, a vállalkozási tevékenységre és szolgálat ingatlanjainak karbantartására fordított munkanapok száma. Az év során az összes dolgozói munkaidő 20</w:t>
      </w:r>
      <w:r w:rsidRPr="00C4069E">
        <w:t xml:space="preserve">%-át a fővárosi közfeladat kötötte le, </w:t>
      </w:r>
      <w:r>
        <w:t>47</w:t>
      </w:r>
      <w:r w:rsidRPr="00C4069E">
        <w:t>%-át a</w:t>
      </w:r>
      <w:r>
        <w:t xml:space="preserve"> vállalkozási szolgáltatások, 33% (szabadsággal, betegállománnyal) a központi épület és udvarok go</w:t>
      </w:r>
      <w:r>
        <w:t>n</w:t>
      </w:r>
      <w:r>
        <w:t xml:space="preserve">dozása töltötte ki. </w:t>
      </w:r>
    </w:p>
    <w:p w:rsidR="00AD26D7" w:rsidRDefault="00AD26D7" w:rsidP="00AD26D7">
      <w:pPr>
        <w:pStyle w:val="Szvegtrzs2"/>
        <w:ind w:left="567"/>
      </w:pPr>
    </w:p>
    <w:p w:rsidR="00AD26D7" w:rsidRDefault="00AD26D7" w:rsidP="00AD26D7">
      <w:pPr>
        <w:pStyle w:val="Szvegtrzs2"/>
        <w:ind w:left="567"/>
      </w:pPr>
    </w:p>
    <w:p w:rsidR="00AD26D7" w:rsidRDefault="00AD26D7" w:rsidP="00AD26D7">
      <w:pPr>
        <w:pStyle w:val="Listaszerbekezds"/>
        <w:numPr>
          <w:ilvl w:val="0"/>
          <w:numId w:val="5"/>
        </w:numPr>
      </w:pPr>
      <w:r>
        <w:t>számú ábra: A közegészségügyi közszolgáltatás teljesítménye</w:t>
      </w:r>
    </w:p>
    <w:tbl>
      <w:tblPr>
        <w:tblW w:w="9072" w:type="dxa"/>
        <w:tblInd w:w="212" w:type="dxa"/>
        <w:tblCellMar>
          <w:left w:w="70" w:type="dxa"/>
          <w:right w:w="70" w:type="dxa"/>
        </w:tblCellMar>
        <w:tblLook w:val="04A0"/>
      </w:tblPr>
      <w:tblGrid>
        <w:gridCol w:w="4394"/>
        <w:gridCol w:w="709"/>
        <w:gridCol w:w="1134"/>
        <w:gridCol w:w="1418"/>
        <w:gridCol w:w="1417"/>
      </w:tblGrid>
      <w:tr w:rsidR="00AD26D7" w:rsidRPr="002674A0" w:rsidTr="00A70C15">
        <w:trPr>
          <w:trHeight w:val="330"/>
        </w:trPr>
        <w:tc>
          <w:tcPr>
            <w:tcW w:w="439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26D7" w:rsidRPr="002674A0" w:rsidRDefault="00AD26D7" w:rsidP="00A70C15">
            <w:pPr>
              <w:rPr>
                <w:b/>
                <w:bCs/>
                <w:szCs w:val="24"/>
              </w:rPr>
            </w:pPr>
            <w:r w:rsidRPr="002674A0">
              <w:rPr>
                <w:b/>
                <w:bCs/>
                <w:szCs w:val="24"/>
              </w:rPr>
              <w:t>3. Közegészségügyi közszolgáltatás*</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AD26D7" w:rsidRPr="002674A0" w:rsidRDefault="00AD26D7" w:rsidP="00A70C15">
            <w:pPr>
              <w:jc w:val="center"/>
              <w:rPr>
                <w:szCs w:val="24"/>
              </w:rPr>
            </w:pPr>
            <w:r w:rsidRPr="002674A0">
              <w:rPr>
                <w:szCs w:val="24"/>
              </w:rPr>
              <w:t>M.E.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D26D7" w:rsidRPr="002674A0" w:rsidRDefault="00AD26D7" w:rsidP="00A70C15">
            <w:pPr>
              <w:jc w:val="center"/>
              <w:rPr>
                <w:szCs w:val="24"/>
              </w:rPr>
            </w:pPr>
            <w:r w:rsidRPr="002674A0">
              <w:rPr>
                <w:szCs w:val="24"/>
              </w:rPr>
              <w:t xml:space="preserve"> 2010. tény </w:t>
            </w:r>
          </w:p>
        </w:tc>
        <w:tc>
          <w:tcPr>
            <w:tcW w:w="1418" w:type="dxa"/>
            <w:tcBorders>
              <w:top w:val="single" w:sz="8" w:space="0" w:color="auto"/>
              <w:left w:val="nil"/>
              <w:bottom w:val="single" w:sz="8" w:space="0" w:color="auto"/>
              <w:right w:val="single" w:sz="4" w:space="0" w:color="auto"/>
            </w:tcBorders>
            <w:shd w:val="clear" w:color="000000" w:fill="FDE9D9"/>
            <w:vAlign w:val="center"/>
            <w:hideMark/>
          </w:tcPr>
          <w:p w:rsidR="00AD26D7" w:rsidRPr="002674A0" w:rsidRDefault="00AD26D7" w:rsidP="00A70C15">
            <w:pPr>
              <w:jc w:val="center"/>
              <w:rPr>
                <w:b/>
                <w:bCs/>
                <w:szCs w:val="24"/>
              </w:rPr>
            </w:pPr>
            <w:r w:rsidRPr="002674A0">
              <w:rPr>
                <w:b/>
                <w:bCs/>
                <w:szCs w:val="24"/>
              </w:rPr>
              <w:t>2011. tény</w:t>
            </w:r>
          </w:p>
        </w:tc>
        <w:tc>
          <w:tcPr>
            <w:tcW w:w="1417" w:type="dxa"/>
            <w:tcBorders>
              <w:top w:val="single" w:sz="4" w:space="0" w:color="auto"/>
              <w:bottom w:val="single" w:sz="4" w:space="0" w:color="auto"/>
              <w:right w:val="single" w:sz="4" w:space="0" w:color="auto"/>
            </w:tcBorders>
            <w:vAlign w:val="center"/>
          </w:tcPr>
          <w:p w:rsidR="00AD26D7" w:rsidRDefault="00AD26D7" w:rsidP="00A70C15">
            <w:pPr>
              <w:jc w:val="center"/>
              <w:rPr>
                <w:rFonts w:ascii="Arial" w:hAnsi="Arial" w:cs="Arial"/>
                <w:color w:val="000000"/>
                <w:sz w:val="20"/>
              </w:rPr>
            </w:pPr>
            <w:r>
              <w:rPr>
                <w:rFonts w:ascii="Arial" w:hAnsi="Arial" w:cs="Arial"/>
                <w:color w:val="000000"/>
                <w:sz w:val="20"/>
              </w:rPr>
              <w:t>2011/2010</w:t>
            </w:r>
          </w:p>
        </w:tc>
      </w:tr>
      <w:tr w:rsidR="00AD26D7" w:rsidRPr="002674A0" w:rsidTr="00A70C15">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AD26D7" w:rsidRPr="002674A0" w:rsidRDefault="00AD26D7" w:rsidP="00A70C15">
            <w:pPr>
              <w:rPr>
                <w:sz w:val="22"/>
                <w:szCs w:val="22"/>
              </w:rPr>
            </w:pPr>
            <w:r>
              <w:rPr>
                <w:sz w:val="22"/>
                <w:szCs w:val="22"/>
              </w:rPr>
              <w:t>a) Tisztított alapterület</w:t>
            </w:r>
            <w:r w:rsidRPr="002674A0">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AD26D7" w:rsidRPr="002674A0" w:rsidRDefault="00AD26D7" w:rsidP="00A70C15">
            <w:pPr>
              <w:jc w:val="center"/>
              <w:rPr>
                <w:szCs w:val="24"/>
              </w:rPr>
            </w:pPr>
            <w:r w:rsidRPr="002674A0">
              <w:rPr>
                <w:szCs w:val="24"/>
              </w:rPr>
              <w:t xml:space="preserve">m2 </w:t>
            </w:r>
          </w:p>
        </w:tc>
        <w:tc>
          <w:tcPr>
            <w:tcW w:w="1134" w:type="dxa"/>
            <w:tcBorders>
              <w:top w:val="nil"/>
              <w:left w:val="nil"/>
              <w:bottom w:val="single" w:sz="4" w:space="0" w:color="auto"/>
              <w:right w:val="single" w:sz="4" w:space="0" w:color="auto"/>
            </w:tcBorders>
            <w:shd w:val="clear" w:color="auto" w:fill="auto"/>
            <w:vAlign w:val="center"/>
            <w:hideMark/>
          </w:tcPr>
          <w:p w:rsidR="00AD26D7" w:rsidRPr="002674A0" w:rsidRDefault="00AD26D7" w:rsidP="00A70C15">
            <w:pPr>
              <w:jc w:val="center"/>
              <w:rPr>
                <w:sz w:val="22"/>
                <w:szCs w:val="22"/>
              </w:rPr>
            </w:pPr>
            <w:r w:rsidRPr="002674A0">
              <w:rPr>
                <w:sz w:val="22"/>
                <w:szCs w:val="22"/>
              </w:rPr>
              <w:t>788 503</w:t>
            </w:r>
          </w:p>
        </w:tc>
        <w:tc>
          <w:tcPr>
            <w:tcW w:w="1418" w:type="dxa"/>
            <w:tcBorders>
              <w:top w:val="nil"/>
              <w:left w:val="nil"/>
              <w:bottom w:val="single" w:sz="4" w:space="0" w:color="auto"/>
              <w:right w:val="single" w:sz="4" w:space="0" w:color="auto"/>
            </w:tcBorders>
            <w:shd w:val="clear" w:color="000000" w:fill="D8D8D8"/>
            <w:vAlign w:val="center"/>
            <w:hideMark/>
          </w:tcPr>
          <w:p w:rsidR="00AD26D7" w:rsidRPr="002674A0" w:rsidRDefault="00AD26D7" w:rsidP="00A70C15">
            <w:pPr>
              <w:jc w:val="right"/>
              <w:rPr>
                <w:b/>
                <w:bCs/>
                <w:szCs w:val="24"/>
              </w:rPr>
            </w:pPr>
            <w:r>
              <w:rPr>
                <w:b/>
                <w:bCs/>
                <w:szCs w:val="24"/>
              </w:rPr>
              <w:t>551.102</w:t>
            </w:r>
          </w:p>
        </w:tc>
        <w:tc>
          <w:tcPr>
            <w:tcW w:w="1417" w:type="dxa"/>
            <w:tcBorders>
              <w:top w:val="single" w:sz="4" w:space="0" w:color="auto"/>
              <w:bottom w:val="single" w:sz="4" w:space="0" w:color="auto"/>
              <w:right w:val="single" w:sz="4" w:space="0" w:color="auto"/>
            </w:tcBorders>
            <w:vAlign w:val="center"/>
          </w:tcPr>
          <w:p w:rsidR="00AD26D7" w:rsidRDefault="00AD26D7" w:rsidP="00A70C15">
            <w:pPr>
              <w:jc w:val="center"/>
              <w:rPr>
                <w:b/>
                <w:bCs/>
                <w:szCs w:val="24"/>
              </w:rPr>
            </w:pPr>
            <w:r>
              <w:rPr>
                <w:b/>
                <w:bCs/>
              </w:rPr>
              <w:t>70%</w:t>
            </w:r>
          </w:p>
        </w:tc>
      </w:tr>
      <w:tr w:rsidR="00AD26D7" w:rsidRPr="002674A0" w:rsidTr="00A70C15">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AD26D7" w:rsidRPr="002674A0" w:rsidRDefault="00AD26D7" w:rsidP="00A70C15">
            <w:pPr>
              <w:rPr>
                <w:sz w:val="22"/>
                <w:szCs w:val="22"/>
              </w:rPr>
            </w:pPr>
            <w:r>
              <w:rPr>
                <w:sz w:val="22"/>
                <w:szCs w:val="22"/>
              </w:rPr>
              <w:t>b) Különösen terhelt terület</w:t>
            </w:r>
            <w:r w:rsidRPr="002674A0">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AD26D7" w:rsidRPr="002674A0" w:rsidRDefault="00AD26D7" w:rsidP="00A70C15">
            <w:pPr>
              <w:jc w:val="center"/>
              <w:rPr>
                <w:sz w:val="22"/>
                <w:szCs w:val="22"/>
              </w:rPr>
            </w:pPr>
            <w:r w:rsidRPr="002674A0">
              <w:rPr>
                <w:sz w:val="22"/>
                <w:szCs w:val="22"/>
              </w:rPr>
              <w:t xml:space="preserve">m2 </w:t>
            </w:r>
          </w:p>
        </w:tc>
        <w:tc>
          <w:tcPr>
            <w:tcW w:w="1134" w:type="dxa"/>
            <w:tcBorders>
              <w:top w:val="nil"/>
              <w:left w:val="nil"/>
              <w:bottom w:val="single" w:sz="4" w:space="0" w:color="auto"/>
              <w:right w:val="single" w:sz="4" w:space="0" w:color="auto"/>
            </w:tcBorders>
            <w:shd w:val="clear" w:color="auto" w:fill="auto"/>
            <w:vAlign w:val="center"/>
            <w:hideMark/>
          </w:tcPr>
          <w:p w:rsidR="00AD26D7" w:rsidRPr="002674A0" w:rsidRDefault="00AD26D7" w:rsidP="00A70C15">
            <w:pPr>
              <w:jc w:val="center"/>
              <w:rPr>
                <w:sz w:val="22"/>
                <w:szCs w:val="22"/>
              </w:rPr>
            </w:pPr>
            <w:r w:rsidRPr="002674A0">
              <w:rPr>
                <w:sz w:val="22"/>
                <w:szCs w:val="22"/>
              </w:rPr>
              <w:t xml:space="preserve">           -      </w:t>
            </w:r>
          </w:p>
        </w:tc>
        <w:tc>
          <w:tcPr>
            <w:tcW w:w="1418" w:type="dxa"/>
            <w:tcBorders>
              <w:top w:val="nil"/>
              <w:left w:val="nil"/>
              <w:bottom w:val="single" w:sz="4" w:space="0" w:color="auto"/>
              <w:right w:val="single" w:sz="4" w:space="0" w:color="auto"/>
            </w:tcBorders>
            <w:shd w:val="clear" w:color="000000" w:fill="D8D8D8"/>
            <w:vAlign w:val="center"/>
            <w:hideMark/>
          </w:tcPr>
          <w:p w:rsidR="00AD26D7" w:rsidRPr="002674A0" w:rsidRDefault="00AD26D7" w:rsidP="00A70C15">
            <w:pPr>
              <w:jc w:val="right"/>
              <w:rPr>
                <w:b/>
                <w:bCs/>
                <w:szCs w:val="24"/>
              </w:rPr>
            </w:pPr>
            <w:r>
              <w:rPr>
                <w:b/>
                <w:bCs/>
                <w:szCs w:val="24"/>
              </w:rPr>
              <w:t>1.035</w:t>
            </w:r>
          </w:p>
        </w:tc>
        <w:tc>
          <w:tcPr>
            <w:tcW w:w="1417" w:type="dxa"/>
            <w:tcBorders>
              <w:top w:val="single" w:sz="4" w:space="0" w:color="auto"/>
              <w:bottom w:val="single" w:sz="4" w:space="0" w:color="auto"/>
              <w:right w:val="single" w:sz="4" w:space="0" w:color="auto"/>
            </w:tcBorders>
            <w:vAlign w:val="center"/>
          </w:tcPr>
          <w:p w:rsidR="00AD26D7" w:rsidRDefault="00AD26D7" w:rsidP="00A70C15">
            <w:pPr>
              <w:jc w:val="center"/>
              <w:rPr>
                <w:b/>
                <w:bCs/>
                <w:szCs w:val="24"/>
              </w:rPr>
            </w:pPr>
            <w:r>
              <w:rPr>
                <w:b/>
                <w:bCs/>
              </w:rPr>
              <w:t> </w:t>
            </w:r>
          </w:p>
        </w:tc>
      </w:tr>
      <w:tr w:rsidR="00AD26D7" w:rsidRPr="002674A0" w:rsidTr="00A70C15">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AD26D7" w:rsidRPr="002674A0" w:rsidRDefault="00AD26D7" w:rsidP="00A70C15">
            <w:pPr>
              <w:rPr>
                <w:sz w:val="22"/>
                <w:szCs w:val="22"/>
              </w:rPr>
            </w:pPr>
            <w:r w:rsidRPr="002674A0">
              <w:rPr>
                <w:sz w:val="22"/>
                <w:szCs w:val="22"/>
              </w:rPr>
              <w:t>c) Sürgősségi terület:</w:t>
            </w:r>
          </w:p>
        </w:tc>
        <w:tc>
          <w:tcPr>
            <w:tcW w:w="709" w:type="dxa"/>
            <w:tcBorders>
              <w:top w:val="nil"/>
              <w:left w:val="nil"/>
              <w:bottom w:val="single" w:sz="4" w:space="0" w:color="auto"/>
              <w:right w:val="single" w:sz="4" w:space="0" w:color="auto"/>
            </w:tcBorders>
            <w:shd w:val="clear" w:color="auto" w:fill="auto"/>
            <w:vAlign w:val="center"/>
            <w:hideMark/>
          </w:tcPr>
          <w:p w:rsidR="00AD26D7" w:rsidRPr="002674A0" w:rsidRDefault="00AD26D7" w:rsidP="00A70C15">
            <w:pPr>
              <w:jc w:val="center"/>
              <w:rPr>
                <w:sz w:val="22"/>
                <w:szCs w:val="22"/>
              </w:rPr>
            </w:pPr>
            <w:r w:rsidRPr="002674A0">
              <w:rPr>
                <w:sz w:val="22"/>
                <w:szCs w:val="22"/>
              </w:rPr>
              <w:t xml:space="preserve">m2 </w:t>
            </w:r>
          </w:p>
        </w:tc>
        <w:tc>
          <w:tcPr>
            <w:tcW w:w="1134" w:type="dxa"/>
            <w:tcBorders>
              <w:top w:val="nil"/>
              <w:left w:val="nil"/>
              <w:bottom w:val="single" w:sz="4" w:space="0" w:color="auto"/>
              <w:right w:val="single" w:sz="4" w:space="0" w:color="auto"/>
            </w:tcBorders>
            <w:shd w:val="clear" w:color="auto" w:fill="auto"/>
            <w:vAlign w:val="center"/>
            <w:hideMark/>
          </w:tcPr>
          <w:p w:rsidR="00AD26D7" w:rsidRPr="002674A0" w:rsidRDefault="00AD26D7" w:rsidP="00A70C15">
            <w:pPr>
              <w:jc w:val="center"/>
              <w:rPr>
                <w:sz w:val="22"/>
                <w:szCs w:val="22"/>
              </w:rPr>
            </w:pPr>
            <w:r w:rsidRPr="002674A0">
              <w:rPr>
                <w:sz w:val="22"/>
                <w:szCs w:val="22"/>
              </w:rPr>
              <w:t xml:space="preserve">      5 887    </w:t>
            </w:r>
          </w:p>
        </w:tc>
        <w:tc>
          <w:tcPr>
            <w:tcW w:w="1418" w:type="dxa"/>
            <w:tcBorders>
              <w:top w:val="nil"/>
              <w:left w:val="nil"/>
              <w:bottom w:val="single" w:sz="4" w:space="0" w:color="auto"/>
              <w:right w:val="single" w:sz="4" w:space="0" w:color="auto"/>
            </w:tcBorders>
            <w:shd w:val="clear" w:color="000000" w:fill="D8D8D8"/>
            <w:vAlign w:val="center"/>
            <w:hideMark/>
          </w:tcPr>
          <w:p w:rsidR="00AD26D7" w:rsidRPr="002674A0" w:rsidRDefault="00AD26D7" w:rsidP="00A70C15">
            <w:pPr>
              <w:jc w:val="right"/>
              <w:rPr>
                <w:b/>
                <w:bCs/>
                <w:szCs w:val="24"/>
              </w:rPr>
            </w:pPr>
            <w:r>
              <w:rPr>
                <w:b/>
                <w:bCs/>
                <w:szCs w:val="24"/>
              </w:rPr>
              <w:t>19.217</w:t>
            </w:r>
          </w:p>
        </w:tc>
        <w:tc>
          <w:tcPr>
            <w:tcW w:w="1417" w:type="dxa"/>
            <w:tcBorders>
              <w:top w:val="single" w:sz="4" w:space="0" w:color="auto"/>
              <w:bottom w:val="single" w:sz="4" w:space="0" w:color="auto"/>
              <w:right w:val="single" w:sz="4" w:space="0" w:color="auto"/>
            </w:tcBorders>
            <w:vAlign w:val="center"/>
          </w:tcPr>
          <w:p w:rsidR="00AD26D7" w:rsidRDefault="00AD26D7" w:rsidP="00A70C15">
            <w:pPr>
              <w:jc w:val="center"/>
              <w:rPr>
                <w:b/>
                <w:bCs/>
                <w:szCs w:val="24"/>
              </w:rPr>
            </w:pPr>
            <w:r>
              <w:rPr>
                <w:b/>
                <w:bCs/>
              </w:rPr>
              <w:t>326%</w:t>
            </w:r>
          </w:p>
        </w:tc>
      </w:tr>
      <w:tr w:rsidR="00AD26D7" w:rsidRPr="002674A0" w:rsidTr="00A70C15">
        <w:trPr>
          <w:trHeight w:val="63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AD26D7" w:rsidRPr="002674A0" w:rsidRDefault="00AD26D7" w:rsidP="00A70C15">
            <w:pPr>
              <w:rPr>
                <w:szCs w:val="24"/>
              </w:rPr>
            </w:pPr>
            <w:r w:rsidRPr="00D60A75">
              <w:rPr>
                <w:szCs w:val="24"/>
              </w:rPr>
              <w:t>d) Lerakó helyre történő szállítás</w:t>
            </w:r>
          </w:p>
        </w:tc>
        <w:tc>
          <w:tcPr>
            <w:tcW w:w="709" w:type="dxa"/>
            <w:tcBorders>
              <w:top w:val="nil"/>
              <w:left w:val="nil"/>
              <w:bottom w:val="single" w:sz="4" w:space="0" w:color="auto"/>
              <w:right w:val="single" w:sz="4" w:space="0" w:color="auto"/>
            </w:tcBorders>
            <w:shd w:val="clear" w:color="auto" w:fill="auto"/>
            <w:vAlign w:val="center"/>
            <w:hideMark/>
          </w:tcPr>
          <w:p w:rsidR="00AD26D7" w:rsidRPr="002674A0" w:rsidRDefault="00AD26D7" w:rsidP="00A70C15">
            <w:pPr>
              <w:jc w:val="center"/>
              <w:rPr>
                <w:rFonts w:ascii="Calibri" w:hAnsi="Calibri"/>
                <w:sz w:val="22"/>
                <w:szCs w:val="22"/>
              </w:rPr>
            </w:pPr>
            <w:r>
              <w:rPr>
                <w:rFonts w:ascii="Calibri" w:hAnsi="Calibri"/>
                <w:sz w:val="22"/>
                <w:szCs w:val="22"/>
              </w:rPr>
              <w:t>m3</w:t>
            </w:r>
          </w:p>
        </w:tc>
        <w:tc>
          <w:tcPr>
            <w:tcW w:w="1134" w:type="dxa"/>
            <w:tcBorders>
              <w:top w:val="nil"/>
              <w:left w:val="nil"/>
              <w:bottom w:val="single" w:sz="4" w:space="0" w:color="auto"/>
              <w:right w:val="single" w:sz="4" w:space="0" w:color="auto"/>
            </w:tcBorders>
            <w:shd w:val="clear" w:color="auto" w:fill="auto"/>
            <w:vAlign w:val="center"/>
            <w:hideMark/>
          </w:tcPr>
          <w:p w:rsidR="00AD26D7" w:rsidRPr="002674A0" w:rsidRDefault="00AD26D7" w:rsidP="00A70C15">
            <w:pPr>
              <w:jc w:val="center"/>
              <w:rPr>
                <w:rFonts w:ascii="Calibri" w:hAnsi="Calibri"/>
                <w:sz w:val="22"/>
                <w:szCs w:val="22"/>
              </w:rPr>
            </w:pPr>
            <w:r>
              <w:rPr>
                <w:rFonts w:ascii="Calibri" w:hAnsi="Calibri"/>
                <w:sz w:val="22"/>
                <w:szCs w:val="22"/>
              </w:rPr>
              <w:t>582</w:t>
            </w:r>
            <w:r w:rsidRPr="002674A0">
              <w:rPr>
                <w:rFonts w:ascii="Calibri" w:hAnsi="Calibri"/>
                <w:sz w:val="22"/>
                <w:szCs w:val="22"/>
              </w:rPr>
              <w:t xml:space="preserve"> </w:t>
            </w:r>
          </w:p>
        </w:tc>
        <w:tc>
          <w:tcPr>
            <w:tcW w:w="1418" w:type="dxa"/>
            <w:tcBorders>
              <w:top w:val="nil"/>
              <w:left w:val="nil"/>
              <w:bottom w:val="single" w:sz="4" w:space="0" w:color="auto"/>
              <w:right w:val="single" w:sz="4" w:space="0" w:color="auto"/>
            </w:tcBorders>
            <w:shd w:val="clear" w:color="000000" w:fill="D8D8D8"/>
            <w:vAlign w:val="center"/>
            <w:hideMark/>
          </w:tcPr>
          <w:p w:rsidR="00AD26D7" w:rsidRPr="002674A0" w:rsidRDefault="00AD26D7" w:rsidP="00A70C15">
            <w:pPr>
              <w:jc w:val="right"/>
              <w:rPr>
                <w:b/>
                <w:bCs/>
                <w:szCs w:val="24"/>
              </w:rPr>
            </w:pPr>
            <w:r>
              <w:rPr>
                <w:b/>
                <w:bCs/>
                <w:szCs w:val="24"/>
              </w:rPr>
              <w:t>543</w:t>
            </w:r>
          </w:p>
        </w:tc>
        <w:tc>
          <w:tcPr>
            <w:tcW w:w="1417" w:type="dxa"/>
            <w:tcBorders>
              <w:top w:val="single" w:sz="4" w:space="0" w:color="auto"/>
              <w:bottom w:val="single" w:sz="4" w:space="0" w:color="auto"/>
              <w:right w:val="single" w:sz="4" w:space="0" w:color="auto"/>
            </w:tcBorders>
            <w:vAlign w:val="center"/>
          </w:tcPr>
          <w:p w:rsidR="00AD26D7" w:rsidRDefault="00AD26D7" w:rsidP="00A70C15">
            <w:pPr>
              <w:jc w:val="center"/>
              <w:rPr>
                <w:b/>
                <w:bCs/>
                <w:szCs w:val="24"/>
              </w:rPr>
            </w:pPr>
            <w:r>
              <w:rPr>
                <w:b/>
                <w:bCs/>
              </w:rPr>
              <w:t>93%</w:t>
            </w:r>
          </w:p>
        </w:tc>
      </w:tr>
    </w:tbl>
    <w:p w:rsidR="00AD26D7" w:rsidRPr="00736975" w:rsidRDefault="00AD26D7" w:rsidP="00AD26D7">
      <w:pPr>
        <w:pStyle w:val="Szvegtrzs2"/>
        <w:ind w:left="993"/>
      </w:pPr>
    </w:p>
    <w:p w:rsidR="00AD26D7" w:rsidRPr="00736975" w:rsidRDefault="00AD26D7" w:rsidP="00AD26D7">
      <w:pPr>
        <w:pStyle w:val="StlusCmsor4Egalizls14pt"/>
      </w:pPr>
      <w:r w:rsidRPr="00736975">
        <w:t>Pénzügyi teljesítés</w:t>
      </w:r>
    </w:p>
    <w:p w:rsidR="00AD26D7" w:rsidRPr="004060C3" w:rsidRDefault="00AD26D7" w:rsidP="00AD26D7">
      <w:pPr>
        <w:pStyle w:val="Szvegtrzs2"/>
        <w:ind w:left="567"/>
      </w:pPr>
      <w:r w:rsidRPr="004060C3">
        <w:t>A 2011. száraz időjárása miatti mintegy 30%-os feladat elmaradás mind a szolgáltatási díj elmaradása, mind pedig az alacsonyabb költségek terén megmutatkozz év során tisztáz</w:t>
      </w:r>
      <w:r w:rsidRPr="004060C3">
        <w:t>ó</w:t>
      </w:r>
      <w:r w:rsidRPr="004060C3">
        <w:t xml:space="preserve">dott, hogy a szolgáltatási (támogatás) ÁFA köteles díj bevétel, melynek ÁFA tartalmát be kell fizetni, azonban a fővárosi terv (17.300 ezer Ft) bruttó összeg. A </w:t>
      </w:r>
      <w:r>
        <w:t xml:space="preserve">2010-es </w:t>
      </w:r>
      <w:r w:rsidRPr="004060C3">
        <w:t>évben tehe</w:t>
      </w:r>
      <w:r w:rsidRPr="004060C3">
        <w:t>r</w:t>
      </w:r>
      <w:r w:rsidRPr="004060C3">
        <w:t xml:space="preserve">gépkocsi eladásból és egyéb működési bevételekből származó 3.239 ezer Ft sem </w:t>
      </w:r>
      <w:r>
        <w:t>keletk</w:t>
      </w:r>
      <w:r>
        <w:t>e</w:t>
      </w:r>
      <w:r>
        <w:t>zett</w:t>
      </w:r>
      <w:r w:rsidRPr="004060C3">
        <w:t xml:space="preserve"> 2011-ben, azonban egyéb tevékenység nyereségeként 1.006 ezer Ft-ot ide könyve</w:t>
      </w:r>
      <w:r w:rsidRPr="004060C3">
        <w:t>l</w:t>
      </w:r>
      <w:r w:rsidRPr="004060C3">
        <w:t>tünk, az előirányzott és a jogos szolgáltatási kompenzáció kiegyenlítése miatt. Így az ö</w:t>
      </w:r>
      <w:r w:rsidRPr="004060C3">
        <w:t>s</w:t>
      </w:r>
      <w:r w:rsidRPr="004060C3">
        <w:t>szes jogos és előirányzott kompenzáció csaknem megegyezik 11.557 ezer Ft (6. számú á</w:t>
      </w:r>
      <w:r w:rsidRPr="004060C3">
        <w:t>b</w:t>
      </w:r>
      <w:r w:rsidRPr="004060C3">
        <w:t xml:space="preserve">ra). Ennek </w:t>
      </w:r>
      <w:proofErr w:type="spellStart"/>
      <w:r w:rsidRPr="004060C3">
        <w:t>ÁFÁ-ja</w:t>
      </w:r>
      <w:proofErr w:type="spellEnd"/>
      <w:r w:rsidRPr="004060C3">
        <w:t xml:space="preserve"> 1.534 ezer Ft.</w:t>
      </w:r>
    </w:p>
    <w:p w:rsidR="00AD26D7" w:rsidRDefault="00AD26D7" w:rsidP="00AD26D7">
      <w:pPr>
        <w:pStyle w:val="Szvegtrzs2"/>
        <w:ind w:left="993"/>
      </w:pPr>
    </w:p>
    <w:p w:rsidR="00AD26D7" w:rsidRDefault="00AD26D7" w:rsidP="00AD26D7">
      <w:pPr>
        <w:pStyle w:val="Szvegtrzs"/>
        <w:numPr>
          <w:ilvl w:val="0"/>
          <w:numId w:val="5"/>
        </w:numPr>
        <w:ind w:left="851" w:hanging="323"/>
      </w:pPr>
      <w:r>
        <w:t>számú ábra: A közegészségügyi közszolgáltatás egyenlege</w:t>
      </w:r>
    </w:p>
    <w:p w:rsidR="00AD26D7" w:rsidRPr="00BB1EB5" w:rsidRDefault="00AD26D7" w:rsidP="00AD26D7">
      <w:pPr>
        <w:pStyle w:val="Szvegtrzs21"/>
      </w:pPr>
    </w:p>
    <w:tbl>
      <w:tblPr>
        <w:tblW w:w="9498" w:type="dxa"/>
        <w:tblInd w:w="70" w:type="dxa"/>
        <w:tblLayout w:type="fixed"/>
        <w:tblCellMar>
          <w:left w:w="70" w:type="dxa"/>
          <w:right w:w="70" w:type="dxa"/>
        </w:tblCellMar>
        <w:tblLook w:val="04A0"/>
      </w:tblPr>
      <w:tblGrid>
        <w:gridCol w:w="567"/>
        <w:gridCol w:w="3686"/>
        <w:gridCol w:w="850"/>
        <w:gridCol w:w="993"/>
        <w:gridCol w:w="1134"/>
        <w:gridCol w:w="1275"/>
        <w:gridCol w:w="993"/>
      </w:tblGrid>
      <w:tr w:rsidR="00AD26D7" w:rsidRPr="00D50BBC" w:rsidTr="00A70C15">
        <w:trPr>
          <w:trHeight w:val="525"/>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D26D7" w:rsidRPr="00D50BBC" w:rsidRDefault="00AD26D7" w:rsidP="00A70C15">
            <w:pPr>
              <w:rPr>
                <w:szCs w:val="24"/>
              </w:rPr>
            </w:pPr>
            <w:r w:rsidRPr="00D50BBC">
              <w:rPr>
                <w:szCs w:val="24"/>
              </w:rPr>
              <w:t> </w:t>
            </w:r>
          </w:p>
        </w:tc>
        <w:tc>
          <w:tcPr>
            <w:tcW w:w="3686" w:type="dxa"/>
            <w:tcBorders>
              <w:top w:val="single" w:sz="8" w:space="0" w:color="auto"/>
              <w:left w:val="nil"/>
              <w:bottom w:val="nil"/>
              <w:right w:val="single" w:sz="4" w:space="0" w:color="auto"/>
            </w:tcBorders>
            <w:shd w:val="clear" w:color="auto" w:fill="auto"/>
            <w:vAlign w:val="center"/>
            <w:hideMark/>
          </w:tcPr>
          <w:p w:rsidR="00AD26D7" w:rsidRPr="00D50BBC" w:rsidRDefault="00AD26D7" w:rsidP="00A70C15">
            <w:pPr>
              <w:rPr>
                <w:b/>
                <w:bCs/>
                <w:szCs w:val="24"/>
              </w:rPr>
            </w:pPr>
            <w:r w:rsidRPr="00D50BBC">
              <w:rPr>
                <w:b/>
                <w:bCs/>
                <w:szCs w:val="24"/>
              </w:rPr>
              <w:t>Fővárosi Közegészségügyi Kö</w:t>
            </w:r>
            <w:r w:rsidRPr="00D50BBC">
              <w:rPr>
                <w:b/>
                <w:bCs/>
                <w:szCs w:val="24"/>
              </w:rPr>
              <w:t>z</w:t>
            </w:r>
            <w:r w:rsidRPr="00D50BBC">
              <w:rPr>
                <w:b/>
                <w:bCs/>
                <w:szCs w:val="24"/>
              </w:rPr>
              <w:t>szolgáltatás</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D26D7" w:rsidRPr="00D50BBC" w:rsidRDefault="00AD26D7" w:rsidP="00A70C15">
            <w:pPr>
              <w:jc w:val="center"/>
              <w:rPr>
                <w:szCs w:val="24"/>
              </w:rPr>
            </w:pPr>
            <w:r w:rsidRPr="00D50BBC">
              <w:rPr>
                <w:szCs w:val="24"/>
              </w:rPr>
              <w:t>2010. tény**</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AD26D7" w:rsidRPr="00D50BBC" w:rsidRDefault="00AD26D7" w:rsidP="00A70C15">
            <w:pPr>
              <w:jc w:val="center"/>
              <w:rPr>
                <w:szCs w:val="24"/>
              </w:rPr>
            </w:pPr>
            <w:r w:rsidRPr="00D50BBC">
              <w:rPr>
                <w:szCs w:val="24"/>
              </w:rPr>
              <w:t>2011. terv</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AD26D7" w:rsidRPr="00D50BBC" w:rsidRDefault="00AD26D7" w:rsidP="00A70C15">
            <w:pPr>
              <w:jc w:val="center"/>
              <w:rPr>
                <w:szCs w:val="24"/>
              </w:rPr>
            </w:pPr>
            <w:r w:rsidRPr="00D50BBC">
              <w:rPr>
                <w:szCs w:val="24"/>
              </w:rPr>
              <w:t>2011. tény</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AD26D7" w:rsidRPr="00D50BBC" w:rsidRDefault="00AD26D7" w:rsidP="00A70C15">
            <w:pPr>
              <w:jc w:val="center"/>
              <w:rPr>
                <w:szCs w:val="24"/>
              </w:rPr>
            </w:pPr>
            <w:r w:rsidRPr="00D50BBC">
              <w:rPr>
                <w:szCs w:val="24"/>
              </w:rPr>
              <w:t>2011. jogos komp</w:t>
            </w:r>
            <w:r>
              <w:rPr>
                <w:szCs w:val="24"/>
              </w:rPr>
              <w:t>.</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AD26D7" w:rsidRDefault="00AD26D7" w:rsidP="00A70C15">
            <w:pPr>
              <w:jc w:val="center"/>
              <w:rPr>
                <w:szCs w:val="24"/>
              </w:rPr>
            </w:pPr>
            <w:r w:rsidRPr="00D50BBC">
              <w:rPr>
                <w:szCs w:val="24"/>
              </w:rPr>
              <w:t>2011/</w:t>
            </w:r>
          </w:p>
          <w:p w:rsidR="00AD26D7" w:rsidRPr="00D50BBC" w:rsidRDefault="00AD26D7" w:rsidP="00A70C15">
            <w:pPr>
              <w:jc w:val="center"/>
              <w:rPr>
                <w:szCs w:val="24"/>
              </w:rPr>
            </w:pPr>
            <w:r w:rsidRPr="00D50BBC">
              <w:rPr>
                <w:szCs w:val="24"/>
              </w:rPr>
              <w:t>2010</w:t>
            </w:r>
          </w:p>
        </w:tc>
      </w:tr>
      <w:tr w:rsidR="00AD26D7" w:rsidRPr="00D50BBC"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D50BBC" w:rsidRDefault="00AD26D7" w:rsidP="00A70C15">
            <w:pPr>
              <w:rPr>
                <w:b/>
                <w:bCs/>
                <w:szCs w:val="24"/>
              </w:rPr>
            </w:pPr>
            <w:r w:rsidRPr="00D50BBC">
              <w:rPr>
                <w:b/>
                <w:bCs/>
                <w:szCs w:val="24"/>
              </w:rPr>
              <w:t>3.</w:t>
            </w:r>
          </w:p>
        </w:tc>
        <w:tc>
          <w:tcPr>
            <w:tcW w:w="3686" w:type="dxa"/>
            <w:tcBorders>
              <w:top w:val="single" w:sz="8" w:space="0" w:color="auto"/>
              <w:left w:val="nil"/>
              <w:bottom w:val="single" w:sz="4" w:space="0" w:color="auto"/>
              <w:right w:val="single" w:sz="4" w:space="0" w:color="auto"/>
            </w:tcBorders>
            <w:shd w:val="clear" w:color="auto" w:fill="auto"/>
            <w:noWrap/>
            <w:vAlign w:val="center"/>
            <w:hideMark/>
          </w:tcPr>
          <w:p w:rsidR="00AD26D7" w:rsidRPr="00D50BBC" w:rsidRDefault="00AD26D7" w:rsidP="00A70C15">
            <w:pPr>
              <w:jc w:val="center"/>
              <w:rPr>
                <w:b/>
                <w:bCs/>
                <w:szCs w:val="24"/>
              </w:rPr>
            </w:pPr>
            <w:r w:rsidRPr="00D50BBC">
              <w:rPr>
                <w:b/>
                <w:bCs/>
                <w:szCs w:val="24"/>
              </w:rPr>
              <w:t>Egyenleg</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center"/>
              <w:rPr>
                <w:b/>
                <w:bCs/>
                <w:szCs w:val="24"/>
              </w:rPr>
            </w:pPr>
            <w:r w:rsidRPr="00D50BBC">
              <w:rPr>
                <w:b/>
                <w:bCs/>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center"/>
              <w:rPr>
                <w:b/>
                <w:bCs/>
                <w:szCs w:val="24"/>
              </w:rPr>
            </w:pPr>
            <w:r w:rsidRPr="00D50BBC">
              <w:rPr>
                <w:b/>
                <w:bCs/>
                <w:szCs w:val="24"/>
              </w:rPr>
              <w:t>-2 433</w:t>
            </w:r>
          </w:p>
        </w:tc>
        <w:tc>
          <w:tcPr>
            <w:tcW w:w="1134" w:type="dxa"/>
            <w:tcBorders>
              <w:top w:val="nil"/>
              <w:left w:val="nil"/>
              <w:bottom w:val="single" w:sz="4" w:space="0" w:color="auto"/>
              <w:right w:val="single" w:sz="4" w:space="0" w:color="auto"/>
            </w:tcBorders>
            <w:shd w:val="clear" w:color="000000" w:fill="FFFF00"/>
            <w:noWrap/>
            <w:vAlign w:val="center"/>
            <w:hideMark/>
          </w:tcPr>
          <w:p w:rsidR="00AD26D7" w:rsidRPr="00D50BBC" w:rsidRDefault="00AD26D7" w:rsidP="00A70C15">
            <w:pPr>
              <w:jc w:val="center"/>
              <w:rPr>
                <w:b/>
                <w:bCs/>
                <w:szCs w:val="24"/>
              </w:rPr>
            </w:pPr>
            <w:r w:rsidRPr="00D50BBC">
              <w:rPr>
                <w:b/>
                <w:bCs/>
                <w:szCs w:val="24"/>
              </w:rPr>
              <w:t>-285</w:t>
            </w:r>
          </w:p>
        </w:tc>
        <w:tc>
          <w:tcPr>
            <w:tcW w:w="1275"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center"/>
              <w:rPr>
                <w:b/>
                <w:bCs/>
                <w:szCs w:val="24"/>
              </w:rPr>
            </w:pPr>
            <w:r w:rsidRPr="00D50BBC">
              <w:rPr>
                <w:b/>
                <w:bCs/>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center"/>
              <w:rPr>
                <w:b/>
                <w:bCs/>
                <w:szCs w:val="24"/>
              </w:rPr>
            </w:pPr>
            <w:r w:rsidRPr="00D50BBC">
              <w:rPr>
                <w:b/>
                <w:bCs/>
                <w:szCs w:val="24"/>
              </w:rPr>
              <w:t> </w:t>
            </w:r>
          </w:p>
        </w:tc>
      </w:tr>
      <w:tr w:rsidR="00AD26D7" w:rsidRPr="00D50BBC"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D50BBC" w:rsidRDefault="00AD26D7" w:rsidP="00A70C15">
            <w:pPr>
              <w:rPr>
                <w:szCs w:val="24"/>
              </w:rPr>
            </w:pPr>
            <w:r w:rsidRPr="00D50BBC">
              <w:rPr>
                <w:szCs w:val="24"/>
              </w:rPr>
              <w:t>3.1</w:t>
            </w:r>
          </w:p>
        </w:tc>
        <w:tc>
          <w:tcPr>
            <w:tcW w:w="3686" w:type="dxa"/>
            <w:tcBorders>
              <w:top w:val="nil"/>
              <w:left w:val="nil"/>
              <w:bottom w:val="single" w:sz="4" w:space="0" w:color="auto"/>
              <w:right w:val="single" w:sz="4" w:space="0" w:color="auto"/>
            </w:tcBorders>
            <w:shd w:val="clear" w:color="auto" w:fill="auto"/>
            <w:vAlign w:val="center"/>
            <w:hideMark/>
          </w:tcPr>
          <w:p w:rsidR="00AD26D7" w:rsidRPr="00D50BBC" w:rsidRDefault="00AD26D7" w:rsidP="00A70C15">
            <w:pPr>
              <w:rPr>
                <w:szCs w:val="24"/>
              </w:rPr>
            </w:pPr>
            <w:r w:rsidRPr="00D50BBC">
              <w:rPr>
                <w:szCs w:val="24"/>
              </w:rPr>
              <w:t>Közvetlen változó költség</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5 565</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5 000</w:t>
            </w:r>
          </w:p>
        </w:tc>
        <w:tc>
          <w:tcPr>
            <w:tcW w:w="1134" w:type="dxa"/>
            <w:tcBorders>
              <w:top w:val="nil"/>
              <w:left w:val="nil"/>
              <w:bottom w:val="single" w:sz="4" w:space="0" w:color="auto"/>
              <w:right w:val="single" w:sz="4" w:space="0" w:color="auto"/>
            </w:tcBorders>
            <w:shd w:val="clear" w:color="000000" w:fill="FFFF00"/>
            <w:noWrap/>
            <w:vAlign w:val="center"/>
            <w:hideMark/>
          </w:tcPr>
          <w:p w:rsidR="00AD26D7" w:rsidRPr="00D50BBC" w:rsidRDefault="00AD26D7" w:rsidP="00A70C15">
            <w:pPr>
              <w:jc w:val="right"/>
              <w:rPr>
                <w:szCs w:val="24"/>
              </w:rPr>
            </w:pPr>
            <w:r w:rsidRPr="00D50BBC">
              <w:rPr>
                <w:szCs w:val="24"/>
              </w:rPr>
              <w:t>4 522</w:t>
            </w:r>
          </w:p>
        </w:tc>
        <w:tc>
          <w:tcPr>
            <w:tcW w:w="1275"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81%</w:t>
            </w:r>
          </w:p>
        </w:tc>
      </w:tr>
      <w:tr w:rsidR="00AD26D7" w:rsidRPr="00D50BBC"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D50BBC" w:rsidRDefault="00AD26D7" w:rsidP="00A70C15">
            <w:pPr>
              <w:rPr>
                <w:szCs w:val="24"/>
              </w:rPr>
            </w:pPr>
            <w:r w:rsidRPr="00D50BBC">
              <w:rPr>
                <w:szCs w:val="24"/>
              </w:rPr>
              <w:t>3.2</w:t>
            </w:r>
          </w:p>
        </w:tc>
        <w:tc>
          <w:tcPr>
            <w:tcW w:w="3686" w:type="dxa"/>
            <w:tcBorders>
              <w:top w:val="nil"/>
              <w:left w:val="nil"/>
              <w:bottom w:val="single" w:sz="4" w:space="0" w:color="auto"/>
              <w:right w:val="single" w:sz="4" w:space="0" w:color="auto"/>
            </w:tcBorders>
            <w:shd w:val="clear" w:color="auto" w:fill="auto"/>
            <w:vAlign w:val="center"/>
            <w:hideMark/>
          </w:tcPr>
          <w:p w:rsidR="00AD26D7" w:rsidRPr="00D50BBC" w:rsidRDefault="00AD26D7" w:rsidP="00A70C15">
            <w:pPr>
              <w:rPr>
                <w:szCs w:val="24"/>
              </w:rPr>
            </w:pPr>
            <w:r w:rsidRPr="00D50BBC">
              <w:rPr>
                <w:szCs w:val="24"/>
              </w:rPr>
              <w:t>Közvetlen állandó költség</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6 072</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7 650</w:t>
            </w:r>
          </w:p>
        </w:tc>
        <w:tc>
          <w:tcPr>
            <w:tcW w:w="1134" w:type="dxa"/>
            <w:tcBorders>
              <w:top w:val="nil"/>
              <w:left w:val="nil"/>
              <w:bottom w:val="single" w:sz="4" w:space="0" w:color="auto"/>
              <w:right w:val="single" w:sz="4" w:space="0" w:color="auto"/>
            </w:tcBorders>
            <w:shd w:val="clear" w:color="000000" w:fill="FFFF00"/>
            <w:noWrap/>
            <w:vAlign w:val="center"/>
            <w:hideMark/>
          </w:tcPr>
          <w:p w:rsidR="00AD26D7" w:rsidRPr="00D50BBC" w:rsidRDefault="00AD26D7" w:rsidP="00A70C15">
            <w:pPr>
              <w:jc w:val="right"/>
              <w:rPr>
                <w:szCs w:val="24"/>
              </w:rPr>
            </w:pPr>
            <w:r w:rsidRPr="00D50BBC">
              <w:rPr>
                <w:szCs w:val="24"/>
              </w:rPr>
              <w:t>2 620</w:t>
            </w:r>
          </w:p>
        </w:tc>
        <w:tc>
          <w:tcPr>
            <w:tcW w:w="1275"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43%</w:t>
            </w:r>
          </w:p>
        </w:tc>
      </w:tr>
      <w:tr w:rsidR="00AD26D7" w:rsidRPr="00D50BBC"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D50BBC" w:rsidRDefault="00AD26D7" w:rsidP="00A70C15">
            <w:pPr>
              <w:rPr>
                <w:szCs w:val="24"/>
              </w:rPr>
            </w:pPr>
            <w:r w:rsidRPr="00D50BBC">
              <w:rPr>
                <w:szCs w:val="24"/>
              </w:rPr>
              <w:t>3.3</w:t>
            </w:r>
          </w:p>
        </w:tc>
        <w:tc>
          <w:tcPr>
            <w:tcW w:w="3686" w:type="dxa"/>
            <w:tcBorders>
              <w:top w:val="nil"/>
              <w:left w:val="nil"/>
              <w:bottom w:val="single" w:sz="4" w:space="0" w:color="auto"/>
              <w:right w:val="single" w:sz="4" w:space="0" w:color="auto"/>
            </w:tcBorders>
            <w:shd w:val="clear" w:color="auto" w:fill="auto"/>
            <w:vAlign w:val="center"/>
            <w:hideMark/>
          </w:tcPr>
          <w:p w:rsidR="00AD26D7" w:rsidRPr="00D50BBC" w:rsidRDefault="00AD26D7" w:rsidP="00A70C15">
            <w:pPr>
              <w:jc w:val="right"/>
              <w:rPr>
                <w:szCs w:val="24"/>
              </w:rPr>
            </w:pPr>
            <w:r w:rsidRPr="00D50BBC">
              <w:rPr>
                <w:szCs w:val="24"/>
              </w:rPr>
              <w:t>Egyéb tevékenység nyeresége</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371</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486</w:t>
            </w:r>
          </w:p>
        </w:tc>
        <w:tc>
          <w:tcPr>
            <w:tcW w:w="1134" w:type="dxa"/>
            <w:tcBorders>
              <w:top w:val="nil"/>
              <w:left w:val="nil"/>
              <w:bottom w:val="single" w:sz="4" w:space="0" w:color="auto"/>
              <w:right w:val="single" w:sz="4" w:space="0" w:color="auto"/>
            </w:tcBorders>
            <w:shd w:val="clear" w:color="000000" w:fill="FFFF00"/>
            <w:noWrap/>
            <w:vAlign w:val="center"/>
            <w:hideMark/>
          </w:tcPr>
          <w:p w:rsidR="00AD26D7" w:rsidRPr="002D0A2B" w:rsidRDefault="00AD26D7" w:rsidP="00A70C15">
            <w:pPr>
              <w:jc w:val="right"/>
              <w:rPr>
                <w:b/>
                <w:bCs/>
                <w:szCs w:val="24"/>
              </w:rPr>
            </w:pPr>
            <w:r w:rsidRPr="002D0A2B">
              <w:rPr>
                <w:b/>
                <w:bCs/>
                <w:szCs w:val="24"/>
              </w:rPr>
              <w:t>1 006</w:t>
            </w:r>
          </w:p>
        </w:tc>
        <w:tc>
          <w:tcPr>
            <w:tcW w:w="1275" w:type="dxa"/>
            <w:tcBorders>
              <w:top w:val="nil"/>
              <w:left w:val="nil"/>
              <w:bottom w:val="single" w:sz="4" w:space="0" w:color="auto"/>
              <w:right w:val="single" w:sz="4" w:space="0" w:color="auto"/>
            </w:tcBorders>
            <w:shd w:val="clear" w:color="auto" w:fill="auto"/>
            <w:noWrap/>
            <w:vAlign w:val="center"/>
            <w:hideMark/>
          </w:tcPr>
          <w:p w:rsidR="00AD26D7" w:rsidRPr="002D0A2B" w:rsidRDefault="00AD26D7" w:rsidP="00A70C15">
            <w:pPr>
              <w:jc w:val="right"/>
              <w:rPr>
                <w:szCs w:val="24"/>
              </w:rPr>
            </w:pPr>
            <w:r w:rsidRPr="002D0A2B">
              <w:rPr>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2D0A2B" w:rsidRDefault="00AD26D7" w:rsidP="00A70C15">
            <w:pPr>
              <w:jc w:val="right"/>
              <w:rPr>
                <w:szCs w:val="24"/>
              </w:rPr>
            </w:pPr>
            <w:r w:rsidRPr="002D0A2B">
              <w:rPr>
                <w:szCs w:val="24"/>
              </w:rPr>
              <w:t>271%</w:t>
            </w:r>
          </w:p>
        </w:tc>
      </w:tr>
      <w:tr w:rsidR="00AD26D7" w:rsidRPr="00D50BBC" w:rsidTr="00A70C15">
        <w:trPr>
          <w:trHeight w:val="510"/>
        </w:trPr>
        <w:tc>
          <w:tcPr>
            <w:tcW w:w="567" w:type="dxa"/>
            <w:tcBorders>
              <w:top w:val="nil"/>
              <w:left w:val="single" w:sz="8" w:space="0" w:color="auto"/>
              <w:bottom w:val="single" w:sz="4" w:space="0" w:color="auto"/>
              <w:right w:val="single" w:sz="4" w:space="0" w:color="auto"/>
            </w:tcBorders>
            <w:shd w:val="clear" w:color="000000" w:fill="FFFF00"/>
            <w:noWrap/>
            <w:vAlign w:val="center"/>
            <w:hideMark/>
          </w:tcPr>
          <w:p w:rsidR="00AD26D7" w:rsidRPr="00D50BBC" w:rsidRDefault="00AD26D7" w:rsidP="00A70C15">
            <w:pPr>
              <w:rPr>
                <w:szCs w:val="24"/>
              </w:rPr>
            </w:pPr>
            <w:r w:rsidRPr="00D50BBC">
              <w:rPr>
                <w:szCs w:val="24"/>
              </w:rPr>
              <w:t>3.4</w:t>
            </w:r>
          </w:p>
        </w:tc>
        <w:tc>
          <w:tcPr>
            <w:tcW w:w="3686" w:type="dxa"/>
            <w:tcBorders>
              <w:top w:val="nil"/>
              <w:left w:val="nil"/>
              <w:bottom w:val="single" w:sz="4" w:space="0" w:color="auto"/>
              <w:right w:val="single" w:sz="4" w:space="0" w:color="auto"/>
            </w:tcBorders>
            <w:shd w:val="clear" w:color="000000" w:fill="FFFF00"/>
            <w:vAlign w:val="center"/>
            <w:hideMark/>
          </w:tcPr>
          <w:p w:rsidR="00AD26D7" w:rsidRPr="00D50BBC" w:rsidRDefault="00AD26D7" w:rsidP="00A70C15">
            <w:pPr>
              <w:rPr>
                <w:b/>
                <w:bCs/>
                <w:szCs w:val="24"/>
              </w:rPr>
            </w:pPr>
            <w:r w:rsidRPr="00D50BBC">
              <w:rPr>
                <w:b/>
                <w:bCs/>
                <w:szCs w:val="24"/>
              </w:rPr>
              <w:t xml:space="preserve">Szolgáltatási díj (3.1+3.2-3.3) </w:t>
            </w:r>
            <w:r w:rsidRPr="00D50BBC">
              <w:rPr>
                <w:szCs w:val="24"/>
              </w:rPr>
              <w:t>(ÁFA nélkül)</w:t>
            </w:r>
          </w:p>
        </w:tc>
        <w:tc>
          <w:tcPr>
            <w:tcW w:w="850" w:type="dxa"/>
            <w:tcBorders>
              <w:top w:val="nil"/>
              <w:left w:val="nil"/>
              <w:bottom w:val="single" w:sz="4" w:space="0" w:color="auto"/>
              <w:right w:val="single" w:sz="4" w:space="0" w:color="auto"/>
            </w:tcBorders>
            <w:shd w:val="clear" w:color="000000" w:fill="FFFF00"/>
            <w:noWrap/>
            <w:vAlign w:val="center"/>
            <w:hideMark/>
          </w:tcPr>
          <w:p w:rsidR="00AD26D7" w:rsidRPr="00D50BBC" w:rsidRDefault="00AD26D7" w:rsidP="00A70C15">
            <w:pPr>
              <w:jc w:val="right"/>
              <w:rPr>
                <w:b/>
                <w:bCs/>
                <w:szCs w:val="24"/>
              </w:rPr>
            </w:pPr>
            <w:r w:rsidRPr="00D50BBC">
              <w:rPr>
                <w:b/>
                <w:bCs/>
                <w:szCs w:val="24"/>
              </w:rPr>
              <w:t>11 266</w:t>
            </w:r>
          </w:p>
        </w:tc>
        <w:tc>
          <w:tcPr>
            <w:tcW w:w="993" w:type="dxa"/>
            <w:tcBorders>
              <w:top w:val="nil"/>
              <w:left w:val="nil"/>
              <w:bottom w:val="single" w:sz="4" w:space="0" w:color="auto"/>
              <w:right w:val="single" w:sz="4" w:space="0" w:color="auto"/>
            </w:tcBorders>
            <w:shd w:val="clear" w:color="000000" w:fill="FFFF00"/>
            <w:noWrap/>
            <w:vAlign w:val="center"/>
            <w:hideMark/>
          </w:tcPr>
          <w:p w:rsidR="00AD26D7" w:rsidRPr="00D50BBC" w:rsidRDefault="00AD26D7" w:rsidP="00A70C15">
            <w:pPr>
              <w:jc w:val="right"/>
              <w:rPr>
                <w:b/>
                <w:bCs/>
                <w:szCs w:val="24"/>
              </w:rPr>
            </w:pPr>
            <w:r w:rsidRPr="00D50BBC">
              <w:rPr>
                <w:b/>
                <w:bCs/>
                <w:szCs w:val="24"/>
              </w:rPr>
              <w:t>9 731</w:t>
            </w:r>
          </w:p>
        </w:tc>
        <w:tc>
          <w:tcPr>
            <w:tcW w:w="1134" w:type="dxa"/>
            <w:tcBorders>
              <w:top w:val="nil"/>
              <w:left w:val="nil"/>
              <w:bottom w:val="single" w:sz="4" w:space="0" w:color="auto"/>
              <w:right w:val="single" w:sz="4" w:space="0" w:color="auto"/>
            </w:tcBorders>
            <w:shd w:val="clear" w:color="000000" w:fill="FFFF00"/>
            <w:noWrap/>
            <w:vAlign w:val="center"/>
            <w:hideMark/>
          </w:tcPr>
          <w:p w:rsidR="00AD26D7" w:rsidRPr="00D50BBC" w:rsidRDefault="00AD26D7" w:rsidP="00A70C15">
            <w:pPr>
              <w:jc w:val="right"/>
              <w:rPr>
                <w:b/>
                <w:bCs/>
                <w:szCs w:val="24"/>
              </w:rPr>
            </w:pPr>
            <w:r w:rsidRPr="00D50BBC">
              <w:rPr>
                <w:b/>
                <w:bCs/>
                <w:szCs w:val="24"/>
              </w:rPr>
              <w:t>6 136</w:t>
            </w:r>
          </w:p>
        </w:tc>
        <w:tc>
          <w:tcPr>
            <w:tcW w:w="1275" w:type="dxa"/>
            <w:tcBorders>
              <w:top w:val="nil"/>
              <w:left w:val="nil"/>
              <w:bottom w:val="single" w:sz="4" w:space="0" w:color="auto"/>
              <w:right w:val="single" w:sz="4" w:space="0" w:color="auto"/>
            </w:tcBorders>
            <w:shd w:val="clear" w:color="000000" w:fill="FFFF00"/>
            <w:noWrap/>
            <w:vAlign w:val="center"/>
            <w:hideMark/>
          </w:tcPr>
          <w:p w:rsidR="00AD26D7" w:rsidRPr="00D50BBC" w:rsidRDefault="00AD26D7" w:rsidP="00A70C15">
            <w:pPr>
              <w:jc w:val="right"/>
              <w:rPr>
                <w:b/>
                <w:bCs/>
                <w:szCs w:val="24"/>
              </w:rPr>
            </w:pPr>
            <w:r w:rsidRPr="00D50BBC">
              <w:rPr>
                <w:b/>
                <w:bCs/>
                <w:szCs w:val="24"/>
              </w:rPr>
              <w:t>6 136</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b/>
                <w:bCs/>
                <w:szCs w:val="24"/>
              </w:rPr>
            </w:pPr>
            <w:r w:rsidRPr="00D50BBC">
              <w:rPr>
                <w:b/>
                <w:bCs/>
                <w:szCs w:val="24"/>
              </w:rPr>
              <w:t>54%</w:t>
            </w:r>
          </w:p>
        </w:tc>
      </w:tr>
      <w:tr w:rsidR="00AD26D7" w:rsidRPr="00D50BBC"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D50BBC" w:rsidRDefault="00AD26D7" w:rsidP="00A70C15">
            <w:pPr>
              <w:rPr>
                <w:szCs w:val="24"/>
              </w:rPr>
            </w:pPr>
            <w:r w:rsidRPr="00D50BBC">
              <w:rPr>
                <w:szCs w:val="24"/>
              </w:rPr>
              <w:t>3.5</w:t>
            </w:r>
          </w:p>
        </w:tc>
        <w:tc>
          <w:tcPr>
            <w:tcW w:w="3686" w:type="dxa"/>
            <w:tcBorders>
              <w:top w:val="nil"/>
              <w:left w:val="nil"/>
              <w:bottom w:val="single" w:sz="4" w:space="0" w:color="auto"/>
              <w:right w:val="single" w:sz="4" w:space="0" w:color="auto"/>
            </w:tcBorders>
            <w:shd w:val="clear" w:color="auto" w:fill="auto"/>
            <w:vAlign w:val="center"/>
            <w:hideMark/>
          </w:tcPr>
          <w:p w:rsidR="00AD26D7" w:rsidRPr="00D50BBC" w:rsidRDefault="00AD26D7" w:rsidP="00A70C15">
            <w:pPr>
              <w:rPr>
                <w:szCs w:val="24"/>
              </w:rPr>
            </w:pPr>
            <w:r w:rsidRPr="00D50BBC">
              <w:rPr>
                <w:szCs w:val="24"/>
              </w:rPr>
              <w:t>Felosztott központi általános költség</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4 136</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5 136</w:t>
            </w:r>
          </w:p>
        </w:tc>
        <w:tc>
          <w:tcPr>
            <w:tcW w:w="1134" w:type="dxa"/>
            <w:tcBorders>
              <w:top w:val="nil"/>
              <w:left w:val="nil"/>
              <w:bottom w:val="single" w:sz="4" w:space="0" w:color="auto"/>
              <w:right w:val="single" w:sz="4" w:space="0" w:color="auto"/>
            </w:tcBorders>
            <w:shd w:val="clear" w:color="000000" w:fill="FFFF00"/>
            <w:noWrap/>
            <w:vAlign w:val="center"/>
            <w:hideMark/>
          </w:tcPr>
          <w:p w:rsidR="00AD26D7" w:rsidRPr="00D50BBC" w:rsidRDefault="00AD26D7" w:rsidP="00A70C15">
            <w:pPr>
              <w:jc w:val="right"/>
              <w:rPr>
                <w:szCs w:val="24"/>
              </w:rPr>
            </w:pPr>
            <w:r w:rsidRPr="00D50BBC">
              <w:rPr>
                <w:szCs w:val="24"/>
              </w:rPr>
              <w:t>5 421</w:t>
            </w:r>
          </w:p>
        </w:tc>
        <w:tc>
          <w:tcPr>
            <w:tcW w:w="1275"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131%</w:t>
            </w:r>
          </w:p>
        </w:tc>
      </w:tr>
      <w:tr w:rsidR="00AD26D7" w:rsidRPr="00D50BBC"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D26D7" w:rsidRPr="00D50BBC" w:rsidRDefault="00AD26D7" w:rsidP="00A70C15">
            <w:pPr>
              <w:rPr>
                <w:szCs w:val="24"/>
              </w:rPr>
            </w:pPr>
            <w:r w:rsidRPr="00D50BBC">
              <w:rPr>
                <w:szCs w:val="24"/>
              </w:rPr>
              <w:t>3.6</w:t>
            </w:r>
          </w:p>
        </w:tc>
        <w:tc>
          <w:tcPr>
            <w:tcW w:w="3686" w:type="dxa"/>
            <w:tcBorders>
              <w:top w:val="nil"/>
              <w:left w:val="nil"/>
              <w:bottom w:val="single" w:sz="4" w:space="0" w:color="auto"/>
              <w:right w:val="single" w:sz="4" w:space="0" w:color="auto"/>
            </w:tcBorders>
            <w:shd w:val="clear" w:color="auto" w:fill="auto"/>
            <w:vAlign w:val="center"/>
            <w:hideMark/>
          </w:tcPr>
          <w:p w:rsidR="00AD26D7" w:rsidRPr="00D50BBC" w:rsidRDefault="00AD26D7" w:rsidP="00A70C15">
            <w:pPr>
              <w:jc w:val="right"/>
              <w:rPr>
                <w:szCs w:val="24"/>
              </w:rPr>
            </w:pPr>
            <w:r w:rsidRPr="00D50BBC">
              <w:rPr>
                <w:szCs w:val="24"/>
              </w:rPr>
              <w:t>Egyéb tevékenység nyeresége</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3 239</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AD26D7" w:rsidRPr="00D50BBC" w:rsidRDefault="00AD26D7" w:rsidP="00A70C15">
            <w:pPr>
              <w:jc w:val="right"/>
              <w:rPr>
                <w:szCs w:val="24"/>
              </w:rPr>
            </w:pPr>
            <w:r w:rsidRPr="00D50BBC">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 </w:t>
            </w:r>
          </w:p>
        </w:tc>
      </w:tr>
      <w:tr w:rsidR="00AD26D7" w:rsidRPr="00D50BBC" w:rsidTr="00A70C15">
        <w:trPr>
          <w:trHeight w:val="315"/>
        </w:trPr>
        <w:tc>
          <w:tcPr>
            <w:tcW w:w="567" w:type="dxa"/>
            <w:tcBorders>
              <w:top w:val="nil"/>
              <w:left w:val="single" w:sz="8" w:space="0" w:color="auto"/>
              <w:bottom w:val="nil"/>
              <w:right w:val="single" w:sz="4" w:space="0" w:color="auto"/>
            </w:tcBorders>
            <w:shd w:val="clear" w:color="000000" w:fill="FFFF00"/>
            <w:noWrap/>
            <w:vAlign w:val="center"/>
            <w:hideMark/>
          </w:tcPr>
          <w:p w:rsidR="00AD26D7" w:rsidRPr="00D50BBC" w:rsidRDefault="00AD26D7" w:rsidP="00A70C15">
            <w:pPr>
              <w:rPr>
                <w:szCs w:val="24"/>
              </w:rPr>
            </w:pPr>
            <w:r w:rsidRPr="00D50BBC">
              <w:rPr>
                <w:szCs w:val="24"/>
              </w:rPr>
              <w:t>3.7</w:t>
            </w:r>
          </w:p>
        </w:tc>
        <w:tc>
          <w:tcPr>
            <w:tcW w:w="3686" w:type="dxa"/>
            <w:tcBorders>
              <w:top w:val="nil"/>
              <w:left w:val="nil"/>
              <w:bottom w:val="nil"/>
              <w:right w:val="single" w:sz="4" w:space="0" w:color="auto"/>
            </w:tcBorders>
            <w:shd w:val="clear" w:color="000000" w:fill="FFFF00"/>
            <w:vAlign w:val="center"/>
            <w:hideMark/>
          </w:tcPr>
          <w:p w:rsidR="00AD26D7" w:rsidRPr="00D50BBC" w:rsidRDefault="00AD26D7" w:rsidP="00A70C15">
            <w:pPr>
              <w:rPr>
                <w:b/>
                <w:bCs/>
                <w:szCs w:val="24"/>
              </w:rPr>
            </w:pPr>
            <w:r w:rsidRPr="00D50BBC">
              <w:rPr>
                <w:b/>
                <w:bCs/>
                <w:szCs w:val="24"/>
              </w:rPr>
              <w:t>Működési támogatás (3.5-3.6)</w:t>
            </w:r>
          </w:p>
        </w:tc>
        <w:tc>
          <w:tcPr>
            <w:tcW w:w="850" w:type="dxa"/>
            <w:tcBorders>
              <w:top w:val="nil"/>
              <w:left w:val="nil"/>
              <w:bottom w:val="nil"/>
              <w:right w:val="single" w:sz="4" w:space="0" w:color="auto"/>
            </w:tcBorders>
            <w:shd w:val="clear" w:color="000000" w:fill="FFFF00"/>
            <w:noWrap/>
            <w:vAlign w:val="center"/>
            <w:hideMark/>
          </w:tcPr>
          <w:p w:rsidR="00AD26D7" w:rsidRPr="00D50BBC" w:rsidRDefault="00AD26D7" w:rsidP="00A70C15">
            <w:pPr>
              <w:jc w:val="right"/>
              <w:rPr>
                <w:b/>
                <w:bCs/>
                <w:szCs w:val="24"/>
              </w:rPr>
            </w:pPr>
            <w:r w:rsidRPr="00D50BBC">
              <w:rPr>
                <w:b/>
                <w:bCs/>
                <w:szCs w:val="24"/>
              </w:rPr>
              <w:t>897</w:t>
            </w:r>
          </w:p>
        </w:tc>
        <w:tc>
          <w:tcPr>
            <w:tcW w:w="993" w:type="dxa"/>
            <w:tcBorders>
              <w:top w:val="nil"/>
              <w:left w:val="nil"/>
              <w:bottom w:val="nil"/>
              <w:right w:val="single" w:sz="4" w:space="0" w:color="auto"/>
            </w:tcBorders>
            <w:shd w:val="clear" w:color="000000" w:fill="FFFF00"/>
            <w:noWrap/>
            <w:vAlign w:val="center"/>
            <w:hideMark/>
          </w:tcPr>
          <w:p w:rsidR="00AD26D7" w:rsidRPr="00D50BBC" w:rsidRDefault="00AD26D7" w:rsidP="00A70C15">
            <w:pPr>
              <w:jc w:val="right"/>
              <w:rPr>
                <w:b/>
                <w:bCs/>
                <w:szCs w:val="24"/>
              </w:rPr>
            </w:pPr>
            <w:r w:rsidRPr="00D50BBC">
              <w:rPr>
                <w:b/>
                <w:bCs/>
                <w:szCs w:val="24"/>
              </w:rPr>
              <w:t>5 136</w:t>
            </w:r>
          </w:p>
        </w:tc>
        <w:tc>
          <w:tcPr>
            <w:tcW w:w="1134" w:type="dxa"/>
            <w:tcBorders>
              <w:top w:val="nil"/>
              <w:left w:val="nil"/>
              <w:bottom w:val="nil"/>
              <w:right w:val="single" w:sz="4" w:space="0" w:color="auto"/>
            </w:tcBorders>
            <w:shd w:val="clear" w:color="000000" w:fill="FFFF00"/>
            <w:noWrap/>
            <w:vAlign w:val="center"/>
            <w:hideMark/>
          </w:tcPr>
          <w:p w:rsidR="00AD26D7" w:rsidRPr="00D50BBC" w:rsidRDefault="00AD26D7" w:rsidP="00A70C15">
            <w:pPr>
              <w:jc w:val="right"/>
              <w:rPr>
                <w:b/>
                <w:bCs/>
                <w:szCs w:val="24"/>
              </w:rPr>
            </w:pPr>
            <w:r w:rsidRPr="00D50BBC">
              <w:rPr>
                <w:b/>
                <w:bCs/>
                <w:szCs w:val="24"/>
              </w:rPr>
              <w:t>5 136</w:t>
            </w:r>
          </w:p>
        </w:tc>
        <w:tc>
          <w:tcPr>
            <w:tcW w:w="1275" w:type="dxa"/>
            <w:tcBorders>
              <w:top w:val="nil"/>
              <w:left w:val="nil"/>
              <w:bottom w:val="nil"/>
              <w:right w:val="single" w:sz="4" w:space="0" w:color="auto"/>
            </w:tcBorders>
            <w:shd w:val="clear" w:color="000000" w:fill="FFFF00"/>
            <w:noWrap/>
            <w:vAlign w:val="center"/>
            <w:hideMark/>
          </w:tcPr>
          <w:p w:rsidR="00AD26D7" w:rsidRPr="00D50BBC" w:rsidRDefault="00AD26D7" w:rsidP="00A70C15">
            <w:pPr>
              <w:jc w:val="right"/>
              <w:rPr>
                <w:b/>
                <w:bCs/>
                <w:szCs w:val="24"/>
              </w:rPr>
            </w:pPr>
            <w:r w:rsidRPr="00D50BBC">
              <w:rPr>
                <w:b/>
                <w:bCs/>
                <w:szCs w:val="24"/>
              </w:rPr>
              <w:t>5 421</w:t>
            </w:r>
          </w:p>
        </w:tc>
        <w:tc>
          <w:tcPr>
            <w:tcW w:w="993" w:type="dxa"/>
            <w:tcBorders>
              <w:top w:val="nil"/>
              <w:left w:val="nil"/>
              <w:bottom w:val="nil"/>
              <w:right w:val="single" w:sz="4" w:space="0" w:color="auto"/>
            </w:tcBorders>
            <w:shd w:val="clear" w:color="auto" w:fill="auto"/>
            <w:noWrap/>
            <w:vAlign w:val="center"/>
            <w:hideMark/>
          </w:tcPr>
          <w:p w:rsidR="00AD26D7" w:rsidRPr="00D50BBC" w:rsidRDefault="00AD26D7" w:rsidP="00A70C15">
            <w:pPr>
              <w:jc w:val="right"/>
              <w:rPr>
                <w:b/>
                <w:bCs/>
                <w:szCs w:val="24"/>
              </w:rPr>
            </w:pPr>
            <w:r w:rsidRPr="00D50BBC">
              <w:rPr>
                <w:b/>
                <w:bCs/>
                <w:szCs w:val="24"/>
              </w:rPr>
              <w:t>604%</w:t>
            </w:r>
          </w:p>
        </w:tc>
      </w:tr>
      <w:tr w:rsidR="00AD26D7" w:rsidRPr="00D50BBC" w:rsidTr="00A70C15">
        <w:trPr>
          <w:trHeight w:val="315"/>
        </w:trPr>
        <w:tc>
          <w:tcPr>
            <w:tcW w:w="567" w:type="dxa"/>
            <w:tcBorders>
              <w:top w:val="single" w:sz="8" w:space="0" w:color="auto"/>
              <w:left w:val="single" w:sz="8" w:space="0" w:color="auto"/>
              <w:bottom w:val="single" w:sz="8" w:space="0" w:color="auto"/>
              <w:right w:val="single" w:sz="4" w:space="0" w:color="auto"/>
            </w:tcBorders>
            <w:shd w:val="clear" w:color="000000" w:fill="D7E4BC"/>
            <w:noWrap/>
            <w:vAlign w:val="center"/>
            <w:hideMark/>
          </w:tcPr>
          <w:p w:rsidR="00AD26D7" w:rsidRPr="00D50BBC" w:rsidRDefault="00AD26D7" w:rsidP="00A70C15">
            <w:pPr>
              <w:rPr>
                <w:szCs w:val="24"/>
              </w:rPr>
            </w:pPr>
            <w:r w:rsidRPr="00D50BBC">
              <w:rPr>
                <w:szCs w:val="24"/>
              </w:rPr>
              <w:t>3.8</w:t>
            </w:r>
          </w:p>
        </w:tc>
        <w:tc>
          <w:tcPr>
            <w:tcW w:w="3686" w:type="dxa"/>
            <w:tcBorders>
              <w:top w:val="single" w:sz="8" w:space="0" w:color="auto"/>
              <w:left w:val="nil"/>
              <w:bottom w:val="single" w:sz="8" w:space="0" w:color="auto"/>
              <w:right w:val="single" w:sz="4" w:space="0" w:color="auto"/>
            </w:tcBorders>
            <w:shd w:val="clear" w:color="000000" w:fill="D7E4BC"/>
            <w:vAlign w:val="center"/>
            <w:hideMark/>
          </w:tcPr>
          <w:p w:rsidR="00AD26D7" w:rsidRPr="00D50BBC" w:rsidRDefault="00AD26D7" w:rsidP="00A70C15">
            <w:pPr>
              <w:rPr>
                <w:b/>
                <w:bCs/>
                <w:szCs w:val="24"/>
              </w:rPr>
            </w:pPr>
            <w:r w:rsidRPr="00D50BBC">
              <w:rPr>
                <w:b/>
                <w:bCs/>
                <w:szCs w:val="24"/>
              </w:rPr>
              <w:t>Kompenzáció összesen:(3.4+3.7)</w:t>
            </w:r>
          </w:p>
        </w:tc>
        <w:tc>
          <w:tcPr>
            <w:tcW w:w="850"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D50BBC" w:rsidRDefault="00AD26D7" w:rsidP="00A70C15">
            <w:pPr>
              <w:jc w:val="right"/>
              <w:rPr>
                <w:b/>
                <w:bCs/>
                <w:szCs w:val="24"/>
              </w:rPr>
            </w:pPr>
            <w:r w:rsidRPr="00D50BBC">
              <w:rPr>
                <w:b/>
                <w:bCs/>
                <w:szCs w:val="24"/>
              </w:rPr>
              <w:t>12 163</w:t>
            </w:r>
          </w:p>
        </w:tc>
        <w:tc>
          <w:tcPr>
            <w:tcW w:w="993"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D50BBC" w:rsidRDefault="00AD26D7" w:rsidP="00A70C15">
            <w:pPr>
              <w:jc w:val="right"/>
              <w:rPr>
                <w:b/>
                <w:bCs/>
                <w:szCs w:val="24"/>
              </w:rPr>
            </w:pPr>
            <w:r w:rsidRPr="00D50BBC">
              <w:rPr>
                <w:b/>
                <w:bCs/>
                <w:szCs w:val="24"/>
              </w:rPr>
              <w:t>14 867</w:t>
            </w:r>
          </w:p>
        </w:tc>
        <w:tc>
          <w:tcPr>
            <w:tcW w:w="1134"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D50BBC" w:rsidRDefault="00AD26D7" w:rsidP="00A70C15">
            <w:pPr>
              <w:jc w:val="right"/>
              <w:rPr>
                <w:b/>
                <w:bCs/>
                <w:szCs w:val="24"/>
              </w:rPr>
            </w:pPr>
            <w:r w:rsidRPr="00D50BBC">
              <w:rPr>
                <w:b/>
                <w:bCs/>
                <w:szCs w:val="24"/>
              </w:rPr>
              <w:t>11 272</w:t>
            </w:r>
          </w:p>
        </w:tc>
        <w:tc>
          <w:tcPr>
            <w:tcW w:w="1275"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D50BBC" w:rsidRDefault="00AD26D7" w:rsidP="00A70C15">
            <w:pPr>
              <w:jc w:val="right"/>
              <w:rPr>
                <w:b/>
                <w:bCs/>
                <w:szCs w:val="24"/>
              </w:rPr>
            </w:pPr>
            <w:r w:rsidRPr="00D50BBC">
              <w:rPr>
                <w:b/>
                <w:bCs/>
                <w:szCs w:val="24"/>
              </w:rPr>
              <w:t>11 557</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AD26D7" w:rsidRPr="00D50BBC" w:rsidRDefault="00AD26D7" w:rsidP="00A70C15">
            <w:pPr>
              <w:jc w:val="right"/>
              <w:rPr>
                <w:b/>
                <w:bCs/>
                <w:szCs w:val="24"/>
              </w:rPr>
            </w:pPr>
            <w:r w:rsidRPr="00D50BBC">
              <w:rPr>
                <w:b/>
                <w:bCs/>
                <w:szCs w:val="24"/>
              </w:rPr>
              <w:t>95%</w:t>
            </w:r>
          </w:p>
        </w:tc>
      </w:tr>
      <w:tr w:rsidR="00AD26D7" w:rsidRPr="00D50BBC" w:rsidTr="00A70C15">
        <w:trPr>
          <w:trHeight w:val="300"/>
        </w:trPr>
        <w:tc>
          <w:tcPr>
            <w:tcW w:w="567" w:type="dxa"/>
            <w:tcBorders>
              <w:top w:val="nil"/>
              <w:left w:val="nil"/>
              <w:bottom w:val="nil"/>
              <w:right w:val="nil"/>
            </w:tcBorders>
            <w:shd w:val="clear" w:color="auto" w:fill="auto"/>
            <w:noWrap/>
            <w:vAlign w:val="center"/>
            <w:hideMark/>
          </w:tcPr>
          <w:p w:rsidR="00AD26D7" w:rsidRPr="00D50BBC" w:rsidRDefault="00AD26D7" w:rsidP="00A70C15">
            <w:pPr>
              <w:rPr>
                <w:szCs w:val="24"/>
              </w:rPr>
            </w:pP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 xml:space="preserve">Szolgáltatási díj </w:t>
            </w:r>
            <w:proofErr w:type="spellStart"/>
            <w:r w:rsidRPr="00D50BBC">
              <w:rPr>
                <w:szCs w:val="24"/>
              </w:rPr>
              <w:t>ÁFÁ-ja</w:t>
            </w:r>
            <w:proofErr w:type="spellEnd"/>
            <w:r w:rsidRPr="00D50BBC">
              <w:rPr>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2 433</w:t>
            </w:r>
          </w:p>
        </w:tc>
        <w:tc>
          <w:tcPr>
            <w:tcW w:w="1134"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1 534</w:t>
            </w:r>
          </w:p>
        </w:tc>
        <w:tc>
          <w:tcPr>
            <w:tcW w:w="1275"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1 534</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rPr>
                <w:szCs w:val="24"/>
              </w:rPr>
            </w:pPr>
            <w:r w:rsidRPr="00D50BBC">
              <w:rPr>
                <w:szCs w:val="24"/>
              </w:rPr>
              <w:t> </w:t>
            </w:r>
          </w:p>
        </w:tc>
      </w:tr>
      <w:tr w:rsidR="00AD26D7" w:rsidRPr="00D50BBC" w:rsidTr="00A70C15">
        <w:trPr>
          <w:trHeight w:val="300"/>
        </w:trPr>
        <w:tc>
          <w:tcPr>
            <w:tcW w:w="567" w:type="dxa"/>
            <w:tcBorders>
              <w:top w:val="nil"/>
              <w:left w:val="nil"/>
              <w:bottom w:val="nil"/>
              <w:right w:val="nil"/>
            </w:tcBorders>
            <w:shd w:val="clear" w:color="auto" w:fill="auto"/>
            <w:noWrap/>
            <w:vAlign w:val="center"/>
            <w:hideMark/>
          </w:tcPr>
          <w:p w:rsidR="00AD26D7" w:rsidRPr="00D50BBC" w:rsidRDefault="00AD26D7" w:rsidP="00A70C15">
            <w:pPr>
              <w:rPr>
                <w:szCs w:val="24"/>
              </w:rPr>
            </w:pP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 xml:space="preserve">Szolgáltatási díj </w:t>
            </w:r>
            <w:proofErr w:type="spellStart"/>
            <w:r w:rsidRPr="00D50BBC">
              <w:rPr>
                <w:szCs w:val="24"/>
              </w:rPr>
              <w:t>ÁFÁ-val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12 163</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17 299</w:t>
            </w:r>
          </w:p>
        </w:tc>
        <w:tc>
          <w:tcPr>
            <w:tcW w:w="1134"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12 806</w:t>
            </w:r>
          </w:p>
        </w:tc>
        <w:tc>
          <w:tcPr>
            <w:tcW w:w="1275" w:type="dxa"/>
            <w:tcBorders>
              <w:top w:val="nil"/>
              <w:left w:val="nil"/>
              <w:bottom w:val="single" w:sz="4" w:space="0" w:color="auto"/>
              <w:right w:val="single" w:sz="4" w:space="0" w:color="auto"/>
            </w:tcBorders>
            <w:shd w:val="clear" w:color="auto" w:fill="auto"/>
            <w:noWrap/>
            <w:vAlign w:val="center"/>
            <w:hideMark/>
          </w:tcPr>
          <w:p w:rsidR="00AD26D7" w:rsidRPr="00D50BBC" w:rsidRDefault="00AD26D7" w:rsidP="00A70C15">
            <w:pPr>
              <w:jc w:val="right"/>
              <w:rPr>
                <w:szCs w:val="24"/>
              </w:rPr>
            </w:pPr>
            <w:r w:rsidRPr="00D50BBC">
              <w:rPr>
                <w:szCs w:val="24"/>
              </w:rPr>
              <w:t>13 091</w:t>
            </w:r>
          </w:p>
        </w:tc>
        <w:tc>
          <w:tcPr>
            <w:tcW w:w="993" w:type="dxa"/>
            <w:tcBorders>
              <w:top w:val="nil"/>
              <w:left w:val="nil"/>
              <w:bottom w:val="nil"/>
              <w:right w:val="nil"/>
            </w:tcBorders>
            <w:shd w:val="clear" w:color="auto" w:fill="auto"/>
            <w:noWrap/>
            <w:vAlign w:val="center"/>
            <w:hideMark/>
          </w:tcPr>
          <w:p w:rsidR="00AD26D7" w:rsidRPr="00D50BBC" w:rsidRDefault="00AD26D7" w:rsidP="00A70C15">
            <w:pPr>
              <w:rPr>
                <w:szCs w:val="24"/>
              </w:rPr>
            </w:pPr>
          </w:p>
        </w:tc>
      </w:tr>
    </w:tbl>
    <w:p w:rsidR="00AD26D7" w:rsidRDefault="00AD26D7" w:rsidP="00AD26D7">
      <w:pPr>
        <w:pStyle w:val="Szvegtrzs2"/>
        <w:ind w:left="993"/>
      </w:pPr>
    </w:p>
    <w:p w:rsidR="00AD26D7" w:rsidRPr="006E3540" w:rsidRDefault="00AD26D7" w:rsidP="00AD26D7">
      <w:pPr>
        <w:pStyle w:val="StlusCmsor311pt"/>
      </w:pPr>
      <w:bookmarkStart w:id="110" w:name="_Toc320784665"/>
      <w:r w:rsidRPr="006E3540">
        <w:t>FEMI és Programiroda</w:t>
      </w:r>
      <w:bookmarkEnd w:id="109"/>
      <w:bookmarkEnd w:id="110"/>
      <w:r>
        <w:t xml:space="preserve"> </w:t>
      </w:r>
    </w:p>
    <w:p w:rsidR="00AD26D7" w:rsidRPr="004060C3" w:rsidRDefault="00AD26D7" w:rsidP="00AD26D7">
      <w:pPr>
        <w:pStyle w:val="Szvegtrzs"/>
      </w:pPr>
      <w:r w:rsidRPr="004060C3">
        <w:t>A Fővárosi Esélyegyenlőségi Módszertani Iroda és a Programiroda igen széleskörű szakmai munkájáról a Fővárosi Közgyűlés által elfogadott ¾ éves szakmai beszámoló ad részletes táj</w:t>
      </w:r>
      <w:r w:rsidRPr="004060C3">
        <w:t>é</w:t>
      </w:r>
      <w:r w:rsidRPr="004060C3">
        <w:t xml:space="preserve">koztatót. E helyen a szakmai munkát, annak pénzügyi vonzatait csak kivonatosan mutatjuk be. </w:t>
      </w:r>
    </w:p>
    <w:p w:rsidR="00AD26D7" w:rsidRPr="00736975" w:rsidRDefault="00AD26D7" w:rsidP="00AD26D7">
      <w:pPr>
        <w:pStyle w:val="StlusCmsor4Egalizls14pt"/>
      </w:pPr>
      <w:r w:rsidRPr="00736975">
        <w:t>A FEMI szakmai eredményei</w:t>
      </w:r>
    </w:p>
    <w:p w:rsidR="00AD26D7" w:rsidRDefault="00AD26D7" w:rsidP="00AD26D7">
      <w:pPr>
        <w:pStyle w:val="Szvegtrzs2"/>
        <w:ind w:left="567"/>
      </w:pPr>
      <w:r w:rsidRPr="00F413D6">
        <w:t xml:space="preserve">A FEMI </w:t>
      </w:r>
      <w:r>
        <w:t xml:space="preserve">korábbi hét esztendős munkáját megkoronázta a 2010 augusztusában, a Fővárosi Közgyűlés által </w:t>
      </w:r>
      <w:proofErr w:type="gramStart"/>
      <w:r>
        <w:t>egyhangúlag</w:t>
      </w:r>
      <w:proofErr w:type="gramEnd"/>
      <w:r>
        <w:t xml:space="preserve"> elfogadott </w:t>
      </w:r>
      <w:r w:rsidRPr="004060C3">
        <w:t xml:space="preserve">Fővárosi Települési Esélyegyenlőségi Terv. </w:t>
      </w:r>
      <w:r w:rsidRPr="001356FF">
        <w:t>Ez, i</w:t>
      </w:r>
      <w:r w:rsidRPr="001356FF">
        <w:t>l</w:t>
      </w:r>
      <w:r w:rsidRPr="001356FF">
        <w:t>letve a</w:t>
      </w:r>
      <w:r>
        <w:t>z ehhez kidolgozott és elfogadott c</w:t>
      </w:r>
      <w:r w:rsidRPr="004060C3">
        <w:t xml:space="preserve">selekvési </w:t>
      </w:r>
      <w:r>
        <w:t>p</w:t>
      </w:r>
      <w:r w:rsidRPr="004060C3">
        <w:t>rogram</w:t>
      </w:r>
      <w:r>
        <w:t xml:space="preserve"> középtávon meghatározza a Főváros és a FEMI </w:t>
      </w:r>
      <w:r w:rsidRPr="00F413D6">
        <w:t>munkáját</w:t>
      </w:r>
      <w:r>
        <w:t>. E feladatot 2011-ben a Társaság</w:t>
      </w:r>
      <w:r w:rsidRPr="00F413D6">
        <w:t xml:space="preserve"> </w:t>
      </w:r>
      <w:r>
        <w:t>három</w:t>
      </w:r>
      <w:r w:rsidRPr="00F413D6">
        <w:t xml:space="preserve"> magasan képzett szakemberrel</w:t>
      </w:r>
      <w:r>
        <w:t>, illetve az ügyvezető aktív részvételével látta el</w:t>
      </w:r>
      <w:r w:rsidRPr="00F413D6">
        <w:t>,</w:t>
      </w:r>
      <w:r>
        <w:t xml:space="preserve"> a</w:t>
      </w:r>
      <w:r w:rsidRPr="00F413D6">
        <w:t xml:space="preserve"> részfe</w:t>
      </w:r>
      <w:r>
        <w:t>ladatot ellátó adm</w:t>
      </w:r>
      <w:r>
        <w:t>i</w:t>
      </w:r>
      <w:r>
        <w:t>nisztrátori státusz le kellett építenünk.</w:t>
      </w:r>
      <w:r w:rsidRPr="00F413D6">
        <w:t xml:space="preserve"> </w:t>
      </w:r>
      <w:r>
        <w:t>A közfeladat mennyiségi paramétereit az ábra és szöveg gyűjtemény 4. a) pontja mutatja be.</w:t>
      </w:r>
    </w:p>
    <w:p w:rsidR="00AD26D7" w:rsidRDefault="00AD26D7" w:rsidP="00AD26D7">
      <w:pPr>
        <w:pStyle w:val="Szvegblokk1"/>
        <w:ind w:left="851"/>
        <w:rPr>
          <w:u w:val="single"/>
        </w:rPr>
      </w:pPr>
    </w:p>
    <w:p w:rsidR="00AD26D7" w:rsidRPr="00736975" w:rsidRDefault="00AD26D7" w:rsidP="00AD26D7">
      <w:pPr>
        <w:pStyle w:val="Szvegblokk1"/>
        <w:ind w:left="851"/>
        <w:rPr>
          <w:u w:val="single"/>
        </w:rPr>
      </w:pPr>
      <w:r w:rsidRPr="00736975">
        <w:rPr>
          <w:u w:val="single"/>
        </w:rPr>
        <w:t>A</w:t>
      </w:r>
      <w:r>
        <w:rPr>
          <w:u w:val="single"/>
        </w:rPr>
        <w:t xml:space="preserve"> szakmai</w:t>
      </w:r>
      <w:r w:rsidRPr="00736975">
        <w:rPr>
          <w:u w:val="single"/>
        </w:rPr>
        <w:t xml:space="preserve"> eredménye</w:t>
      </w:r>
      <w:r>
        <w:rPr>
          <w:u w:val="single"/>
        </w:rPr>
        <w:t>k</w:t>
      </w:r>
      <w:r w:rsidRPr="00736975">
        <w:rPr>
          <w:u w:val="single"/>
        </w:rPr>
        <w:t xml:space="preserve"> felsorolásszerűen:</w:t>
      </w:r>
    </w:p>
    <w:p w:rsidR="00AD26D7" w:rsidRPr="00B450B7" w:rsidRDefault="00AD26D7" w:rsidP="00AD26D7">
      <w:pPr>
        <w:pStyle w:val="Szvegtrzs2"/>
        <w:numPr>
          <w:ilvl w:val="0"/>
          <w:numId w:val="10"/>
        </w:numPr>
        <w:spacing w:before="120" w:after="120"/>
        <w:ind w:left="567" w:hanging="357"/>
        <w:rPr>
          <w:b/>
        </w:rPr>
      </w:pPr>
      <w:bookmarkStart w:id="111" w:name="_Toc277073768"/>
      <w:bookmarkStart w:id="112" w:name="_Toc289454956"/>
      <w:bookmarkStart w:id="113" w:name="_Toc289455024"/>
      <w:bookmarkStart w:id="114" w:name="_Toc289455048"/>
      <w:bookmarkStart w:id="115" w:name="_Toc289506103"/>
      <w:bookmarkStart w:id="116" w:name="_Toc289506132"/>
      <w:bookmarkStart w:id="117" w:name="_Toc289506573"/>
      <w:r w:rsidRPr="00B450B7">
        <w:rPr>
          <w:b/>
        </w:rPr>
        <w:t>Fővárosi települési esélyegyenlőségi közszolgáltatások</w:t>
      </w:r>
      <w:bookmarkEnd w:id="111"/>
      <w:bookmarkEnd w:id="112"/>
      <w:bookmarkEnd w:id="113"/>
      <w:bookmarkEnd w:id="114"/>
      <w:bookmarkEnd w:id="115"/>
      <w:bookmarkEnd w:id="116"/>
      <w:bookmarkEnd w:id="117"/>
      <w:r w:rsidRPr="00B450B7">
        <w:rPr>
          <w:b/>
        </w:rPr>
        <w:t xml:space="preserve"> </w:t>
      </w:r>
      <w:r>
        <w:rPr>
          <w:b/>
        </w:rPr>
        <w:t>ere</w:t>
      </w:r>
      <w:r w:rsidRPr="00B450B7">
        <w:rPr>
          <w:b/>
        </w:rPr>
        <w:t>dményei 2011-ben:</w:t>
      </w:r>
    </w:p>
    <w:p w:rsidR="00AD26D7" w:rsidRDefault="00AD26D7" w:rsidP="00AD26D7">
      <w:pPr>
        <w:pStyle w:val="Szvegtrzs2"/>
        <w:ind w:left="567"/>
      </w:pPr>
      <w:r w:rsidRPr="0051173B">
        <w:t xml:space="preserve">A </w:t>
      </w:r>
      <w:r w:rsidRPr="004060C3">
        <w:t xml:space="preserve">„Budapest </w:t>
      </w:r>
      <w:proofErr w:type="gramStart"/>
      <w:r w:rsidRPr="004060C3">
        <w:t>több, mint</w:t>
      </w:r>
      <w:proofErr w:type="gramEnd"/>
      <w:r w:rsidRPr="004060C3">
        <w:t xml:space="preserve"> esély”</w:t>
      </w:r>
      <w:r>
        <w:t xml:space="preserve"> program</w:t>
      </w:r>
      <w:r w:rsidRPr="0051173B">
        <w:t xml:space="preserve"> </w:t>
      </w:r>
      <w:r>
        <w:t xml:space="preserve">2011-ben folytatott elemei: </w:t>
      </w:r>
    </w:p>
    <w:p w:rsidR="00AD26D7" w:rsidRPr="003918E4" w:rsidRDefault="00AD26D7" w:rsidP="00AD26D7">
      <w:pPr>
        <w:pStyle w:val="Szvegtrzs"/>
        <w:numPr>
          <w:ilvl w:val="0"/>
          <w:numId w:val="19"/>
        </w:numPr>
        <w:ind w:left="993"/>
        <w:rPr>
          <w:b/>
          <w:i/>
        </w:rPr>
      </w:pPr>
      <w:r w:rsidRPr="000C45A3">
        <w:rPr>
          <w:b/>
        </w:rPr>
        <w:t xml:space="preserve">A </w:t>
      </w:r>
      <w:proofErr w:type="spellStart"/>
      <w:r w:rsidRPr="000C45A3">
        <w:rPr>
          <w:b/>
        </w:rPr>
        <w:t>mainstream</w:t>
      </w:r>
      <w:proofErr w:type="spellEnd"/>
      <w:r w:rsidRPr="000C45A3">
        <w:rPr>
          <w:b/>
        </w:rPr>
        <w:t xml:space="preserve"> (horizontális) megjelenítés: </w:t>
      </w:r>
      <w:r w:rsidRPr="000C45A3">
        <w:t>A program stratégiai céljainak</w:t>
      </w:r>
      <w:r w:rsidRPr="00A57B26">
        <w:t xml:space="preserve"> megjel</w:t>
      </w:r>
      <w:r w:rsidRPr="00A57B26">
        <w:t>e</w:t>
      </w:r>
      <w:r w:rsidRPr="00A57B26">
        <w:t>nését</w:t>
      </w:r>
      <w:r>
        <w:t xml:space="preserve"> biztosítja </w:t>
      </w:r>
      <w:r w:rsidRPr="00A57B26">
        <w:t xml:space="preserve">a fővárosi </w:t>
      </w:r>
      <w:r>
        <w:t>egyéb ágazati stratégiai anyagaiban.</w:t>
      </w:r>
    </w:p>
    <w:p w:rsidR="00AD26D7" w:rsidRPr="00F23972" w:rsidRDefault="00AD26D7" w:rsidP="00AD26D7">
      <w:pPr>
        <w:pStyle w:val="Szvegtrzs"/>
        <w:numPr>
          <w:ilvl w:val="0"/>
          <w:numId w:val="19"/>
        </w:numPr>
        <w:ind w:left="993"/>
      </w:pPr>
      <w:r w:rsidRPr="000C45A3">
        <w:rPr>
          <w:b/>
        </w:rPr>
        <w:t xml:space="preserve"> Mérési, értékelési rendszer kidolgozása: </w:t>
      </w:r>
      <w:r>
        <w:t xml:space="preserve">2011 év végéig megszületett a rendszer vázlata, felépítése, elkészültek a szakterületi indikátorok. </w:t>
      </w:r>
    </w:p>
    <w:p w:rsidR="00AD26D7" w:rsidRDefault="00AD26D7" w:rsidP="00AD26D7">
      <w:pPr>
        <w:pStyle w:val="Szvegtrzs"/>
        <w:numPr>
          <w:ilvl w:val="0"/>
          <w:numId w:val="19"/>
        </w:numPr>
        <w:ind w:left="993"/>
      </w:pPr>
      <w:r>
        <w:rPr>
          <w:b/>
        </w:rPr>
        <w:t>Település esélyegyenlőségi p</w:t>
      </w:r>
      <w:r w:rsidRPr="000C45A3">
        <w:rPr>
          <w:b/>
        </w:rPr>
        <w:t>rogram társadalmi dialógusa:</w:t>
      </w:r>
      <w:r w:rsidRPr="000C45A3">
        <w:t xml:space="preserve"> </w:t>
      </w:r>
    </w:p>
    <w:p w:rsidR="00AD26D7" w:rsidRDefault="00AD26D7" w:rsidP="00AD26D7">
      <w:pPr>
        <w:pStyle w:val="Szvegtrzs"/>
        <w:numPr>
          <w:ilvl w:val="1"/>
          <w:numId w:val="19"/>
        </w:numPr>
      </w:pPr>
      <w:r>
        <w:t xml:space="preserve">5 saját </w:t>
      </w:r>
      <w:r w:rsidRPr="00C114A5">
        <w:rPr>
          <w:b/>
        </w:rPr>
        <w:t>rendezvény</w:t>
      </w:r>
      <w:r>
        <w:t xml:space="preserve">, </w:t>
      </w:r>
      <w:r w:rsidRPr="000C45A3">
        <w:t>15</w:t>
      </w:r>
      <w:r>
        <w:t xml:space="preserve"> rendezvényen vettünk részt, </w:t>
      </w:r>
    </w:p>
    <w:p w:rsidR="00AD26D7" w:rsidRDefault="00AD26D7" w:rsidP="00AD26D7">
      <w:pPr>
        <w:pStyle w:val="Szvegtrzs"/>
        <w:numPr>
          <w:ilvl w:val="1"/>
          <w:numId w:val="19"/>
        </w:numPr>
      </w:pPr>
      <w:r>
        <w:t xml:space="preserve">2 </w:t>
      </w:r>
      <w:r w:rsidRPr="00C114A5">
        <w:rPr>
          <w:b/>
        </w:rPr>
        <w:t>munkacsoport</w:t>
      </w:r>
      <w:r>
        <w:t xml:space="preserve"> munkájában</w:t>
      </w:r>
      <w:r w:rsidRPr="004060C3">
        <w:t xml:space="preserve"> </w:t>
      </w:r>
      <w:r>
        <w:t>közreműködtünk (a Fővárosi Autizmus Konce</w:t>
      </w:r>
      <w:r>
        <w:t>p</w:t>
      </w:r>
      <w:r>
        <w:t xml:space="preserve">ciót kidolgozó, az </w:t>
      </w:r>
      <w:proofErr w:type="spellStart"/>
      <w:r>
        <w:t>Antidiszkriminációs</w:t>
      </w:r>
      <w:proofErr w:type="spellEnd"/>
      <w:r>
        <w:t xml:space="preserve"> Hálózat),</w:t>
      </w:r>
    </w:p>
    <w:p w:rsidR="00AD26D7" w:rsidRDefault="00AD26D7" w:rsidP="00AD26D7">
      <w:pPr>
        <w:pStyle w:val="Szvegtrzs"/>
        <w:numPr>
          <w:ilvl w:val="1"/>
          <w:numId w:val="19"/>
        </w:numPr>
      </w:pPr>
      <w:r>
        <w:t xml:space="preserve">migránsokkal foglalkozó </w:t>
      </w:r>
      <w:proofErr w:type="spellStart"/>
      <w:r w:rsidRPr="00C114A5">
        <w:rPr>
          <w:b/>
        </w:rPr>
        <w:t>workshopok</w:t>
      </w:r>
      <w:proofErr w:type="spellEnd"/>
      <w:r>
        <w:t xml:space="preserve"> és munkacsoportok a főváros és civilek-intézmények együttműködésével,</w:t>
      </w:r>
    </w:p>
    <w:p w:rsidR="00AD26D7" w:rsidRDefault="00AD26D7" w:rsidP="00AD26D7">
      <w:pPr>
        <w:pStyle w:val="Szvegtrzs"/>
        <w:numPr>
          <w:ilvl w:val="1"/>
          <w:numId w:val="19"/>
        </w:numPr>
      </w:pPr>
      <w:r>
        <w:lastRenderedPageBreak/>
        <w:t xml:space="preserve">három esélyegyenlőségi </w:t>
      </w:r>
      <w:r w:rsidRPr="00C114A5">
        <w:rPr>
          <w:b/>
        </w:rPr>
        <w:t>kiállítást</w:t>
      </w:r>
      <w:r>
        <w:t xml:space="preserve"> rendeztünk, egyet a Főpolgármesteri Hiv</w:t>
      </w:r>
      <w:r>
        <w:t>a</w:t>
      </w:r>
      <w:r>
        <w:t xml:space="preserve">talban, </w:t>
      </w:r>
    </w:p>
    <w:p w:rsidR="00AD26D7" w:rsidRDefault="00AD26D7" w:rsidP="00AD26D7">
      <w:pPr>
        <w:pStyle w:val="Szvegtrzs"/>
        <w:numPr>
          <w:ilvl w:val="1"/>
          <w:numId w:val="19"/>
        </w:numPr>
      </w:pPr>
      <w:r>
        <w:t xml:space="preserve">Az első Esélyháló </w:t>
      </w:r>
      <w:r w:rsidRPr="00C114A5">
        <w:rPr>
          <w:b/>
        </w:rPr>
        <w:t>konferencián</w:t>
      </w:r>
      <w:r>
        <w:t xml:space="preserve"> 112 résztvevő segítségével kiépítettük az Esélyhálót, mint információs listát és tapasztalatcserére és közös munkára a</w:t>
      </w:r>
      <w:r>
        <w:t>l</w:t>
      </w:r>
      <w:r>
        <w:t>kalmas szakmai csoportot.</w:t>
      </w:r>
    </w:p>
    <w:p w:rsidR="00AD26D7" w:rsidRDefault="00AD26D7" w:rsidP="00AD26D7">
      <w:pPr>
        <w:pStyle w:val="Szvegtrzs"/>
        <w:ind w:left="1287"/>
      </w:pPr>
      <w:r>
        <w:t xml:space="preserve">Kiadványok: </w:t>
      </w:r>
    </w:p>
    <w:p w:rsidR="00AD26D7" w:rsidRDefault="00AD26D7" w:rsidP="00AD26D7">
      <w:pPr>
        <w:pStyle w:val="Szvegtrzs"/>
        <w:numPr>
          <w:ilvl w:val="1"/>
          <w:numId w:val="19"/>
        </w:numPr>
      </w:pPr>
      <w:r w:rsidRPr="00C114A5">
        <w:rPr>
          <w:b/>
        </w:rPr>
        <w:t>3 kötetes könyv</w:t>
      </w:r>
      <w:r>
        <w:t>:</w:t>
      </w:r>
      <w:r w:rsidRPr="000B6783">
        <w:t xml:space="preserve"> Budapest – </w:t>
      </w:r>
      <w:proofErr w:type="gramStart"/>
      <w:r w:rsidRPr="000B6783">
        <w:t>több, mint</w:t>
      </w:r>
      <w:proofErr w:type="gramEnd"/>
      <w:r w:rsidRPr="000B6783">
        <w:t xml:space="preserve"> esély</w:t>
      </w:r>
      <w:r>
        <w:t xml:space="preserve"> címmel, ennek 3. kötete az Esélyegyenlőségi almanach, több mint 80 civil és egyházi szervezet esél</w:t>
      </w:r>
      <w:r>
        <w:t>y</w:t>
      </w:r>
      <w:r>
        <w:t>egyenlőségi jó példáival,</w:t>
      </w:r>
    </w:p>
    <w:p w:rsidR="00AD26D7" w:rsidRDefault="00AD26D7" w:rsidP="00AD26D7">
      <w:pPr>
        <w:pStyle w:val="Szvegtrzs"/>
        <w:numPr>
          <w:ilvl w:val="1"/>
          <w:numId w:val="19"/>
        </w:numPr>
      </w:pPr>
      <w:r w:rsidRPr="003918E4">
        <w:t xml:space="preserve">ismertető </w:t>
      </w:r>
      <w:r w:rsidRPr="00C114A5">
        <w:rPr>
          <w:b/>
        </w:rPr>
        <w:t>kiadvány</w:t>
      </w:r>
      <w:r w:rsidRPr="003918E4">
        <w:t xml:space="preserve"> </w:t>
      </w:r>
      <w:r>
        <w:t xml:space="preserve">újbóli </w:t>
      </w:r>
      <w:r w:rsidRPr="003918E4">
        <w:t>kiadása magyar és an</w:t>
      </w:r>
      <w:r>
        <w:t>gol nyelven</w:t>
      </w:r>
      <w:r w:rsidRPr="003918E4">
        <w:t xml:space="preserve"> </w:t>
      </w:r>
      <w:r>
        <w:t xml:space="preserve">a </w:t>
      </w:r>
      <w:r w:rsidRPr="003918E4">
        <w:t xml:space="preserve">Budapest – </w:t>
      </w:r>
      <w:proofErr w:type="gramStart"/>
      <w:r w:rsidRPr="003918E4">
        <w:t>több, mint</w:t>
      </w:r>
      <w:proofErr w:type="gramEnd"/>
      <w:r w:rsidRPr="003918E4">
        <w:t xml:space="preserve"> esély programról</w:t>
      </w:r>
      <w:r>
        <w:t xml:space="preserve">, </w:t>
      </w:r>
    </w:p>
    <w:p w:rsidR="00AD26D7" w:rsidRPr="004A02F6" w:rsidRDefault="00AD26D7" w:rsidP="00AD26D7">
      <w:pPr>
        <w:pStyle w:val="Szvegtrzs"/>
        <w:numPr>
          <w:ilvl w:val="1"/>
          <w:numId w:val="19"/>
        </w:numPr>
      </w:pPr>
      <w:r>
        <w:t xml:space="preserve">speciális helyzetű nők foglalkoztatásáról szóló régebbi </w:t>
      </w:r>
      <w:r w:rsidRPr="00CA364B">
        <w:rPr>
          <w:b/>
        </w:rPr>
        <w:t>módszertani kiadvány</w:t>
      </w:r>
      <w:r>
        <w:t xml:space="preserve"> felfrissítése.</w:t>
      </w:r>
    </w:p>
    <w:p w:rsidR="00AD26D7" w:rsidRDefault="00AD26D7" w:rsidP="00AD26D7">
      <w:pPr>
        <w:pStyle w:val="Szvegtrzs"/>
        <w:numPr>
          <w:ilvl w:val="0"/>
          <w:numId w:val="19"/>
        </w:numPr>
        <w:ind w:left="993"/>
      </w:pPr>
      <w:r w:rsidRPr="000C45A3">
        <w:rPr>
          <w:b/>
        </w:rPr>
        <w:t xml:space="preserve">Az "Egymásra lépni tilos!" kampány </w:t>
      </w:r>
      <w:r w:rsidRPr="000C45A3">
        <w:t>keretében</w:t>
      </w:r>
      <w:r>
        <w:t>:</w:t>
      </w:r>
    </w:p>
    <w:p w:rsidR="00AD26D7" w:rsidRDefault="00AD26D7" w:rsidP="00AD26D7">
      <w:pPr>
        <w:pStyle w:val="Szvegtrzs"/>
        <w:numPr>
          <w:ilvl w:val="1"/>
          <w:numId w:val="19"/>
        </w:numPr>
      </w:pPr>
      <w:r>
        <w:t xml:space="preserve">a </w:t>
      </w:r>
      <w:r w:rsidRPr="00C114A5">
        <w:rPr>
          <w:b/>
        </w:rPr>
        <w:t>társasjáték</w:t>
      </w:r>
      <w:r>
        <w:t xml:space="preserve"> bemutatása és kihelyezése hat oktatási és művelődési intézmén</w:t>
      </w:r>
      <w:r>
        <w:t>y</w:t>
      </w:r>
      <w:r>
        <w:t xml:space="preserve">be </w:t>
      </w:r>
    </w:p>
    <w:p w:rsidR="00AD26D7" w:rsidRDefault="00AD26D7" w:rsidP="00AD26D7">
      <w:pPr>
        <w:pStyle w:val="Szvegtrzs"/>
        <w:numPr>
          <w:ilvl w:val="1"/>
          <w:numId w:val="19"/>
        </w:numPr>
      </w:pPr>
      <w:r>
        <w:t xml:space="preserve">a kampány </w:t>
      </w:r>
      <w:r w:rsidRPr="00C114A5">
        <w:rPr>
          <w:b/>
        </w:rPr>
        <w:t>honlapjának</w:t>
      </w:r>
      <w:r>
        <w:t xml:space="preserve"> látogatottsága 3-4000 fő havonta, </w:t>
      </w:r>
    </w:p>
    <w:p w:rsidR="00AD26D7" w:rsidRDefault="00AD26D7" w:rsidP="00AD26D7">
      <w:pPr>
        <w:pStyle w:val="Szvegtrzs"/>
        <w:numPr>
          <w:ilvl w:val="1"/>
          <w:numId w:val="19"/>
        </w:numPr>
      </w:pPr>
      <w:proofErr w:type="spellStart"/>
      <w:r w:rsidRPr="00C114A5">
        <w:rPr>
          <w:b/>
        </w:rPr>
        <w:t>Facebookon</w:t>
      </w:r>
      <w:proofErr w:type="spellEnd"/>
      <w:r>
        <w:t xml:space="preserve"> 5000 fő csatlakozott az Egymásra lépni tilos!</w:t>
      </w:r>
      <w:proofErr w:type="spellStart"/>
      <w:r>
        <w:t>-hoz</w:t>
      </w:r>
      <w:proofErr w:type="spellEnd"/>
      <w:r>
        <w:t xml:space="preserve">, </w:t>
      </w:r>
      <w:bookmarkStart w:id="118" w:name="rendezveny"/>
      <w:bookmarkEnd w:id="118"/>
    </w:p>
    <w:p w:rsidR="00AD26D7" w:rsidRPr="00F23972" w:rsidRDefault="00AD26D7" w:rsidP="00AD26D7">
      <w:pPr>
        <w:pStyle w:val="Szvegtrzs"/>
        <w:numPr>
          <w:ilvl w:val="1"/>
          <w:numId w:val="19"/>
        </w:numPr>
      </w:pPr>
      <w:r>
        <w:t xml:space="preserve">2011-es </w:t>
      </w:r>
      <w:r w:rsidRPr="00C114A5">
        <w:rPr>
          <w:b/>
        </w:rPr>
        <w:t>alkotói pályázatra</w:t>
      </w:r>
      <w:r>
        <w:t xml:space="preserve"> 187 alkotás érkezett, összesen 27 alkotót díjaztunk, műveikből kiállítást rendeztünk.</w:t>
      </w:r>
    </w:p>
    <w:p w:rsidR="00AD26D7" w:rsidRPr="00CA364B" w:rsidRDefault="00AD26D7" w:rsidP="00AD26D7">
      <w:pPr>
        <w:pStyle w:val="Lista2"/>
        <w:numPr>
          <w:ilvl w:val="0"/>
          <w:numId w:val="19"/>
        </w:numPr>
        <w:ind w:left="993"/>
        <w:jc w:val="both"/>
        <w:rPr>
          <w:b w:val="0"/>
        </w:rPr>
      </w:pPr>
      <w:bookmarkStart w:id="119" w:name="honlap"/>
      <w:bookmarkEnd w:id="119"/>
      <w:r w:rsidRPr="004F56DB">
        <w:t>Esélyegyenlőségi képzés-koordináció</w:t>
      </w:r>
      <w:r>
        <w:t xml:space="preserve">: </w:t>
      </w:r>
    </w:p>
    <w:p w:rsidR="00AD26D7" w:rsidRPr="000C45A3" w:rsidRDefault="00AD26D7" w:rsidP="00AD26D7">
      <w:pPr>
        <w:pStyle w:val="Lista2"/>
        <w:numPr>
          <w:ilvl w:val="1"/>
          <w:numId w:val="19"/>
        </w:numPr>
        <w:jc w:val="both"/>
        <w:rPr>
          <w:b w:val="0"/>
        </w:rPr>
      </w:pPr>
      <w:r>
        <w:rPr>
          <w:b w:val="0"/>
        </w:rPr>
        <w:t xml:space="preserve">8 </w:t>
      </w:r>
      <w:r w:rsidRPr="00CA364B">
        <w:t>képzésünkön</w:t>
      </w:r>
      <w:r>
        <w:rPr>
          <w:b w:val="0"/>
        </w:rPr>
        <w:t xml:space="preserve"> közel 90 fő vett részt elsősorban a</w:t>
      </w:r>
      <w:r w:rsidRPr="000C45A3">
        <w:rPr>
          <w:b w:val="0"/>
        </w:rPr>
        <w:t xml:space="preserve"> fővárosi fenntartású inté</w:t>
      </w:r>
      <w:r w:rsidRPr="000C45A3">
        <w:rPr>
          <w:b w:val="0"/>
        </w:rPr>
        <w:t>z</w:t>
      </w:r>
      <w:r w:rsidRPr="000C45A3">
        <w:rPr>
          <w:b w:val="0"/>
        </w:rPr>
        <w:t>mények humán szolgáltató szakemberei</w:t>
      </w:r>
      <w:r>
        <w:rPr>
          <w:b w:val="0"/>
        </w:rPr>
        <w:t xml:space="preserve"> közül.</w:t>
      </w:r>
    </w:p>
    <w:p w:rsidR="00AD26D7" w:rsidRPr="00CA364B" w:rsidRDefault="00AD26D7" w:rsidP="00AD26D7">
      <w:pPr>
        <w:pStyle w:val="Szvegtrzs"/>
        <w:numPr>
          <w:ilvl w:val="0"/>
          <w:numId w:val="19"/>
        </w:numPr>
        <w:ind w:left="993"/>
      </w:pPr>
      <w:r w:rsidRPr="004F56DB">
        <w:rPr>
          <w:b/>
        </w:rPr>
        <w:t>Befogadó intézmény, munkahelyi esélyfejlesztés</w:t>
      </w:r>
      <w:r>
        <w:rPr>
          <w:b/>
        </w:rPr>
        <w:t xml:space="preserve">: </w:t>
      </w:r>
    </w:p>
    <w:p w:rsidR="00AD26D7" w:rsidRDefault="00AD26D7" w:rsidP="00AD26D7">
      <w:pPr>
        <w:pStyle w:val="Szvegtrzs"/>
        <w:numPr>
          <w:ilvl w:val="1"/>
          <w:numId w:val="19"/>
        </w:numPr>
      </w:pPr>
      <w:r w:rsidRPr="00CA364B">
        <w:rPr>
          <w:b/>
        </w:rPr>
        <w:t>csoportos tanácsadást</w:t>
      </w:r>
      <w:r>
        <w:t xml:space="preserve"> tartunk 35 munkáltató részvételével, amelynek célja a már elkészített munkahelyi esélytervek vizsgálata, felülvizsgálata, ehhez java</w:t>
      </w:r>
      <w:r>
        <w:t>s</w:t>
      </w:r>
      <w:r>
        <w:t xml:space="preserve">latok adása és tapasztalatcsere a gyakorlatról. </w:t>
      </w:r>
    </w:p>
    <w:p w:rsidR="00AD26D7" w:rsidRDefault="00AD26D7" w:rsidP="00AD26D7">
      <w:pPr>
        <w:pStyle w:val="Szvegtrzs"/>
        <w:numPr>
          <w:ilvl w:val="1"/>
          <w:numId w:val="19"/>
        </w:numPr>
      </w:pPr>
      <w:r w:rsidRPr="00CA364B">
        <w:rPr>
          <w:b/>
        </w:rPr>
        <w:t xml:space="preserve">online tanácsadás </w:t>
      </w:r>
      <w:r w:rsidRPr="00CA364B">
        <w:t xml:space="preserve">az </w:t>
      </w:r>
      <w:r>
        <w:t>Esélyháló információs és konzultációs listán munkált</w:t>
      </w:r>
      <w:r>
        <w:t>a</w:t>
      </w:r>
      <w:r>
        <w:t>tóknak és civil szervezeteknek,</w:t>
      </w:r>
    </w:p>
    <w:p w:rsidR="00AD26D7" w:rsidRDefault="00AD26D7" w:rsidP="00AD26D7">
      <w:pPr>
        <w:pStyle w:val="Szvegtrzs2"/>
        <w:ind w:left="567"/>
      </w:pPr>
    </w:p>
    <w:p w:rsidR="00AD26D7" w:rsidRDefault="00AD26D7" w:rsidP="00AD26D7">
      <w:pPr>
        <w:pStyle w:val="Szvegtrzs2"/>
        <w:ind w:left="567"/>
      </w:pPr>
      <w:r w:rsidRPr="0051173B">
        <w:t>A</w:t>
      </w:r>
      <w:r>
        <w:t>z előző évekhez hasonlóan</w:t>
      </w:r>
      <w:r w:rsidRPr="0051173B">
        <w:t xml:space="preserve"> </w:t>
      </w:r>
      <w:r>
        <w:t>2011-</w:t>
      </w:r>
      <w:r w:rsidRPr="0051173B">
        <w:t>ben is biztosít</w:t>
      </w:r>
      <w:r>
        <w:t>ott</w:t>
      </w:r>
      <w:r w:rsidRPr="0051173B">
        <w:t xml:space="preserve">uk a foglalkoztatási és esélyegyenlőségi módszertani, </w:t>
      </w:r>
      <w:r w:rsidRPr="00313E4F">
        <w:rPr>
          <w:b/>
        </w:rPr>
        <w:t>adat- és információs szolgáltatást</w:t>
      </w:r>
      <w:r w:rsidRPr="0051173B">
        <w:t xml:space="preserve">. </w:t>
      </w:r>
    </w:p>
    <w:p w:rsidR="00AD26D7" w:rsidRDefault="00AD26D7" w:rsidP="00AD26D7">
      <w:pPr>
        <w:pStyle w:val="Szvegtrzs2"/>
        <w:numPr>
          <w:ilvl w:val="0"/>
          <w:numId w:val="19"/>
        </w:numPr>
      </w:pPr>
      <w:r w:rsidRPr="00313E4F">
        <w:rPr>
          <w:b/>
        </w:rPr>
        <w:t>PESTESÉLY honlap és kapcsolódó 4 speciális</w:t>
      </w:r>
      <w:r>
        <w:rPr>
          <w:b/>
        </w:rPr>
        <w:t xml:space="preserve"> weblap</w:t>
      </w:r>
      <w:r w:rsidRPr="008B6DB6">
        <w:t xml:space="preserve">: az információ áramlásának fontos terepe a </w:t>
      </w:r>
      <w:hyperlink r:id="rId6" w:history="1">
        <w:r w:rsidRPr="008B6DB6">
          <w:t>www.pestesely.hu</w:t>
        </w:r>
      </w:hyperlink>
      <w:r w:rsidRPr="008B6DB6">
        <w:t xml:space="preserve"> honlap, és a</w:t>
      </w:r>
      <w:r w:rsidRPr="0051173B">
        <w:t xml:space="preserve"> projektek kapcsolódó honlapjai. </w:t>
      </w:r>
      <w:r w:rsidRPr="00B931CB">
        <w:t>Honla</w:t>
      </w:r>
      <w:r w:rsidRPr="00B931CB">
        <w:t>p</w:t>
      </w:r>
      <w:r w:rsidRPr="00B931CB">
        <w:t xml:space="preserve">jaink látogatottsága meghaladja a havi 6.000 főt, az </w:t>
      </w:r>
      <w:r>
        <w:t>oldalletöltések száma látogatónként átlagosan 6 oldal</w:t>
      </w:r>
      <w:r w:rsidRPr="0060734E">
        <w:t xml:space="preserve">. </w:t>
      </w:r>
    </w:p>
    <w:p w:rsidR="00AD26D7" w:rsidRDefault="00AD26D7" w:rsidP="00AD26D7">
      <w:pPr>
        <w:pStyle w:val="Szvegtrzs2"/>
        <w:numPr>
          <w:ilvl w:val="0"/>
          <w:numId w:val="19"/>
        </w:numPr>
      </w:pPr>
      <w:r w:rsidRPr="00313E4F">
        <w:rPr>
          <w:b/>
        </w:rPr>
        <w:t>Média megjelenés</w:t>
      </w:r>
      <w:r w:rsidRPr="008D1B91">
        <w:t xml:space="preserve">: </w:t>
      </w:r>
    </w:p>
    <w:p w:rsidR="00AD26D7" w:rsidRDefault="00AD26D7" w:rsidP="00AD26D7">
      <w:pPr>
        <w:pStyle w:val="Szvegtrzs2"/>
        <w:numPr>
          <w:ilvl w:val="1"/>
          <w:numId w:val="19"/>
        </w:numPr>
      </w:pPr>
      <w:r>
        <w:t xml:space="preserve">összesen 7 rádióműsor, egy televíziós megjelenés, </w:t>
      </w:r>
    </w:p>
    <w:p w:rsidR="00AD26D7" w:rsidRDefault="00AD26D7" w:rsidP="00AD26D7">
      <w:pPr>
        <w:pStyle w:val="Szvegtrzs2"/>
        <w:numPr>
          <w:ilvl w:val="1"/>
          <w:numId w:val="19"/>
        </w:numPr>
      </w:pPr>
      <w:proofErr w:type="gramStart"/>
      <w:r>
        <w:t>több, mint</w:t>
      </w:r>
      <w:proofErr w:type="gramEnd"/>
      <w:r>
        <w:t xml:space="preserve"> 40 nyomtatott sajtó cikk és online megjelenés, </w:t>
      </w:r>
    </w:p>
    <w:p w:rsidR="00AD26D7" w:rsidRDefault="00AD26D7" w:rsidP="00AD26D7">
      <w:pPr>
        <w:pStyle w:val="Szvegtrzs2"/>
        <w:numPr>
          <w:ilvl w:val="1"/>
          <w:numId w:val="19"/>
        </w:numPr>
      </w:pPr>
      <w:r>
        <w:t>Eseményeinkkel e mellett rendszeresen megjelenünk a szociális és civil level</w:t>
      </w:r>
      <w:r>
        <w:t>e</w:t>
      </w:r>
      <w:r>
        <w:t xml:space="preserve">ző listák, valamint </w:t>
      </w:r>
      <w:proofErr w:type="gramStart"/>
      <w:r>
        <w:t>a</w:t>
      </w:r>
      <w:proofErr w:type="gramEnd"/>
      <w:r>
        <w:t xml:space="preserve"> </w:t>
      </w:r>
    </w:p>
    <w:p w:rsidR="00AD26D7" w:rsidRDefault="00AD26D7" w:rsidP="00AD26D7">
      <w:pPr>
        <w:pStyle w:val="Szvegtrzs2"/>
        <w:numPr>
          <w:ilvl w:val="1"/>
          <w:numId w:val="19"/>
        </w:numPr>
      </w:pPr>
      <w:r>
        <w:t xml:space="preserve">Főváros hírei között (Budapest Hírlevél). </w:t>
      </w:r>
    </w:p>
    <w:p w:rsidR="00AD26D7" w:rsidRDefault="00AD26D7" w:rsidP="00AD26D7">
      <w:pPr>
        <w:pStyle w:val="Szvegtrzs2"/>
        <w:numPr>
          <w:ilvl w:val="1"/>
          <w:numId w:val="19"/>
        </w:numPr>
      </w:pPr>
      <w:proofErr w:type="spellStart"/>
      <w:r w:rsidRPr="00F44CC7">
        <w:rPr>
          <w:b/>
        </w:rPr>
        <w:t>Esély-Galéria</w:t>
      </w:r>
      <w:proofErr w:type="spellEnd"/>
      <w:r w:rsidRPr="00F44CC7">
        <w:rPr>
          <w:b/>
        </w:rPr>
        <w:t xml:space="preserve"> rendezése</w:t>
      </w:r>
      <w:r w:rsidRPr="008B6DB6">
        <w:t>: 2011-ben a 2009-es Beindító – roma gyakornoki programunk</w:t>
      </w:r>
      <w:r>
        <w:t xml:space="preserve"> résztvevőinek portréit, </w:t>
      </w:r>
      <w:proofErr w:type="spellStart"/>
      <w:r>
        <w:t>We</w:t>
      </w:r>
      <w:proofErr w:type="spellEnd"/>
      <w:r>
        <w:t xml:space="preserve"> </w:t>
      </w:r>
      <w:proofErr w:type="spellStart"/>
      <w:r>
        <w:t>are</w:t>
      </w:r>
      <w:proofErr w:type="spellEnd"/>
      <w:r>
        <w:t xml:space="preserve"> here – Itt vagyunk! című, roma ö</w:t>
      </w:r>
      <w:r>
        <w:t>n</w:t>
      </w:r>
      <w:r>
        <w:t>arckép kiállítást mutattuk be, az évet az idei Egymásra lépni tilos! alkotói p</w:t>
      </w:r>
      <w:r>
        <w:t>á</w:t>
      </w:r>
      <w:r>
        <w:t xml:space="preserve">lyázat legjobb munkáinak válogatása zárta. </w:t>
      </w:r>
    </w:p>
    <w:p w:rsidR="00AD26D7" w:rsidRDefault="00AD26D7" w:rsidP="00AD26D7">
      <w:pPr>
        <w:pStyle w:val="Szvegtrzs2"/>
        <w:numPr>
          <w:ilvl w:val="0"/>
          <w:numId w:val="19"/>
        </w:numPr>
      </w:pPr>
      <w:r w:rsidRPr="00F44CC7">
        <w:rPr>
          <w:b/>
          <w:iCs/>
        </w:rPr>
        <w:t>Nemzetközi szintű képviselet</w:t>
      </w:r>
      <w:r w:rsidRPr="008D1B91">
        <w:rPr>
          <w:iCs/>
        </w:rPr>
        <w:t xml:space="preserve">: </w:t>
      </w:r>
      <w:r>
        <w:t>A Főváros képviselőjeként nemzetközi hálózatok (pl. Metropolis Net), projektek (</w:t>
      </w:r>
      <w:proofErr w:type="spellStart"/>
      <w:r>
        <w:t>LeCiM</w:t>
      </w:r>
      <w:proofErr w:type="spellEnd"/>
      <w:r>
        <w:t xml:space="preserve">, </w:t>
      </w:r>
      <w:proofErr w:type="spellStart"/>
      <w:r>
        <w:t>Roma-Net</w:t>
      </w:r>
      <w:proofErr w:type="spellEnd"/>
      <w:r>
        <w:t>) munkájában, és ezekhez kapcsolódóan konferenciákon veszünk részt. 2012 év elején az Európa Tanács Európai esélyegyenl</w:t>
      </w:r>
      <w:r>
        <w:t>ő</w:t>
      </w:r>
      <w:r>
        <w:t xml:space="preserve">ségi jó gyakorlatokról szóló gyűjteményébe választotta a </w:t>
      </w:r>
      <w:r>
        <w:lastRenderedPageBreak/>
        <w:t xml:space="preserve">cégünk által koordinált és szakmailag támogatott Budapest – </w:t>
      </w:r>
      <w:proofErr w:type="gramStart"/>
      <w:r>
        <w:t>több, mint</w:t>
      </w:r>
      <w:proofErr w:type="gramEnd"/>
      <w:r>
        <w:t xml:space="preserve"> esély című települési esélyegyenlőségi programot.</w:t>
      </w:r>
    </w:p>
    <w:p w:rsidR="00AD26D7" w:rsidRPr="00CB3598" w:rsidRDefault="00AD26D7" w:rsidP="00AD26D7">
      <w:pPr>
        <w:pStyle w:val="StlusCmsor4Egalizls14pt"/>
      </w:pPr>
      <w:r w:rsidRPr="00CB3598">
        <w:t xml:space="preserve">A Programiroda szakmai teljesítménye </w:t>
      </w:r>
    </w:p>
    <w:p w:rsidR="00AD26D7" w:rsidRDefault="00AD26D7" w:rsidP="00AD26D7">
      <w:pPr>
        <w:pStyle w:val="Szvegtrzs2"/>
        <w:ind w:left="993"/>
      </w:pPr>
      <w:r w:rsidRPr="00CB3598">
        <w:t xml:space="preserve">Az év során összesen </w:t>
      </w:r>
      <w:r w:rsidRPr="00CB3598">
        <w:rPr>
          <w:b/>
        </w:rPr>
        <w:t>9 foglalkoztatás-fejlesztő projektben</w:t>
      </w:r>
      <w:r w:rsidRPr="00CB3598">
        <w:t xml:space="preserve"> dolgoztunk, közülük 7 EU-s és 2 hazai finanszírozású volt. A projektek célcsoportjai kisgyermekesek („Cs</w:t>
      </w:r>
      <w:r w:rsidRPr="00CB3598">
        <w:t>a</w:t>
      </w:r>
      <w:r w:rsidRPr="00CB3598">
        <w:t>lád velem, karrier előttem”), hajléktalanok („Sarokpont” és „Alkalmi”), roma fiatalok (Csepeli Integrációs Program), város-rehabilitációs („Ady”), tartósan munkanélküliek („Partnerség a foglalkoztatásért”). A projektek felsorolásszerűen:</w:t>
      </w:r>
    </w:p>
    <w:p w:rsidR="00AD26D7" w:rsidRPr="00CB3598" w:rsidRDefault="00AD26D7" w:rsidP="00AD26D7">
      <w:pPr>
        <w:pStyle w:val="Szvegtrzs2"/>
        <w:numPr>
          <w:ilvl w:val="0"/>
          <w:numId w:val="13"/>
        </w:numPr>
      </w:pPr>
      <w:r w:rsidRPr="00CB3598">
        <w:rPr>
          <w:rFonts w:ascii="Cambria" w:hAnsi="Cambria"/>
          <w:bCs/>
        </w:rPr>
        <w:t>„</w:t>
      </w:r>
      <w:proofErr w:type="spellStart"/>
      <w:r w:rsidRPr="00CB3598">
        <w:rPr>
          <w:rFonts w:ascii="Cambria" w:hAnsi="Cambria"/>
          <w:bCs/>
        </w:rPr>
        <w:t>Learning</w:t>
      </w:r>
      <w:proofErr w:type="spellEnd"/>
      <w:r w:rsidRPr="00CB3598">
        <w:rPr>
          <w:rFonts w:ascii="Cambria" w:hAnsi="Cambria"/>
          <w:bCs/>
        </w:rPr>
        <w:t xml:space="preserve"> </w:t>
      </w:r>
      <w:proofErr w:type="spellStart"/>
      <w:r w:rsidRPr="00CB3598">
        <w:rPr>
          <w:rFonts w:ascii="Cambria" w:hAnsi="Cambria"/>
          <w:bCs/>
        </w:rPr>
        <w:t>Cit</w:t>
      </w:r>
      <w:r>
        <w:rPr>
          <w:rFonts w:ascii="Cambria" w:hAnsi="Cambria"/>
          <w:bCs/>
        </w:rPr>
        <w:t>i</w:t>
      </w:r>
      <w:r w:rsidRPr="00CB3598">
        <w:rPr>
          <w:rFonts w:ascii="Cambria" w:hAnsi="Cambria"/>
          <w:bCs/>
        </w:rPr>
        <w:t>es</w:t>
      </w:r>
      <w:proofErr w:type="spellEnd"/>
      <w:r w:rsidRPr="00CB3598">
        <w:rPr>
          <w:rFonts w:ascii="Cambria" w:hAnsi="Cambria"/>
          <w:bCs/>
        </w:rPr>
        <w:t xml:space="preserve"> </w:t>
      </w:r>
      <w:proofErr w:type="spellStart"/>
      <w:r w:rsidRPr="00CB3598">
        <w:rPr>
          <w:rFonts w:ascii="Cambria" w:hAnsi="Cambria"/>
          <w:bCs/>
        </w:rPr>
        <w:t>for</w:t>
      </w:r>
      <w:proofErr w:type="spellEnd"/>
      <w:r w:rsidRPr="00CB3598">
        <w:rPr>
          <w:rFonts w:ascii="Cambria" w:hAnsi="Cambria"/>
          <w:bCs/>
        </w:rPr>
        <w:t xml:space="preserve"> </w:t>
      </w:r>
      <w:proofErr w:type="spellStart"/>
      <w:r w:rsidRPr="00CB3598">
        <w:rPr>
          <w:rFonts w:ascii="Cambria" w:hAnsi="Cambria"/>
          <w:bCs/>
        </w:rPr>
        <w:t>Migrants</w:t>
      </w:r>
      <w:proofErr w:type="spellEnd"/>
      <w:r w:rsidRPr="00CB3598">
        <w:rPr>
          <w:rFonts w:ascii="Cambria" w:hAnsi="Cambria"/>
          <w:bCs/>
        </w:rPr>
        <w:t xml:space="preserve"> </w:t>
      </w:r>
      <w:proofErr w:type="spellStart"/>
      <w:r w:rsidRPr="00CB3598">
        <w:rPr>
          <w:rFonts w:ascii="Cambria" w:hAnsi="Cambria"/>
          <w:bCs/>
        </w:rPr>
        <w:t>Inclusion</w:t>
      </w:r>
      <w:proofErr w:type="spellEnd"/>
      <w:r w:rsidRPr="00CB3598">
        <w:rPr>
          <w:rFonts w:ascii="Cambria" w:hAnsi="Cambria"/>
          <w:bCs/>
        </w:rPr>
        <w:t>” (</w:t>
      </w:r>
      <w:proofErr w:type="spellStart"/>
      <w:r w:rsidRPr="00CB3598">
        <w:t>MetropolisNet</w:t>
      </w:r>
      <w:proofErr w:type="spellEnd"/>
      <w:r w:rsidRPr="00CB3598">
        <w:t>)</w:t>
      </w:r>
    </w:p>
    <w:p w:rsidR="00AD26D7" w:rsidRPr="00CB3598" w:rsidRDefault="00AD26D7" w:rsidP="00AD26D7">
      <w:pPr>
        <w:pStyle w:val="Szvegtrzs2"/>
        <w:numPr>
          <w:ilvl w:val="0"/>
          <w:numId w:val="13"/>
        </w:numPr>
      </w:pPr>
      <w:r w:rsidRPr="00CB3598">
        <w:rPr>
          <w:rFonts w:ascii="Cambria" w:hAnsi="Cambria"/>
          <w:bCs/>
        </w:rPr>
        <w:t>„Ady-lakótelep integrált szociális rehabilitációja” (KMOP 5.1.1)</w:t>
      </w:r>
    </w:p>
    <w:p w:rsidR="00AD26D7" w:rsidRPr="00CB3598" w:rsidRDefault="00AD26D7" w:rsidP="00AD26D7">
      <w:pPr>
        <w:pStyle w:val="Szvegtrzs2"/>
        <w:numPr>
          <w:ilvl w:val="0"/>
          <w:numId w:val="13"/>
        </w:numPr>
      </w:pPr>
      <w:r w:rsidRPr="00CB3598">
        <w:rPr>
          <w:rFonts w:ascii="Cambria" w:hAnsi="Cambria"/>
          <w:bCs/>
        </w:rPr>
        <w:t>„Partnerség a foglalkoztatásért 2009” (TÁMOP 5.3.1)</w:t>
      </w:r>
    </w:p>
    <w:p w:rsidR="00AD26D7" w:rsidRPr="00CB3598" w:rsidRDefault="00AD26D7" w:rsidP="00AD26D7">
      <w:pPr>
        <w:pStyle w:val="Szvegtrzs2"/>
        <w:numPr>
          <w:ilvl w:val="0"/>
          <w:numId w:val="13"/>
        </w:numPr>
      </w:pPr>
      <w:r w:rsidRPr="00CB3598">
        <w:rPr>
          <w:rFonts w:ascii="Cambria" w:hAnsi="Cambria"/>
          <w:bCs/>
        </w:rPr>
        <w:t>„Család velem, karrier előttem” (TÁMOP 2.4.3)</w:t>
      </w:r>
    </w:p>
    <w:p w:rsidR="00AD26D7" w:rsidRPr="00CB3598" w:rsidRDefault="00AD26D7" w:rsidP="00AD26D7">
      <w:pPr>
        <w:pStyle w:val="Szvegtrzs2"/>
        <w:numPr>
          <w:ilvl w:val="0"/>
          <w:numId w:val="13"/>
        </w:numPr>
      </w:pPr>
      <w:r w:rsidRPr="00CB3598">
        <w:rPr>
          <w:rFonts w:ascii="Cambria" w:hAnsi="Cambria"/>
          <w:bCs/>
        </w:rPr>
        <w:t>„Sarok-pont” (TÁMOP 5.3.3)</w:t>
      </w:r>
    </w:p>
    <w:p w:rsidR="00AD26D7" w:rsidRPr="00CB3598" w:rsidRDefault="00AD26D7" w:rsidP="00AD26D7">
      <w:pPr>
        <w:pStyle w:val="Szvegtrzs2"/>
        <w:numPr>
          <w:ilvl w:val="0"/>
          <w:numId w:val="13"/>
        </w:numPr>
      </w:pPr>
      <w:r w:rsidRPr="00CB3598">
        <w:rPr>
          <w:rFonts w:ascii="Cambria" w:hAnsi="Cambria"/>
          <w:bCs/>
        </w:rPr>
        <w:t>Út a piaci munkahelyekhez (TÁMOP 1.4.3)</w:t>
      </w:r>
    </w:p>
    <w:p w:rsidR="00AD26D7" w:rsidRPr="00CB3598" w:rsidRDefault="00AD26D7" w:rsidP="00AD26D7">
      <w:pPr>
        <w:pStyle w:val="Szvegtrzs2"/>
        <w:numPr>
          <w:ilvl w:val="0"/>
          <w:numId w:val="13"/>
        </w:numPr>
      </w:pPr>
      <w:r w:rsidRPr="00CB3598">
        <w:rPr>
          <w:rFonts w:ascii="Cambria" w:hAnsi="Cambria"/>
          <w:bCs/>
        </w:rPr>
        <w:t>ROMA-NET (URBACT II)</w:t>
      </w:r>
    </w:p>
    <w:p w:rsidR="00AD26D7" w:rsidRPr="00CB3598" w:rsidRDefault="00AD26D7" w:rsidP="00AD26D7">
      <w:pPr>
        <w:pStyle w:val="Szvegtrzs2"/>
        <w:numPr>
          <w:ilvl w:val="0"/>
          <w:numId w:val="13"/>
        </w:numPr>
      </w:pPr>
      <w:r w:rsidRPr="00CB3598">
        <w:rPr>
          <w:rFonts w:ascii="Cambria" w:hAnsi="Cambria"/>
          <w:bCs/>
        </w:rPr>
        <w:t>Csepeli Roma Integrációs Program (XXI. ker. önkormányzat)</w:t>
      </w:r>
    </w:p>
    <w:p w:rsidR="00AD26D7" w:rsidRPr="00CB3598" w:rsidRDefault="00AD26D7" w:rsidP="00AD26D7">
      <w:pPr>
        <w:pStyle w:val="Szvegtrzs2"/>
        <w:numPr>
          <w:ilvl w:val="0"/>
          <w:numId w:val="13"/>
        </w:numPr>
      </w:pPr>
      <w:r w:rsidRPr="00CB3598">
        <w:t>Közfoglalkoztatás szervezők foglalkoztatása (OFA)</w:t>
      </w:r>
    </w:p>
    <w:p w:rsidR="00AD26D7" w:rsidRPr="00CB3598" w:rsidRDefault="00AD26D7" w:rsidP="00AD26D7">
      <w:pPr>
        <w:pStyle w:val="Szvegtrzs2"/>
        <w:ind w:left="1713"/>
      </w:pPr>
    </w:p>
    <w:p w:rsidR="00AD26D7" w:rsidRPr="00CB3598" w:rsidRDefault="00AD26D7" w:rsidP="00AD26D7">
      <w:pPr>
        <w:pStyle w:val="Szvegtrzs2"/>
        <w:ind w:left="993"/>
        <w:rPr>
          <w:kern w:val="28"/>
        </w:rPr>
      </w:pPr>
      <w:r w:rsidRPr="00CB3598">
        <w:rPr>
          <w:kern w:val="28"/>
        </w:rPr>
        <w:t xml:space="preserve">A számos, szigorú elszámolású projekt </w:t>
      </w:r>
      <w:r>
        <w:rPr>
          <w:kern w:val="28"/>
        </w:rPr>
        <w:t>zárása, az elszámolások, korábbi projektek fenntartási jelentései, stb. komoly szakmai és adminisztrációs kihívást jelentettek</w:t>
      </w:r>
      <w:r w:rsidRPr="00CB3598">
        <w:rPr>
          <w:kern w:val="28"/>
        </w:rPr>
        <w:t xml:space="preserve">. </w:t>
      </w:r>
    </w:p>
    <w:p w:rsidR="00AD26D7" w:rsidRDefault="00AD26D7" w:rsidP="00AD26D7">
      <w:pPr>
        <w:pStyle w:val="StlusCmsor4Egalizls14pt"/>
      </w:pPr>
      <w:r w:rsidRPr="00736975">
        <w:t>Pénzügyi teljesítés</w:t>
      </w:r>
    </w:p>
    <w:p w:rsidR="00AD26D7" w:rsidRDefault="00AD26D7" w:rsidP="00AD26D7">
      <w:pPr>
        <w:pStyle w:val="Szvegtrzs"/>
        <w:ind w:left="993"/>
      </w:pPr>
      <w:r w:rsidRPr="00C442D1">
        <w:t xml:space="preserve">A teljes szakfeladatra </w:t>
      </w:r>
      <w:r>
        <w:t>az előző évinél 14.162</w:t>
      </w:r>
      <w:r w:rsidRPr="00C442D1">
        <w:t xml:space="preserve"> </w:t>
      </w:r>
      <w:r>
        <w:t>ezer Ft-tal alacsonyabb támogatást te</w:t>
      </w:r>
      <w:r>
        <w:t>r</w:t>
      </w:r>
      <w:r>
        <w:t xml:space="preserve">veztünk (7. számú ábra). </w:t>
      </w:r>
      <w:r w:rsidRPr="00C442D1">
        <w:t>Az általános költ</w:t>
      </w:r>
      <w:r>
        <w:t>ségek vetítési aránya</w:t>
      </w:r>
      <w:r w:rsidRPr="00C442D1">
        <w:t xml:space="preserve"> itt igen magas (</w:t>
      </w:r>
      <w:r>
        <w:t>az ö</w:t>
      </w:r>
      <w:r>
        <w:t>s</w:t>
      </w:r>
      <w:r>
        <w:t>szes általános költség 34%-a</w:t>
      </w:r>
      <w:r w:rsidRPr="00C442D1">
        <w:t>), hiszen az épületnek csaknem az egész emeletét e sza</w:t>
      </w:r>
      <w:r w:rsidRPr="00C442D1">
        <w:t>k</w:t>
      </w:r>
      <w:r w:rsidRPr="00C442D1">
        <w:t xml:space="preserve">feladat használja. </w:t>
      </w:r>
      <w:r>
        <w:t xml:space="preserve">A terveket azonban így is 22%-kal alacsonyabbra tudtuk szorítani az előző évinél (4.6 sor), a tényadat pedig a tervezettnél is 11%-kal alacsonyabb. Így a jogos működési támogatás is 3.606 </w:t>
      </w:r>
      <w:proofErr w:type="spellStart"/>
      <w:r>
        <w:t>eFt-tal</w:t>
      </w:r>
      <w:proofErr w:type="spellEnd"/>
      <w:r>
        <w:t xml:space="preserve"> alacsonyabb az előirányzottnál (4.8 sor). </w:t>
      </w:r>
    </w:p>
    <w:p w:rsidR="00AD26D7" w:rsidRDefault="00AD26D7" w:rsidP="00AD26D7">
      <w:pPr>
        <w:pStyle w:val="Szvegtrzs"/>
        <w:ind w:left="993"/>
      </w:pPr>
      <w:r>
        <w:t>2011-ben az uniós és egyéb foglalkoztatás-fejlesztő projektek jelentős része már kif</w:t>
      </w:r>
      <w:r>
        <w:t>u</w:t>
      </w:r>
      <w:r>
        <w:t xml:space="preserve">tóban volt, a </w:t>
      </w:r>
      <w:proofErr w:type="gramStart"/>
      <w:r>
        <w:t>projekt zárások</w:t>
      </w:r>
      <w:proofErr w:type="gramEnd"/>
      <w:r>
        <w:t xml:space="preserve"> igen nagy adminisztrációs terhet jelentenek, miközben a projekten már nem számolható el menedzsment-költség. Az egyre akadékosabb e</w:t>
      </w:r>
      <w:r>
        <w:t>l</w:t>
      </w:r>
      <w:r>
        <w:t>számoló hatóság számos olyan költséget dobott vissza, amelyeket a korábbiakban e</w:t>
      </w:r>
      <w:r>
        <w:t>l</w:t>
      </w:r>
      <w:r>
        <w:t>számolhatónak tartottak. Ezek miatt az előző évekből is áthúzódó projekt-önrészek a mérleg zárásakor 10 millió forinttal haladták meg a tervezettet. Összességében (teljes projektre vetítve) így is 7% alatt volt az uniós társfinanszírozású projektek önrésze. A kifizetések minden határon túl késnek, ami az év végére már 30 millió forint feletti kintlévőséget eredményezett. Egyéb tevékenységek nyereségéből 3.229 ezer Ft jutott e szakfeladatra (4.3 sor), amely két és félszerese az előző évinek, azonban a kényszer</w:t>
      </w:r>
      <w:r>
        <w:t>ű</w:t>
      </w:r>
      <w:r>
        <w:t>en tervezettnek (7.748 ezer Ft) felét sem éri el. A ROMA-NET fővárosi projekt elsz</w:t>
      </w:r>
      <w:r>
        <w:t>á</w:t>
      </w:r>
      <w:r>
        <w:t>molását külön soron kellett szerepeltetni, sajátos elszámolási rendszere miatt. A bev</w:t>
      </w:r>
      <w:r>
        <w:t>é</w:t>
      </w:r>
      <w:r>
        <w:t>telek a közvetett kiadások 100%-</w:t>
      </w:r>
      <w:proofErr w:type="gramStart"/>
      <w:r>
        <w:t>a.</w:t>
      </w:r>
      <w:proofErr w:type="gramEnd"/>
    </w:p>
    <w:p w:rsidR="00AD26D7" w:rsidRDefault="00AD26D7" w:rsidP="00AD26D7">
      <w:pPr>
        <w:pStyle w:val="Szvegtrzs"/>
        <w:ind w:left="993"/>
      </w:pPr>
      <w:r>
        <w:t>A</w:t>
      </w:r>
      <w:r w:rsidRPr="00C442D1">
        <w:t xml:space="preserve">z </w:t>
      </w:r>
      <w:r w:rsidRPr="00C442D1">
        <w:rPr>
          <w:b/>
        </w:rPr>
        <w:t xml:space="preserve">egy szakértői napra vetített költség </w:t>
      </w:r>
      <w:r>
        <w:rPr>
          <w:b/>
        </w:rPr>
        <w:t xml:space="preserve">már csak 12.115 </w:t>
      </w:r>
      <w:r w:rsidRPr="00C442D1">
        <w:rPr>
          <w:b/>
        </w:rPr>
        <w:t>Ft/ nap</w:t>
      </w:r>
      <w:r>
        <w:t>.</w:t>
      </w:r>
      <w:r w:rsidRPr="00C442D1">
        <w:t xml:space="preserve"> </w:t>
      </w:r>
      <w:r>
        <w:t>Ez a</w:t>
      </w:r>
      <w:r w:rsidRPr="00C442D1">
        <w:t xml:space="preserve"> hazai gyako</w:t>
      </w:r>
      <w:r w:rsidRPr="00C442D1">
        <w:t>r</w:t>
      </w:r>
      <w:r>
        <w:t>lat szerinti díjnak sincs</w:t>
      </w:r>
      <w:r w:rsidRPr="00C442D1">
        <w:t xml:space="preserve"> </w:t>
      </w:r>
      <w:r>
        <w:t>már negyede sem. A közszolgáltatás mennyiségi paramétere</w:t>
      </w:r>
      <w:r>
        <w:t>i</w:t>
      </w:r>
      <w:r>
        <w:t>ről az ábra és szöveg gyűjtemény 4. a) pontja ad részletes tájékoztatást.</w:t>
      </w:r>
    </w:p>
    <w:p w:rsidR="00AD26D7" w:rsidRDefault="00AD26D7" w:rsidP="00AD26D7">
      <w:pPr>
        <w:pStyle w:val="Szvegtrzs"/>
        <w:ind w:left="993"/>
      </w:pPr>
      <w:r w:rsidRPr="00C442D1">
        <w:t>Mindez</w:t>
      </w:r>
      <w:r>
        <w:t>zel együtt a közfeladat szolgáltatási jogos kompenzációja 38.836 ezer Ft, mely az előző évi szintnek csak 81%-</w:t>
      </w:r>
      <w:proofErr w:type="gramStart"/>
      <w:r>
        <w:t>a</w:t>
      </w:r>
      <w:proofErr w:type="gramEnd"/>
      <w:r>
        <w:t xml:space="preserve">, azonban az elirányzottat 14.389 ezer forinttal </w:t>
      </w:r>
    </w:p>
    <w:p w:rsidR="00AD26D7" w:rsidRDefault="00AD26D7" w:rsidP="00AD26D7">
      <w:pPr>
        <w:pStyle w:val="Szvegtrzs"/>
        <w:ind w:left="993"/>
      </w:pPr>
      <w:proofErr w:type="gramStart"/>
      <w:r>
        <w:lastRenderedPageBreak/>
        <w:t>haladja</w:t>
      </w:r>
      <w:proofErr w:type="gramEnd"/>
      <w:r>
        <w:t xml:space="preserve"> meg. A közfeladat összes jogos kompenzációja 70.849 ezer Ft, mely az előző évi 95%-</w:t>
      </w:r>
      <w:proofErr w:type="gramStart"/>
      <w:r>
        <w:t>a.</w:t>
      </w:r>
      <w:proofErr w:type="gramEnd"/>
      <w:r>
        <w:t xml:space="preserve"> Ez az összeg a szakfeladat költségeinek 46%-át fedezi.</w:t>
      </w:r>
    </w:p>
    <w:p w:rsidR="00AD26D7" w:rsidRDefault="00AD26D7" w:rsidP="00AD26D7">
      <w:pPr>
        <w:pStyle w:val="Szvegtrzs"/>
        <w:ind w:left="993"/>
      </w:pPr>
    </w:p>
    <w:p w:rsidR="00AD26D7" w:rsidRDefault="00AD26D7" w:rsidP="00AD26D7">
      <w:pPr>
        <w:pStyle w:val="Szvegtrzs"/>
        <w:numPr>
          <w:ilvl w:val="0"/>
          <w:numId w:val="5"/>
        </w:numPr>
        <w:ind w:left="1276" w:hanging="323"/>
      </w:pPr>
      <w:r>
        <w:t>számú ábra: A Fővárosi támogatás aránya a közszolgáltatásban</w:t>
      </w:r>
    </w:p>
    <w:p w:rsidR="00AD26D7" w:rsidRDefault="00AD26D7" w:rsidP="00AD26D7">
      <w:pPr>
        <w:pStyle w:val="Szvegtrzs2"/>
        <w:ind w:left="993"/>
        <w:rPr>
          <w:kern w:val="28"/>
        </w:rPr>
      </w:pPr>
    </w:p>
    <w:tbl>
      <w:tblPr>
        <w:tblW w:w="9508" w:type="dxa"/>
        <w:tblInd w:w="60" w:type="dxa"/>
        <w:tblCellMar>
          <w:left w:w="70" w:type="dxa"/>
          <w:right w:w="70" w:type="dxa"/>
        </w:tblCellMar>
        <w:tblLook w:val="04A0"/>
      </w:tblPr>
      <w:tblGrid>
        <w:gridCol w:w="620"/>
        <w:gridCol w:w="3785"/>
        <w:gridCol w:w="992"/>
        <w:gridCol w:w="992"/>
        <w:gridCol w:w="992"/>
        <w:gridCol w:w="1276"/>
        <w:gridCol w:w="851"/>
      </w:tblGrid>
      <w:tr w:rsidR="00AD26D7" w:rsidRPr="00814D00" w:rsidTr="00A70C15">
        <w:trPr>
          <w:trHeight w:val="525"/>
        </w:trPr>
        <w:tc>
          <w:tcPr>
            <w:tcW w:w="620" w:type="dxa"/>
            <w:tcBorders>
              <w:top w:val="single" w:sz="8" w:space="0" w:color="auto"/>
              <w:left w:val="single" w:sz="8" w:space="0" w:color="auto"/>
              <w:bottom w:val="single" w:sz="8" w:space="0" w:color="auto"/>
              <w:right w:val="nil"/>
            </w:tcBorders>
            <w:shd w:val="clear" w:color="auto" w:fill="auto"/>
            <w:noWrap/>
            <w:vAlign w:val="center"/>
            <w:hideMark/>
          </w:tcPr>
          <w:p w:rsidR="00AD26D7" w:rsidRPr="00814D00" w:rsidRDefault="00AD26D7" w:rsidP="00A70C15">
            <w:pPr>
              <w:rPr>
                <w:szCs w:val="24"/>
              </w:rPr>
            </w:pPr>
            <w:r w:rsidRPr="00814D00">
              <w:rPr>
                <w:szCs w:val="24"/>
              </w:rPr>
              <w:t> </w:t>
            </w:r>
          </w:p>
        </w:tc>
        <w:tc>
          <w:tcPr>
            <w:tcW w:w="37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26D7" w:rsidRPr="00814D00" w:rsidRDefault="00AD26D7" w:rsidP="00A70C15">
            <w:pPr>
              <w:rPr>
                <w:b/>
                <w:bCs/>
                <w:szCs w:val="24"/>
              </w:rPr>
            </w:pPr>
            <w:r w:rsidRPr="00814D00">
              <w:rPr>
                <w:b/>
                <w:bCs/>
                <w:szCs w:val="24"/>
              </w:rPr>
              <w:t>FEMI és Programiroda</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D26D7" w:rsidRPr="00814D00" w:rsidRDefault="00AD26D7" w:rsidP="00A70C15">
            <w:pPr>
              <w:jc w:val="center"/>
              <w:rPr>
                <w:szCs w:val="24"/>
              </w:rPr>
            </w:pPr>
            <w:r w:rsidRPr="00814D00">
              <w:rPr>
                <w:szCs w:val="24"/>
              </w:rPr>
              <w:t>2010. tény*</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D26D7" w:rsidRPr="00814D00" w:rsidRDefault="00AD26D7" w:rsidP="00A70C15">
            <w:pPr>
              <w:jc w:val="center"/>
              <w:rPr>
                <w:szCs w:val="24"/>
              </w:rPr>
            </w:pPr>
            <w:proofErr w:type="gramStart"/>
            <w:r w:rsidRPr="00814D00">
              <w:rPr>
                <w:szCs w:val="24"/>
              </w:rPr>
              <w:t>2011.  terv</w:t>
            </w:r>
            <w:proofErr w:type="gramEnd"/>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AD26D7" w:rsidRPr="00814D00" w:rsidRDefault="00AD26D7" w:rsidP="00A70C15">
            <w:pPr>
              <w:jc w:val="center"/>
              <w:rPr>
                <w:szCs w:val="24"/>
              </w:rPr>
            </w:pPr>
            <w:r w:rsidRPr="00814D00">
              <w:rPr>
                <w:szCs w:val="24"/>
              </w:rPr>
              <w:t>2011. tény</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AD26D7" w:rsidRPr="00814D00" w:rsidRDefault="00AD26D7" w:rsidP="00A70C15">
            <w:pPr>
              <w:jc w:val="center"/>
              <w:rPr>
                <w:szCs w:val="24"/>
              </w:rPr>
            </w:pPr>
            <w:r w:rsidRPr="00814D00">
              <w:rPr>
                <w:szCs w:val="24"/>
              </w:rPr>
              <w:t xml:space="preserve">2011. </w:t>
            </w:r>
            <w:r>
              <w:rPr>
                <w:szCs w:val="24"/>
              </w:rPr>
              <w:t>j</w:t>
            </w:r>
            <w:r w:rsidRPr="00814D00">
              <w:rPr>
                <w:szCs w:val="24"/>
              </w:rPr>
              <w:t>ogos komp</w:t>
            </w:r>
            <w:r>
              <w:rPr>
                <w:szCs w:val="24"/>
              </w:rPr>
              <w:t>.</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AD26D7" w:rsidRDefault="00AD26D7" w:rsidP="00A70C15">
            <w:pPr>
              <w:jc w:val="center"/>
              <w:rPr>
                <w:szCs w:val="24"/>
              </w:rPr>
            </w:pPr>
            <w:r w:rsidRPr="00814D00">
              <w:rPr>
                <w:szCs w:val="24"/>
              </w:rPr>
              <w:t>2011/</w:t>
            </w:r>
          </w:p>
          <w:p w:rsidR="00AD26D7" w:rsidRPr="00814D00" w:rsidRDefault="00AD26D7" w:rsidP="00A70C15">
            <w:pPr>
              <w:jc w:val="center"/>
              <w:rPr>
                <w:szCs w:val="24"/>
              </w:rPr>
            </w:pPr>
            <w:r w:rsidRPr="00814D00">
              <w:rPr>
                <w:szCs w:val="24"/>
              </w:rPr>
              <w:t>2010</w:t>
            </w:r>
          </w:p>
        </w:tc>
      </w:tr>
      <w:tr w:rsidR="00AD26D7" w:rsidRPr="00814D00" w:rsidTr="00A70C15">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b/>
                <w:bCs/>
                <w:szCs w:val="24"/>
              </w:rPr>
            </w:pPr>
            <w:r w:rsidRPr="00814D00">
              <w:rPr>
                <w:b/>
                <w:bCs/>
                <w:szCs w:val="24"/>
              </w:rPr>
              <w:t>4.</w:t>
            </w:r>
          </w:p>
        </w:tc>
        <w:tc>
          <w:tcPr>
            <w:tcW w:w="3785" w:type="dxa"/>
            <w:tcBorders>
              <w:top w:val="nil"/>
              <w:left w:val="nil"/>
              <w:bottom w:val="nil"/>
              <w:right w:val="nil"/>
            </w:tcBorders>
            <w:shd w:val="clear" w:color="auto" w:fill="auto"/>
            <w:noWrap/>
            <w:vAlign w:val="center"/>
            <w:hideMark/>
          </w:tcPr>
          <w:p w:rsidR="00AD26D7" w:rsidRPr="00814D00" w:rsidRDefault="00AD26D7" w:rsidP="00A70C15">
            <w:pPr>
              <w:jc w:val="center"/>
              <w:rPr>
                <w:b/>
                <w:bCs/>
                <w:szCs w:val="24"/>
              </w:rPr>
            </w:pPr>
            <w:r w:rsidRPr="00814D00">
              <w:rPr>
                <w:b/>
                <w:bCs/>
                <w:szCs w:val="24"/>
              </w:rPr>
              <w:t>Egyenleg</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AD26D7" w:rsidRPr="00814D00" w:rsidRDefault="00AD26D7" w:rsidP="00A70C15">
            <w:pPr>
              <w:jc w:val="center"/>
              <w:rPr>
                <w:szCs w:val="24"/>
              </w:rPr>
            </w:pPr>
            <w:r w:rsidRPr="00814D00">
              <w:rPr>
                <w:szCs w:val="24"/>
              </w:rPr>
              <w:t>-3 747</w:t>
            </w:r>
          </w:p>
        </w:tc>
        <w:tc>
          <w:tcPr>
            <w:tcW w:w="992" w:type="dxa"/>
            <w:tcBorders>
              <w:top w:val="nil"/>
              <w:left w:val="nil"/>
              <w:bottom w:val="single" w:sz="4" w:space="0" w:color="auto"/>
              <w:right w:val="single" w:sz="4" w:space="0" w:color="auto"/>
            </w:tcBorders>
            <w:shd w:val="clear" w:color="000000" w:fill="FFFFFF"/>
            <w:noWrap/>
            <w:vAlign w:val="center"/>
            <w:hideMark/>
          </w:tcPr>
          <w:p w:rsidR="00AD26D7" w:rsidRPr="00814D00" w:rsidRDefault="00AD26D7" w:rsidP="00A70C15">
            <w:pPr>
              <w:jc w:val="center"/>
              <w:rPr>
                <w:szCs w:val="24"/>
              </w:rPr>
            </w:pPr>
            <w:r w:rsidRPr="00814D00">
              <w:rPr>
                <w:szCs w:val="24"/>
              </w:rPr>
              <w:t>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center"/>
              <w:rPr>
                <w:b/>
                <w:bCs/>
                <w:szCs w:val="24"/>
              </w:rPr>
            </w:pPr>
            <w:r w:rsidRPr="00814D00">
              <w:rPr>
                <w:b/>
                <w:bCs/>
                <w:szCs w:val="24"/>
              </w:rPr>
              <w:t>-10 783</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center"/>
              <w:rPr>
                <w:b/>
                <w:bCs/>
                <w:szCs w:val="24"/>
              </w:rPr>
            </w:pPr>
            <w:r w:rsidRPr="00814D00">
              <w:rPr>
                <w:b/>
                <w:bCs/>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center"/>
              <w:rPr>
                <w:b/>
                <w:bCs/>
                <w:szCs w:val="24"/>
              </w:rPr>
            </w:pPr>
            <w:r w:rsidRPr="00814D00">
              <w:rPr>
                <w:b/>
                <w:bCs/>
                <w:szCs w:val="24"/>
              </w:rPr>
              <w:t> </w:t>
            </w:r>
          </w:p>
        </w:tc>
      </w:tr>
      <w:tr w:rsidR="00AD26D7" w:rsidRPr="00814D00" w:rsidTr="00A70C15">
        <w:trPr>
          <w:trHeight w:val="51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4.1</w:t>
            </w:r>
          </w:p>
        </w:tc>
        <w:tc>
          <w:tcPr>
            <w:tcW w:w="3785" w:type="dxa"/>
            <w:tcBorders>
              <w:top w:val="single" w:sz="4" w:space="0" w:color="auto"/>
              <w:left w:val="nil"/>
              <w:bottom w:val="single" w:sz="4" w:space="0" w:color="auto"/>
              <w:right w:val="single" w:sz="4" w:space="0" w:color="auto"/>
            </w:tcBorders>
            <w:shd w:val="clear" w:color="auto" w:fill="auto"/>
            <w:vAlign w:val="center"/>
            <w:hideMark/>
          </w:tcPr>
          <w:p w:rsidR="00AD26D7" w:rsidRPr="00814D00" w:rsidRDefault="00AD26D7" w:rsidP="00A70C15">
            <w:pPr>
              <w:rPr>
                <w:b/>
                <w:bCs/>
                <w:szCs w:val="24"/>
              </w:rPr>
            </w:pPr>
            <w:r w:rsidRPr="00814D00">
              <w:rPr>
                <w:b/>
                <w:bCs/>
                <w:szCs w:val="24"/>
              </w:rPr>
              <w:t>Közvetlen változó költségek össz</w:t>
            </w:r>
            <w:r w:rsidRPr="00814D00">
              <w:rPr>
                <w:b/>
                <w:bCs/>
                <w:szCs w:val="24"/>
              </w:rPr>
              <w:t>e</w:t>
            </w:r>
            <w:r w:rsidRPr="00814D00">
              <w:rPr>
                <w:b/>
                <w:bCs/>
                <w:szCs w:val="24"/>
              </w:rPr>
              <w:t>sen: (4.1.1+4.1.2+4.1.3+4.1.4)</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b/>
                <w:bCs/>
                <w:szCs w:val="24"/>
              </w:rPr>
            </w:pPr>
            <w:r w:rsidRPr="00814D00">
              <w:rPr>
                <w:b/>
                <w:bCs/>
                <w:szCs w:val="24"/>
              </w:rPr>
              <w:t>174 129</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b/>
                <w:bCs/>
                <w:szCs w:val="24"/>
              </w:rPr>
            </w:pPr>
            <w:r w:rsidRPr="00814D00">
              <w:rPr>
                <w:b/>
                <w:bCs/>
                <w:szCs w:val="24"/>
              </w:rPr>
              <w:t>172 168</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123 308</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b/>
                <w:bCs/>
                <w:szCs w:val="24"/>
              </w:rPr>
            </w:pPr>
            <w:r w:rsidRPr="00814D00">
              <w:rPr>
                <w:b/>
                <w:bCs/>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b/>
                <w:bCs/>
                <w:szCs w:val="24"/>
              </w:rPr>
            </w:pPr>
            <w:r w:rsidRPr="00814D00">
              <w:rPr>
                <w:b/>
                <w:bCs/>
                <w:szCs w:val="24"/>
              </w:rPr>
              <w:t>71%</w:t>
            </w:r>
          </w:p>
        </w:tc>
      </w:tr>
      <w:tr w:rsidR="00AD26D7" w:rsidRPr="00814D00" w:rsidTr="00A70C15">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4.1.1</w:t>
            </w:r>
          </w:p>
        </w:tc>
        <w:tc>
          <w:tcPr>
            <w:tcW w:w="3785" w:type="dxa"/>
            <w:tcBorders>
              <w:top w:val="nil"/>
              <w:left w:val="nil"/>
              <w:bottom w:val="single" w:sz="4" w:space="0" w:color="auto"/>
              <w:right w:val="single" w:sz="4" w:space="0" w:color="auto"/>
            </w:tcBorders>
            <w:shd w:val="clear" w:color="auto" w:fill="auto"/>
            <w:vAlign w:val="center"/>
            <w:hideMark/>
          </w:tcPr>
          <w:p w:rsidR="00AD26D7" w:rsidRDefault="00AD26D7" w:rsidP="00A70C15">
            <w:pPr>
              <w:rPr>
                <w:szCs w:val="24"/>
              </w:rPr>
            </w:pPr>
            <w:r w:rsidRPr="00814D00">
              <w:rPr>
                <w:szCs w:val="24"/>
              </w:rPr>
              <w:t xml:space="preserve">Fővárosi Esélyegyenlőségi </w:t>
            </w:r>
          </w:p>
          <w:p w:rsidR="00AD26D7" w:rsidRPr="00814D00" w:rsidRDefault="00AD26D7" w:rsidP="00A70C15">
            <w:pPr>
              <w:rPr>
                <w:szCs w:val="24"/>
              </w:rPr>
            </w:pPr>
            <w:r w:rsidRPr="00814D00">
              <w:rPr>
                <w:szCs w:val="24"/>
              </w:rPr>
              <w:t>Közfeladatok</w:t>
            </w:r>
          </w:p>
        </w:tc>
        <w:tc>
          <w:tcPr>
            <w:tcW w:w="992"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jc w:val="right"/>
              <w:rPr>
                <w:szCs w:val="24"/>
              </w:rPr>
            </w:pPr>
            <w:r w:rsidRPr="00814D00">
              <w:rPr>
                <w:szCs w:val="24"/>
              </w:rPr>
              <w:t>16 116</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16 000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szCs w:val="24"/>
              </w:rPr>
            </w:pPr>
            <w:r w:rsidRPr="00814D00">
              <w:rPr>
                <w:szCs w:val="24"/>
              </w:rPr>
              <w:t>15 969</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99%</w:t>
            </w:r>
          </w:p>
        </w:tc>
      </w:tr>
      <w:tr w:rsidR="00AD26D7" w:rsidRPr="00814D00" w:rsidTr="00A70C15">
        <w:trPr>
          <w:trHeight w:val="51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4.1.2</w:t>
            </w:r>
          </w:p>
        </w:tc>
        <w:tc>
          <w:tcPr>
            <w:tcW w:w="3785" w:type="dxa"/>
            <w:tcBorders>
              <w:top w:val="nil"/>
              <w:left w:val="nil"/>
              <w:bottom w:val="single" w:sz="4" w:space="0" w:color="auto"/>
              <w:right w:val="single" w:sz="4" w:space="0" w:color="auto"/>
            </w:tcBorders>
            <w:shd w:val="clear" w:color="auto" w:fill="auto"/>
            <w:vAlign w:val="center"/>
            <w:hideMark/>
          </w:tcPr>
          <w:p w:rsidR="00AD26D7" w:rsidRDefault="00AD26D7" w:rsidP="00A70C15">
            <w:pPr>
              <w:rPr>
                <w:szCs w:val="24"/>
              </w:rPr>
            </w:pPr>
            <w:r w:rsidRPr="00814D00">
              <w:rPr>
                <w:szCs w:val="24"/>
              </w:rPr>
              <w:t xml:space="preserve">Foglalkoztatás fejlesztő </w:t>
            </w:r>
          </w:p>
          <w:p w:rsidR="00AD26D7" w:rsidRPr="00814D00" w:rsidRDefault="00AD26D7" w:rsidP="00A70C15">
            <w:pPr>
              <w:rPr>
                <w:szCs w:val="24"/>
              </w:rPr>
            </w:pPr>
            <w:r w:rsidRPr="00814D00">
              <w:rPr>
                <w:szCs w:val="24"/>
              </w:rPr>
              <w:t>közszolgáltatások</w:t>
            </w:r>
          </w:p>
        </w:tc>
        <w:tc>
          <w:tcPr>
            <w:tcW w:w="992"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jc w:val="right"/>
              <w:rPr>
                <w:szCs w:val="24"/>
              </w:rPr>
            </w:pPr>
            <w:r w:rsidRPr="00814D00">
              <w:rPr>
                <w:szCs w:val="24"/>
              </w:rPr>
              <w:t>24 871</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16 195</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szCs w:val="24"/>
              </w:rPr>
            </w:pPr>
            <w:r w:rsidRPr="00814D00">
              <w:rPr>
                <w:szCs w:val="24"/>
              </w:rPr>
              <w:t>16 077</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65%</w:t>
            </w:r>
          </w:p>
        </w:tc>
      </w:tr>
      <w:tr w:rsidR="00AD26D7" w:rsidRPr="00814D00" w:rsidTr="00A70C15">
        <w:trPr>
          <w:trHeight w:val="51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4.1.3</w:t>
            </w:r>
          </w:p>
        </w:tc>
        <w:tc>
          <w:tcPr>
            <w:tcW w:w="3785" w:type="dxa"/>
            <w:tcBorders>
              <w:top w:val="nil"/>
              <w:left w:val="nil"/>
              <w:bottom w:val="single" w:sz="4" w:space="0" w:color="auto"/>
              <w:right w:val="single" w:sz="4" w:space="0" w:color="auto"/>
            </w:tcBorders>
            <w:shd w:val="clear" w:color="auto" w:fill="auto"/>
            <w:vAlign w:val="center"/>
            <w:hideMark/>
          </w:tcPr>
          <w:p w:rsidR="00AD26D7" w:rsidRDefault="00AD26D7" w:rsidP="00A70C15">
            <w:pPr>
              <w:rPr>
                <w:szCs w:val="24"/>
              </w:rPr>
            </w:pPr>
            <w:r w:rsidRPr="00814D00">
              <w:rPr>
                <w:b/>
                <w:bCs/>
                <w:szCs w:val="24"/>
              </w:rPr>
              <w:t>ROMA-NET program</w:t>
            </w:r>
            <w:r w:rsidRPr="00814D00">
              <w:rPr>
                <w:szCs w:val="24"/>
              </w:rPr>
              <w:t xml:space="preserve"> </w:t>
            </w:r>
          </w:p>
          <w:p w:rsidR="00AD26D7" w:rsidRPr="00814D00" w:rsidRDefault="00AD26D7" w:rsidP="00A70C15">
            <w:pPr>
              <w:rPr>
                <w:b/>
                <w:bCs/>
                <w:szCs w:val="24"/>
              </w:rPr>
            </w:pPr>
            <w:r w:rsidRPr="00814D00">
              <w:rPr>
                <w:szCs w:val="24"/>
              </w:rPr>
              <w:t>(2010-ben még vállalkozás)</w:t>
            </w:r>
          </w:p>
        </w:tc>
        <w:tc>
          <w:tcPr>
            <w:tcW w:w="992"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jc w:val="right"/>
              <w:rPr>
                <w:szCs w:val="24"/>
              </w:rPr>
            </w:pPr>
            <w:r w:rsidRPr="00814D00">
              <w:rPr>
                <w:szCs w:val="24"/>
              </w:rPr>
              <w:t>520</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b/>
                <w:bCs/>
                <w:szCs w:val="24"/>
              </w:rPr>
            </w:pPr>
            <w:r w:rsidRPr="00814D00">
              <w:rPr>
                <w:b/>
                <w:bCs/>
                <w:szCs w:val="24"/>
              </w:rPr>
              <w:t>2 700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szCs w:val="24"/>
              </w:rPr>
            </w:pPr>
            <w:r w:rsidRPr="00814D00">
              <w:rPr>
                <w:szCs w:val="24"/>
              </w:rPr>
              <w:t>2 700</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519%</w:t>
            </w:r>
          </w:p>
        </w:tc>
      </w:tr>
      <w:tr w:rsidR="00AD26D7" w:rsidRPr="00814D00" w:rsidTr="00A70C15">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4.1.4</w:t>
            </w:r>
          </w:p>
        </w:tc>
        <w:tc>
          <w:tcPr>
            <w:tcW w:w="3785"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rPr>
                <w:szCs w:val="24"/>
              </w:rPr>
            </w:pPr>
            <w:r w:rsidRPr="00814D00">
              <w:rPr>
                <w:szCs w:val="24"/>
              </w:rPr>
              <w:t>EU-s és egyéb pályázatok kiadása</w:t>
            </w:r>
          </w:p>
        </w:tc>
        <w:tc>
          <w:tcPr>
            <w:tcW w:w="992"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jc w:val="right"/>
              <w:rPr>
                <w:szCs w:val="24"/>
              </w:rPr>
            </w:pPr>
            <w:r w:rsidRPr="00814D00">
              <w:rPr>
                <w:szCs w:val="24"/>
              </w:rPr>
              <w:t>132 622</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137 273</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szCs w:val="24"/>
              </w:rPr>
            </w:pPr>
            <w:r w:rsidRPr="00814D00">
              <w:rPr>
                <w:szCs w:val="24"/>
              </w:rPr>
              <w:t>88 562</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67%</w:t>
            </w:r>
          </w:p>
        </w:tc>
      </w:tr>
      <w:tr w:rsidR="00AD26D7" w:rsidRPr="00814D00" w:rsidTr="00A70C15">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4.2</w:t>
            </w:r>
          </w:p>
        </w:tc>
        <w:tc>
          <w:tcPr>
            <w:tcW w:w="3785"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jc w:val="right"/>
              <w:rPr>
                <w:szCs w:val="24"/>
              </w:rPr>
            </w:pPr>
            <w:r w:rsidRPr="00814D00">
              <w:rPr>
                <w:szCs w:val="24"/>
              </w:rPr>
              <w:t>Pályázati és Egyéb bevételek</w:t>
            </w:r>
          </w:p>
        </w:tc>
        <w:tc>
          <w:tcPr>
            <w:tcW w:w="992"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jc w:val="right"/>
              <w:rPr>
                <w:szCs w:val="24"/>
              </w:rPr>
            </w:pPr>
            <w:r w:rsidRPr="00814D00">
              <w:rPr>
                <w:szCs w:val="24"/>
              </w:rPr>
              <w:t>132 622</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137 273</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szCs w:val="24"/>
              </w:rPr>
            </w:pPr>
            <w:r w:rsidRPr="00814D00">
              <w:rPr>
                <w:szCs w:val="24"/>
              </w:rPr>
              <w:t>78 543</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59%</w:t>
            </w:r>
          </w:p>
        </w:tc>
      </w:tr>
      <w:tr w:rsidR="00AD26D7" w:rsidRPr="00814D00" w:rsidTr="00A70C15">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4.3</w:t>
            </w:r>
          </w:p>
        </w:tc>
        <w:tc>
          <w:tcPr>
            <w:tcW w:w="3785"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jc w:val="right"/>
              <w:rPr>
                <w:szCs w:val="24"/>
              </w:rPr>
            </w:pPr>
            <w:r w:rsidRPr="00814D00">
              <w:rPr>
                <w:szCs w:val="24"/>
              </w:rPr>
              <w:t>Egyéb Tevékenység Nyeresége</w:t>
            </w:r>
          </w:p>
        </w:tc>
        <w:tc>
          <w:tcPr>
            <w:tcW w:w="992"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jc w:val="right"/>
              <w:rPr>
                <w:szCs w:val="24"/>
              </w:rPr>
            </w:pPr>
            <w:r w:rsidRPr="00814D00">
              <w:rPr>
                <w:szCs w:val="24"/>
              </w:rPr>
              <w:t>1 297</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7 748</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2D0A2B" w:rsidRDefault="00AD26D7" w:rsidP="00A70C15">
            <w:pPr>
              <w:jc w:val="right"/>
              <w:rPr>
                <w:b/>
                <w:bCs/>
                <w:szCs w:val="24"/>
              </w:rPr>
            </w:pPr>
            <w:r w:rsidRPr="002D0A2B">
              <w:rPr>
                <w:b/>
                <w:bCs/>
                <w:szCs w:val="24"/>
              </w:rPr>
              <w:t>3 229</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Pr>
                <w:szCs w:val="24"/>
              </w:rPr>
              <w:t>249%</w:t>
            </w:r>
            <w:r w:rsidRPr="00814D00">
              <w:rPr>
                <w:szCs w:val="24"/>
              </w:rPr>
              <w:t> </w:t>
            </w:r>
          </w:p>
        </w:tc>
      </w:tr>
      <w:tr w:rsidR="00AD26D7" w:rsidRPr="00814D00" w:rsidTr="00A70C15">
        <w:trPr>
          <w:trHeight w:val="51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4.4</w:t>
            </w:r>
          </w:p>
        </w:tc>
        <w:tc>
          <w:tcPr>
            <w:tcW w:w="3785" w:type="dxa"/>
            <w:tcBorders>
              <w:top w:val="nil"/>
              <w:left w:val="nil"/>
              <w:bottom w:val="single" w:sz="4" w:space="0" w:color="auto"/>
              <w:right w:val="single" w:sz="4" w:space="0" w:color="auto"/>
            </w:tcBorders>
            <w:shd w:val="clear" w:color="000000" w:fill="FFFF00"/>
            <w:vAlign w:val="center"/>
            <w:hideMark/>
          </w:tcPr>
          <w:p w:rsidR="00AD26D7" w:rsidRPr="00814D00" w:rsidRDefault="00AD26D7" w:rsidP="00A70C15">
            <w:pPr>
              <w:rPr>
                <w:b/>
                <w:bCs/>
                <w:szCs w:val="24"/>
              </w:rPr>
            </w:pPr>
            <w:proofErr w:type="spellStart"/>
            <w:r w:rsidRPr="00814D00">
              <w:rPr>
                <w:b/>
                <w:bCs/>
                <w:szCs w:val="24"/>
              </w:rPr>
              <w:t>Szolg</w:t>
            </w:r>
            <w:proofErr w:type="spellEnd"/>
            <w:r w:rsidRPr="00814D00">
              <w:rPr>
                <w:b/>
                <w:bCs/>
                <w:szCs w:val="24"/>
              </w:rPr>
              <w:t xml:space="preserve">. ROMA-NET </w:t>
            </w:r>
            <w:r w:rsidRPr="00814D00">
              <w:rPr>
                <w:szCs w:val="24"/>
              </w:rPr>
              <w:t>(2010-ben még vállalkozás)</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657</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2 700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2 700</w:t>
            </w:r>
          </w:p>
        </w:tc>
        <w:tc>
          <w:tcPr>
            <w:tcW w:w="1276"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2 700</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b/>
                <w:bCs/>
                <w:szCs w:val="24"/>
              </w:rPr>
            </w:pPr>
            <w:r w:rsidRPr="00814D00">
              <w:rPr>
                <w:b/>
                <w:bCs/>
                <w:szCs w:val="24"/>
              </w:rPr>
              <w:t>411%</w:t>
            </w:r>
          </w:p>
        </w:tc>
      </w:tr>
      <w:tr w:rsidR="00AD26D7" w:rsidRPr="00814D00" w:rsidTr="00A70C15">
        <w:trPr>
          <w:trHeight w:val="51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4.5</w:t>
            </w:r>
          </w:p>
        </w:tc>
        <w:tc>
          <w:tcPr>
            <w:tcW w:w="3785" w:type="dxa"/>
            <w:tcBorders>
              <w:top w:val="nil"/>
              <w:left w:val="nil"/>
              <w:bottom w:val="single" w:sz="4" w:space="0" w:color="auto"/>
              <w:right w:val="single" w:sz="4" w:space="0" w:color="auto"/>
            </w:tcBorders>
            <w:shd w:val="clear" w:color="000000" w:fill="FFFF00"/>
            <w:vAlign w:val="center"/>
            <w:hideMark/>
          </w:tcPr>
          <w:p w:rsidR="00AD26D7" w:rsidRPr="00814D00" w:rsidRDefault="00AD26D7" w:rsidP="00A70C15">
            <w:pPr>
              <w:rPr>
                <w:b/>
                <w:bCs/>
                <w:szCs w:val="24"/>
              </w:rPr>
            </w:pPr>
            <w:r w:rsidRPr="00814D00">
              <w:rPr>
                <w:b/>
                <w:bCs/>
                <w:szCs w:val="24"/>
              </w:rPr>
              <w:t>Szolgáltatási támogatás (4.1-4.2-4.3-4.4)</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47 900</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24 447</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24 447</w:t>
            </w:r>
          </w:p>
        </w:tc>
        <w:tc>
          <w:tcPr>
            <w:tcW w:w="1276"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38 836</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b/>
                <w:bCs/>
                <w:szCs w:val="24"/>
              </w:rPr>
            </w:pPr>
            <w:r w:rsidRPr="00814D00">
              <w:rPr>
                <w:b/>
                <w:bCs/>
                <w:szCs w:val="24"/>
              </w:rPr>
              <w:t>81%</w:t>
            </w:r>
          </w:p>
        </w:tc>
      </w:tr>
      <w:tr w:rsidR="00AD26D7" w:rsidRPr="00814D00" w:rsidTr="00A70C15">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4.6</w:t>
            </w:r>
          </w:p>
        </w:tc>
        <w:tc>
          <w:tcPr>
            <w:tcW w:w="3785"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rPr>
                <w:szCs w:val="24"/>
              </w:rPr>
            </w:pPr>
            <w:r w:rsidRPr="00814D00">
              <w:rPr>
                <w:szCs w:val="24"/>
              </w:rPr>
              <w:t>Felosztott központi általános költség</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37 765</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32 919</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szCs w:val="24"/>
              </w:rPr>
            </w:pPr>
            <w:r w:rsidRPr="00814D00">
              <w:rPr>
                <w:szCs w:val="24"/>
              </w:rPr>
              <w:t>29 312</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78%</w:t>
            </w:r>
          </w:p>
        </w:tc>
      </w:tr>
      <w:tr w:rsidR="00AD26D7" w:rsidRPr="00814D00" w:rsidTr="00A70C15">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4.7</w:t>
            </w:r>
          </w:p>
        </w:tc>
        <w:tc>
          <w:tcPr>
            <w:tcW w:w="3785" w:type="dxa"/>
            <w:tcBorders>
              <w:top w:val="nil"/>
              <w:left w:val="nil"/>
              <w:bottom w:val="single" w:sz="4" w:space="0" w:color="auto"/>
              <w:right w:val="single" w:sz="4" w:space="0" w:color="auto"/>
            </w:tcBorders>
            <w:shd w:val="clear" w:color="auto" w:fill="auto"/>
            <w:vAlign w:val="center"/>
            <w:hideMark/>
          </w:tcPr>
          <w:p w:rsidR="00AD26D7" w:rsidRPr="00814D00" w:rsidRDefault="00AD26D7" w:rsidP="00A70C15">
            <w:pPr>
              <w:jc w:val="right"/>
              <w:rPr>
                <w:szCs w:val="24"/>
              </w:rPr>
            </w:pPr>
            <w:r w:rsidRPr="00814D00">
              <w:rPr>
                <w:szCs w:val="24"/>
              </w:rPr>
              <w:t>Egyéb tevékenység nyeresége</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szCs w:val="24"/>
              </w:rPr>
            </w:pPr>
            <w:r w:rsidRPr="00814D00">
              <w:rPr>
                <w:szCs w:val="24"/>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szCs w:val="24"/>
              </w:rPr>
            </w:pPr>
            <w:r w:rsidRPr="00814D0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color w:val="FF0000"/>
                <w:szCs w:val="24"/>
              </w:rPr>
            </w:pPr>
            <w:r w:rsidRPr="00814D00">
              <w:rPr>
                <w:color w:val="FF0000"/>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color w:val="FF0000"/>
                <w:szCs w:val="24"/>
              </w:rPr>
            </w:pPr>
            <w:r w:rsidRPr="00814D00">
              <w:rPr>
                <w:color w:val="FF0000"/>
                <w:szCs w:val="24"/>
              </w:rPr>
              <w:t> </w:t>
            </w:r>
          </w:p>
        </w:tc>
      </w:tr>
      <w:tr w:rsidR="00AD26D7" w:rsidRPr="00814D00" w:rsidTr="00A70C15">
        <w:trPr>
          <w:trHeight w:val="315"/>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rsidR="00AD26D7" w:rsidRPr="00814D00" w:rsidRDefault="00AD26D7" w:rsidP="00A70C15">
            <w:pPr>
              <w:rPr>
                <w:szCs w:val="24"/>
              </w:rPr>
            </w:pPr>
            <w:r w:rsidRPr="00814D00">
              <w:rPr>
                <w:szCs w:val="24"/>
              </w:rPr>
              <w:t>4.8</w:t>
            </w:r>
          </w:p>
        </w:tc>
        <w:tc>
          <w:tcPr>
            <w:tcW w:w="3785" w:type="dxa"/>
            <w:tcBorders>
              <w:top w:val="nil"/>
              <w:left w:val="nil"/>
              <w:bottom w:val="single" w:sz="4" w:space="0" w:color="auto"/>
              <w:right w:val="single" w:sz="4" w:space="0" w:color="auto"/>
            </w:tcBorders>
            <w:shd w:val="clear" w:color="000000" w:fill="FFFF00"/>
            <w:vAlign w:val="center"/>
            <w:hideMark/>
          </w:tcPr>
          <w:p w:rsidR="00AD26D7" w:rsidRPr="00814D00" w:rsidRDefault="00AD26D7" w:rsidP="00A70C15">
            <w:pPr>
              <w:rPr>
                <w:b/>
                <w:bCs/>
                <w:szCs w:val="24"/>
              </w:rPr>
            </w:pPr>
            <w:r w:rsidRPr="00814D00">
              <w:rPr>
                <w:b/>
                <w:bCs/>
                <w:szCs w:val="24"/>
              </w:rPr>
              <w:t>Működési támogatás (4.6-4.7)</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25 671</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32 919</w:t>
            </w:r>
          </w:p>
        </w:tc>
        <w:tc>
          <w:tcPr>
            <w:tcW w:w="992"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32 919</w:t>
            </w:r>
          </w:p>
        </w:tc>
        <w:tc>
          <w:tcPr>
            <w:tcW w:w="1276" w:type="dxa"/>
            <w:tcBorders>
              <w:top w:val="nil"/>
              <w:left w:val="nil"/>
              <w:bottom w:val="single" w:sz="4" w:space="0" w:color="auto"/>
              <w:right w:val="single" w:sz="4" w:space="0" w:color="auto"/>
            </w:tcBorders>
            <w:shd w:val="clear" w:color="000000" w:fill="FFFF00"/>
            <w:noWrap/>
            <w:vAlign w:val="center"/>
            <w:hideMark/>
          </w:tcPr>
          <w:p w:rsidR="00AD26D7" w:rsidRPr="00814D00" w:rsidRDefault="00AD26D7" w:rsidP="00A70C15">
            <w:pPr>
              <w:jc w:val="right"/>
              <w:rPr>
                <w:b/>
                <w:bCs/>
                <w:szCs w:val="24"/>
              </w:rPr>
            </w:pPr>
            <w:r w:rsidRPr="00814D00">
              <w:rPr>
                <w:b/>
                <w:bCs/>
                <w:szCs w:val="24"/>
              </w:rPr>
              <w:t>29 312</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b/>
                <w:bCs/>
                <w:szCs w:val="24"/>
              </w:rPr>
            </w:pPr>
            <w:r w:rsidRPr="00814D00">
              <w:rPr>
                <w:b/>
                <w:bCs/>
                <w:szCs w:val="24"/>
              </w:rPr>
              <w:t>114%</w:t>
            </w:r>
          </w:p>
        </w:tc>
      </w:tr>
      <w:tr w:rsidR="00AD26D7" w:rsidRPr="00814D00" w:rsidTr="00A70C15">
        <w:trPr>
          <w:trHeight w:val="315"/>
        </w:trPr>
        <w:tc>
          <w:tcPr>
            <w:tcW w:w="620" w:type="dxa"/>
            <w:tcBorders>
              <w:top w:val="nil"/>
              <w:left w:val="single" w:sz="8" w:space="0" w:color="auto"/>
              <w:bottom w:val="single" w:sz="8" w:space="0" w:color="auto"/>
              <w:right w:val="single" w:sz="4" w:space="0" w:color="auto"/>
            </w:tcBorders>
            <w:shd w:val="clear" w:color="000000" w:fill="D7E4BC"/>
            <w:noWrap/>
            <w:vAlign w:val="center"/>
            <w:hideMark/>
          </w:tcPr>
          <w:p w:rsidR="00AD26D7" w:rsidRPr="00814D00" w:rsidRDefault="00AD26D7" w:rsidP="00A70C15">
            <w:pPr>
              <w:rPr>
                <w:szCs w:val="24"/>
              </w:rPr>
            </w:pPr>
            <w:r w:rsidRPr="00814D00">
              <w:rPr>
                <w:szCs w:val="24"/>
              </w:rPr>
              <w:t>4.9</w:t>
            </w:r>
          </w:p>
        </w:tc>
        <w:tc>
          <w:tcPr>
            <w:tcW w:w="3785" w:type="dxa"/>
            <w:tcBorders>
              <w:top w:val="single" w:sz="8" w:space="0" w:color="auto"/>
              <w:left w:val="nil"/>
              <w:bottom w:val="single" w:sz="8" w:space="0" w:color="auto"/>
              <w:right w:val="single" w:sz="4" w:space="0" w:color="auto"/>
            </w:tcBorders>
            <w:shd w:val="clear" w:color="000000" w:fill="D7E4BC"/>
            <w:vAlign w:val="center"/>
            <w:hideMark/>
          </w:tcPr>
          <w:p w:rsidR="00AD26D7" w:rsidRPr="00814D00" w:rsidRDefault="00AD26D7" w:rsidP="00A70C15">
            <w:pPr>
              <w:rPr>
                <w:b/>
                <w:bCs/>
                <w:szCs w:val="24"/>
              </w:rPr>
            </w:pPr>
            <w:r w:rsidRPr="00814D00">
              <w:rPr>
                <w:b/>
                <w:bCs/>
                <w:szCs w:val="24"/>
              </w:rPr>
              <w:t>Kompenzáció összesen: (4.4+4.5+4.8)</w:t>
            </w:r>
          </w:p>
        </w:tc>
        <w:tc>
          <w:tcPr>
            <w:tcW w:w="992"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814D00" w:rsidRDefault="00AD26D7" w:rsidP="00A70C15">
            <w:pPr>
              <w:jc w:val="right"/>
              <w:rPr>
                <w:b/>
                <w:bCs/>
                <w:szCs w:val="24"/>
              </w:rPr>
            </w:pPr>
            <w:r w:rsidRPr="00814D00">
              <w:rPr>
                <w:b/>
                <w:bCs/>
                <w:szCs w:val="24"/>
              </w:rPr>
              <w:t>74 228</w:t>
            </w:r>
          </w:p>
        </w:tc>
        <w:tc>
          <w:tcPr>
            <w:tcW w:w="992"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814D00" w:rsidRDefault="00AD26D7" w:rsidP="00A70C15">
            <w:pPr>
              <w:jc w:val="right"/>
              <w:rPr>
                <w:b/>
                <w:bCs/>
                <w:szCs w:val="24"/>
              </w:rPr>
            </w:pPr>
            <w:r w:rsidRPr="00814D00">
              <w:rPr>
                <w:b/>
                <w:bCs/>
                <w:szCs w:val="24"/>
              </w:rPr>
              <w:t>60 066</w:t>
            </w:r>
          </w:p>
        </w:tc>
        <w:tc>
          <w:tcPr>
            <w:tcW w:w="992"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814D00" w:rsidRDefault="00AD26D7" w:rsidP="00A70C15">
            <w:pPr>
              <w:jc w:val="right"/>
              <w:rPr>
                <w:b/>
                <w:bCs/>
                <w:szCs w:val="24"/>
              </w:rPr>
            </w:pPr>
            <w:r w:rsidRPr="00814D00">
              <w:rPr>
                <w:b/>
                <w:bCs/>
                <w:szCs w:val="24"/>
              </w:rPr>
              <w:t>60 066</w:t>
            </w:r>
          </w:p>
        </w:tc>
        <w:tc>
          <w:tcPr>
            <w:tcW w:w="1276" w:type="dxa"/>
            <w:tcBorders>
              <w:top w:val="single" w:sz="8" w:space="0" w:color="auto"/>
              <w:left w:val="nil"/>
              <w:bottom w:val="single" w:sz="8" w:space="0" w:color="auto"/>
              <w:right w:val="single" w:sz="4" w:space="0" w:color="auto"/>
            </w:tcBorders>
            <w:shd w:val="clear" w:color="000000" w:fill="D7E4BC"/>
            <w:noWrap/>
            <w:vAlign w:val="center"/>
            <w:hideMark/>
          </w:tcPr>
          <w:p w:rsidR="00AD26D7" w:rsidRPr="00814D00" w:rsidRDefault="00AD26D7" w:rsidP="00A70C15">
            <w:pPr>
              <w:jc w:val="right"/>
              <w:rPr>
                <w:b/>
                <w:bCs/>
                <w:szCs w:val="24"/>
              </w:rPr>
            </w:pPr>
            <w:r w:rsidRPr="00814D00">
              <w:rPr>
                <w:b/>
                <w:bCs/>
                <w:szCs w:val="24"/>
              </w:rPr>
              <w:t>70 849</w:t>
            </w:r>
          </w:p>
        </w:tc>
        <w:tc>
          <w:tcPr>
            <w:tcW w:w="851" w:type="dxa"/>
            <w:tcBorders>
              <w:top w:val="nil"/>
              <w:left w:val="nil"/>
              <w:bottom w:val="single" w:sz="4" w:space="0" w:color="auto"/>
              <w:right w:val="single" w:sz="4" w:space="0" w:color="auto"/>
            </w:tcBorders>
            <w:shd w:val="clear" w:color="auto" w:fill="auto"/>
            <w:noWrap/>
            <w:vAlign w:val="center"/>
            <w:hideMark/>
          </w:tcPr>
          <w:p w:rsidR="00AD26D7" w:rsidRPr="00814D00" w:rsidRDefault="00AD26D7" w:rsidP="00A70C15">
            <w:pPr>
              <w:jc w:val="right"/>
              <w:rPr>
                <w:b/>
                <w:bCs/>
                <w:szCs w:val="24"/>
              </w:rPr>
            </w:pPr>
            <w:r w:rsidRPr="00814D00">
              <w:rPr>
                <w:b/>
                <w:bCs/>
                <w:szCs w:val="24"/>
              </w:rPr>
              <w:t>95%</w:t>
            </w:r>
          </w:p>
        </w:tc>
      </w:tr>
    </w:tbl>
    <w:p w:rsidR="00AD26D7" w:rsidRPr="003A4CE1" w:rsidRDefault="00AD26D7" w:rsidP="00AD26D7">
      <w:pPr>
        <w:pStyle w:val="StlusCmsor311pt"/>
      </w:pPr>
      <w:bookmarkStart w:id="120" w:name="_Toc320784666"/>
      <w:r>
        <w:t>Kompenzáció korrekció számítása</w:t>
      </w:r>
      <w:bookmarkEnd w:id="120"/>
    </w:p>
    <w:p w:rsidR="00AD26D7" w:rsidRDefault="00AD26D7" w:rsidP="00AD26D7">
      <w:pPr>
        <w:pStyle w:val="Szvegtrzs2"/>
      </w:pPr>
      <w:r>
        <w:t>A T</w:t>
      </w:r>
      <w:r w:rsidRPr="003A4CE1">
        <w:t xml:space="preserve">ársaság </w:t>
      </w:r>
      <w:r>
        <w:t xml:space="preserve">a Fővárosi Önkormányzat számára végzett közfeladatait 2010-ben 293.109 </w:t>
      </w:r>
      <w:proofErr w:type="spellStart"/>
      <w:r>
        <w:t>eFt</w:t>
      </w:r>
      <w:proofErr w:type="spellEnd"/>
      <w:r>
        <w:t xml:space="preserve"> kiadással zárta. A Fővárosi Önkormányzat jogos kompenzációja 122.317 ezer Ft, a költs</w:t>
      </w:r>
      <w:r>
        <w:t>é</w:t>
      </w:r>
      <w:r>
        <w:t>geknek 42%-</w:t>
      </w:r>
      <w:proofErr w:type="gramStart"/>
      <w:r>
        <w:t>a.</w:t>
      </w:r>
      <w:proofErr w:type="gramEnd"/>
      <w:r>
        <w:t xml:space="preserve"> A KMRMK támogatása </w:t>
      </w:r>
      <w:r w:rsidRPr="008662CC">
        <w:t xml:space="preserve">72.575 ezer Ft </w:t>
      </w:r>
      <w:r>
        <w:t>(29%), az EU-s és egyéb pályázati támogatások 78.543 ezer Ft (27%), egyéb bevételek pedig 8.120 ezer Ft mértékben, fedezék a költségeket.</w:t>
      </w:r>
    </w:p>
    <w:p w:rsidR="00AD26D7" w:rsidRDefault="00AD26D7" w:rsidP="00AD26D7">
      <w:pPr>
        <w:pStyle w:val="Szvegtrzs2"/>
        <w:rPr>
          <w:b/>
        </w:rPr>
      </w:pPr>
      <w:r>
        <w:rPr>
          <w:b/>
        </w:rPr>
        <w:t>A 2011. évre a társaság jogos kompenzációja 122.317 ezer Ft + 1.534 ezer Ft ÁFA.</w:t>
      </w:r>
    </w:p>
    <w:p w:rsidR="00AD26D7" w:rsidRPr="00956029" w:rsidRDefault="00AD26D7" w:rsidP="00AD26D7">
      <w:pPr>
        <w:pStyle w:val="Szvegtrzs2"/>
      </w:pPr>
      <w:r w:rsidRPr="009E7D25">
        <w:rPr>
          <w:b/>
        </w:rPr>
        <w:t>Az év végéig átutalt (tény) kompenzáció 108.925 ezer Ft +1.534 ezer Ft ÁFA</w:t>
      </w:r>
      <w:r>
        <w:rPr>
          <w:b/>
        </w:rPr>
        <w:t xml:space="preserve">. Azaz a kompenzáció korrekció 13.392 ezer Ft. Az év végén </w:t>
      </w:r>
      <w:r w:rsidRPr="009E7D25">
        <w:rPr>
          <w:b/>
        </w:rPr>
        <w:t xml:space="preserve">elhatárolásra került </w:t>
      </w:r>
      <w:r>
        <w:rPr>
          <w:b/>
        </w:rPr>
        <w:t xml:space="preserve">8.984 ezer Ft, a hátralék ezzel csökken: 4.408 ezer Ft-ra. </w:t>
      </w:r>
      <w:r w:rsidRPr="00956029">
        <w:t>A 2011. évi módosított közszolgáltatási sze</w:t>
      </w:r>
      <w:r w:rsidRPr="00956029">
        <w:t>r</w:t>
      </w:r>
      <w:r w:rsidRPr="00956029">
        <w:t>ződés szerinti előirányzott kompenzáció 118.240 ezer Ft</w:t>
      </w:r>
      <w:r>
        <w:t xml:space="preserve">, a </w:t>
      </w:r>
      <w:r w:rsidRPr="00956029">
        <w:t xml:space="preserve">122.317 ezer Ft </w:t>
      </w:r>
      <w:r>
        <w:t>összeggel sze</w:t>
      </w:r>
      <w:r>
        <w:t>m</w:t>
      </w:r>
      <w:r>
        <w:t xml:space="preserve">ben. </w:t>
      </w:r>
    </w:p>
    <w:p w:rsidR="00AD26D7" w:rsidRDefault="00AD26D7" w:rsidP="00AD26D7">
      <w:pPr>
        <w:pStyle w:val="Szvegtrzs"/>
        <w:numPr>
          <w:ilvl w:val="0"/>
          <w:numId w:val="5"/>
        </w:numPr>
        <w:ind w:left="1276" w:hanging="323"/>
      </w:pPr>
      <w:r>
        <w:t>számú ábra: A Fővárosi összes támogatás aránya a közszolgáltatásban</w:t>
      </w:r>
    </w:p>
    <w:p w:rsidR="00AD26D7" w:rsidRPr="00DA48A9" w:rsidRDefault="00AD26D7" w:rsidP="00AD26D7">
      <w:pPr>
        <w:pStyle w:val="Szvegtrzs2"/>
        <w:rPr>
          <w:highlight w:val="yellow"/>
        </w:rPr>
      </w:pPr>
    </w:p>
    <w:tbl>
      <w:tblPr>
        <w:tblW w:w="9004" w:type="dxa"/>
        <w:tblInd w:w="496" w:type="dxa"/>
        <w:tblCellMar>
          <w:left w:w="70" w:type="dxa"/>
          <w:right w:w="70" w:type="dxa"/>
        </w:tblCellMar>
        <w:tblLook w:val="04A0"/>
      </w:tblPr>
      <w:tblGrid>
        <w:gridCol w:w="3969"/>
        <w:gridCol w:w="1275"/>
        <w:gridCol w:w="1276"/>
        <w:gridCol w:w="1304"/>
        <w:gridCol w:w="1180"/>
      </w:tblGrid>
      <w:tr w:rsidR="00AD26D7" w:rsidRPr="002B5BB7" w:rsidTr="00A70C15">
        <w:trPr>
          <w:trHeight w:val="750"/>
        </w:trPr>
        <w:tc>
          <w:tcPr>
            <w:tcW w:w="3969" w:type="dxa"/>
            <w:tcBorders>
              <w:top w:val="single" w:sz="8" w:space="0" w:color="auto"/>
              <w:left w:val="single" w:sz="8" w:space="0" w:color="auto"/>
              <w:bottom w:val="single" w:sz="8" w:space="0" w:color="auto"/>
              <w:right w:val="single" w:sz="4" w:space="0" w:color="auto"/>
            </w:tcBorders>
            <w:shd w:val="clear" w:color="000000" w:fill="FCD5B4"/>
            <w:vAlign w:val="center"/>
            <w:hideMark/>
          </w:tcPr>
          <w:p w:rsidR="00AD26D7" w:rsidRPr="002B5BB7" w:rsidRDefault="00AD26D7" w:rsidP="00A70C15">
            <w:pPr>
              <w:rPr>
                <w:b/>
                <w:bCs/>
                <w:color w:val="000000"/>
                <w:szCs w:val="24"/>
              </w:rPr>
            </w:pPr>
            <w:r w:rsidRPr="002B5BB7">
              <w:rPr>
                <w:b/>
                <w:bCs/>
                <w:color w:val="000000"/>
                <w:szCs w:val="24"/>
              </w:rPr>
              <w:t>Közszolgáltatások összesen</w:t>
            </w:r>
          </w:p>
        </w:tc>
        <w:tc>
          <w:tcPr>
            <w:tcW w:w="1275" w:type="dxa"/>
            <w:tcBorders>
              <w:top w:val="single" w:sz="8" w:space="0" w:color="auto"/>
              <w:left w:val="nil"/>
              <w:bottom w:val="single" w:sz="4" w:space="0" w:color="auto"/>
              <w:right w:val="single" w:sz="4" w:space="0" w:color="auto"/>
            </w:tcBorders>
            <w:shd w:val="clear" w:color="000000" w:fill="FCD5B4"/>
            <w:vAlign w:val="center"/>
            <w:hideMark/>
          </w:tcPr>
          <w:p w:rsidR="00AD26D7" w:rsidRPr="002B5BB7" w:rsidRDefault="00AD26D7" w:rsidP="00A70C15">
            <w:pPr>
              <w:jc w:val="center"/>
              <w:rPr>
                <w:b/>
                <w:bCs/>
                <w:color w:val="000000"/>
                <w:szCs w:val="24"/>
              </w:rPr>
            </w:pPr>
            <w:r w:rsidRPr="002B5BB7">
              <w:rPr>
                <w:b/>
                <w:bCs/>
                <w:color w:val="000000"/>
                <w:szCs w:val="24"/>
              </w:rPr>
              <w:t xml:space="preserve">2010. </w:t>
            </w:r>
            <w:proofErr w:type="gramStart"/>
            <w:r w:rsidRPr="002B5BB7">
              <w:rPr>
                <w:b/>
                <w:bCs/>
                <w:color w:val="000000"/>
                <w:szCs w:val="24"/>
              </w:rPr>
              <w:t>tény        (</w:t>
            </w:r>
            <w:proofErr w:type="spellStart"/>
            <w:proofErr w:type="gramEnd"/>
            <w:r w:rsidRPr="002B5BB7">
              <w:rPr>
                <w:b/>
                <w:bCs/>
                <w:color w:val="000000"/>
                <w:szCs w:val="24"/>
              </w:rPr>
              <w:t>eFt</w:t>
            </w:r>
            <w:proofErr w:type="spellEnd"/>
            <w:r w:rsidRPr="002B5BB7">
              <w:rPr>
                <w:b/>
                <w:bCs/>
                <w:color w:val="000000"/>
                <w:szCs w:val="24"/>
              </w:rPr>
              <w:t>)</w:t>
            </w:r>
          </w:p>
        </w:tc>
        <w:tc>
          <w:tcPr>
            <w:tcW w:w="1276" w:type="dxa"/>
            <w:tcBorders>
              <w:top w:val="single" w:sz="8" w:space="0" w:color="auto"/>
              <w:left w:val="nil"/>
              <w:bottom w:val="single" w:sz="4" w:space="0" w:color="auto"/>
              <w:right w:val="single" w:sz="4" w:space="0" w:color="auto"/>
            </w:tcBorders>
            <w:shd w:val="clear" w:color="000000" w:fill="FCD5B4"/>
            <w:vAlign w:val="center"/>
            <w:hideMark/>
          </w:tcPr>
          <w:p w:rsidR="00AD26D7" w:rsidRPr="002B5BB7" w:rsidRDefault="00AD26D7" w:rsidP="00A70C15">
            <w:pPr>
              <w:jc w:val="center"/>
              <w:rPr>
                <w:b/>
                <w:bCs/>
                <w:color w:val="000000"/>
                <w:szCs w:val="24"/>
              </w:rPr>
            </w:pPr>
            <w:r w:rsidRPr="002B5BB7">
              <w:rPr>
                <w:b/>
                <w:bCs/>
                <w:color w:val="000000"/>
                <w:szCs w:val="24"/>
              </w:rPr>
              <w:t xml:space="preserve">2011. </w:t>
            </w:r>
            <w:proofErr w:type="gramStart"/>
            <w:r w:rsidRPr="002B5BB7">
              <w:rPr>
                <w:b/>
                <w:bCs/>
                <w:color w:val="000000"/>
                <w:szCs w:val="24"/>
              </w:rPr>
              <w:t>terv        (</w:t>
            </w:r>
            <w:proofErr w:type="spellStart"/>
            <w:proofErr w:type="gramEnd"/>
            <w:r w:rsidRPr="002B5BB7">
              <w:rPr>
                <w:b/>
                <w:bCs/>
                <w:color w:val="000000"/>
                <w:szCs w:val="24"/>
              </w:rPr>
              <w:t>eFt</w:t>
            </w:r>
            <w:proofErr w:type="spellEnd"/>
            <w:r w:rsidRPr="002B5BB7">
              <w:rPr>
                <w:b/>
                <w:bCs/>
                <w:color w:val="000000"/>
                <w:szCs w:val="24"/>
              </w:rPr>
              <w:t>)</w:t>
            </w:r>
          </w:p>
        </w:tc>
        <w:tc>
          <w:tcPr>
            <w:tcW w:w="1304" w:type="dxa"/>
            <w:tcBorders>
              <w:top w:val="single" w:sz="8" w:space="0" w:color="auto"/>
              <w:left w:val="nil"/>
              <w:bottom w:val="single" w:sz="4" w:space="0" w:color="auto"/>
              <w:right w:val="single" w:sz="4" w:space="0" w:color="auto"/>
            </w:tcBorders>
            <w:shd w:val="clear" w:color="000000" w:fill="FCD5B4"/>
            <w:vAlign w:val="center"/>
            <w:hideMark/>
          </w:tcPr>
          <w:p w:rsidR="00AD26D7" w:rsidRPr="002B5BB7" w:rsidRDefault="00AD26D7" w:rsidP="00A70C15">
            <w:pPr>
              <w:jc w:val="center"/>
              <w:rPr>
                <w:b/>
                <w:bCs/>
                <w:color w:val="000000"/>
                <w:szCs w:val="24"/>
              </w:rPr>
            </w:pPr>
            <w:r w:rsidRPr="002B5BB7">
              <w:rPr>
                <w:b/>
                <w:bCs/>
                <w:color w:val="000000"/>
                <w:szCs w:val="24"/>
              </w:rPr>
              <w:t xml:space="preserve">2011. </w:t>
            </w:r>
            <w:proofErr w:type="gramStart"/>
            <w:r w:rsidRPr="002B5BB7">
              <w:rPr>
                <w:b/>
                <w:bCs/>
                <w:color w:val="000000"/>
                <w:szCs w:val="24"/>
              </w:rPr>
              <w:t>tény         (</w:t>
            </w:r>
            <w:proofErr w:type="spellStart"/>
            <w:proofErr w:type="gramEnd"/>
            <w:r w:rsidRPr="002B5BB7">
              <w:rPr>
                <w:b/>
                <w:bCs/>
                <w:color w:val="000000"/>
                <w:szCs w:val="24"/>
              </w:rPr>
              <w:t>eFt</w:t>
            </w:r>
            <w:proofErr w:type="spellEnd"/>
            <w:r w:rsidRPr="002B5BB7">
              <w:rPr>
                <w:b/>
                <w:bCs/>
                <w:color w:val="000000"/>
                <w:szCs w:val="24"/>
              </w:rPr>
              <w:t>)</w:t>
            </w:r>
          </w:p>
        </w:tc>
        <w:tc>
          <w:tcPr>
            <w:tcW w:w="1180" w:type="dxa"/>
            <w:tcBorders>
              <w:top w:val="single" w:sz="8" w:space="0" w:color="auto"/>
              <w:left w:val="nil"/>
              <w:bottom w:val="single" w:sz="4" w:space="0" w:color="auto"/>
              <w:right w:val="single" w:sz="8" w:space="0" w:color="auto"/>
            </w:tcBorders>
            <w:shd w:val="clear" w:color="000000" w:fill="FCD5B4"/>
            <w:vAlign w:val="center"/>
            <w:hideMark/>
          </w:tcPr>
          <w:p w:rsidR="00AD26D7" w:rsidRPr="002B5BB7" w:rsidRDefault="00AD26D7" w:rsidP="00A70C15">
            <w:pPr>
              <w:jc w:val="center"/>
              <w:rPr>
                <w:b/>
                <w:bCs/>
                <w:color w:val="000000"/>
                <w:szCs w:val="24"/>
              </w:rPr>
            </w:pPr>
            <w:r w:rsidRPr="002B5BB7">
              <w:rPr>
                <w:b/>
                <w:bCs/>
                <w:color w:val="000000"/>
                <w:szCs w:val="24"/>
              </w:rPr>
              <w:t>2011/2010           (%)</w:t>
            </w:r>
          </w:p>
        </w:tc>
      </w:tr>
      <w:tr w:rsidR="00AD26D7" w:rsidRPr="002B5BB7" w:rsidTr="00A70C15">
        <w:trPr>
          <w:trHeight w:val="300"/>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AD26D7" w:rsidRPr="002B5BB7" w:rsidRDefault="00AD26D7" w:rsidP="00A70C15">
            <w:pPr>
              <w:rPr>
                <w:b/>
                <w:bCs/>
                <w:szCs w:val="24"/>
              </w:rPr>
            </w:pPr>
            <w:r w:rsidRPr="002B5BB7">
              <w:rPr>
                <w:b/>
                <w:bCs/>
                <w:szCs w:val="24"/>
              </w:rPr>
              <w:t>Költségek összesen:</w:t>
            </w:r>
          </w:p>
        </w:tc>
        <w:tc>
          <w:tcPr>
            <w:tcW w:w="1275"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b/>
                <w:bCs/>
                <w:szCs w:val="24"/>
              </w:rPr>
            </w:pPr>
            <w:r w:rsidRPr="002B5BB7">
              <w:rPr>
                <w:b/>
                <w:bCs/>
                <w:szCs w:val="24"/>
              </w:rPr>
              <w:t>442 378</w:t>
            </w:r>
          </w:p>
        </w:tc>
        <w:tc>
          <w:tcPr>
            <w:tcW w:w="1276"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b/>
                <w:bCs/>
                <w:szCs w:val="24"/>
              </w:rPr>
            </w:pPr>
            <w:r w:rsidRPr="002B5BB7">
              <w:rPr>
                <w:b/>
                <w:bCs/>
                <w:szCs w:val="24"/>
              </w:rPr>
              <w:t>369 440</w:t>
            </w:r>
          </w:p>
        </w:tc>
        <w:tc>
          <w:tcPr>
            <w:tcW w:w="1304"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b/>
                <w:bCs/>
                <w:szCs w:val="24"/>
              </w:rPr>
            </w:pPr>
            <w:r w:rsidRPr="002B5BB7">
              <w:rPr>
                <w:b/>
                <w:bCs/>
                <w:szCs w:val="24"/>
              </w:rPr>
              <w:t>293 109</w:t>
            </w:r>
          </w:p>
        </w:tc>
        <w:tc>
          <w:tcPr>
            <w:tcW w:w="1180" w:type="dxa"/>
            <w:tcBorders>
              <w:top w:val="nil"/>
              <w:left w:val="nil"/>
              <w:bottom w:val="single" w:sz="4" w:space="0" w:color="auto"/>
              <w:right w:val="single" w:sz="8" w:space="0" w:color="auto"/>
            </w:tcBorders>
            <w:shd w:val="clear" w:color="auto" w:fill="auto"/>
            <w:vAlign w:val="center"/>
            <w:hideMark/>
          </w:tcPr>
          <w:p w:rsidR="00AD26D7" w:rsidRPr="002B5BB7" w:rsidRDefault="00AD26D7" w:rsidP="00A70C15">
            <w:pPr>
              <w:jc w:val="center"/>
              <w:rPr>
                <w:b/>
                <w:bCs/>
                <w:szCs w:val="24"/>
              </w:rPr>
            </w:pPr>
            <w:r w:rsidRPr="002B5BB7">
              <w:rPr>
                <w:b/>
                <w:bCs/>
                <w:szCs w:val="24"/>
              </w:rPr>
              <w:t>66%</w:t>
            </w:r>
          </w:p>
        </w:tc>
      </w:tr>
      <w:tr w:rsidR="00AD26D7" w:rsidRPr="002B5BB7" w:rsidTr="00A70C15">
        <w:trPr>
          <w:trHeight w:val="300"/>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AD26D7" w:rsidRPr="002B5BB7" w:rsidRDefault="00AD26D7" w:rsidP="00A70C15">
            <w:pPr>
              <w:rPr>
                <w:b/>
                <w:bCs/>
                <w:szCs w:val="24"/>
              </w:rPr>
            </w:pPr>
            <w:r w:rsidRPr="002B5BB7">
              <w:rPr>
                <w:b/>
                <w:bCs/>
                <w:szCs w:val="24"/>
              </w:rPr>
              <w:t>Egyéb bevételek összesen:</w:t>
            </w:r>
          </w:p>
        </w:tc>
        <w:tc>
          <w:tcPr>
            <w:tcW w:w="1275"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b/>
                <w:bCs/>
                <w:szCs w:val="24"/>
              </w:rPr>
            </w:pPr>
            <w:r w:rsidRPr="002B5BB7">
              <w:rPr>
                <w:b/>
                <w:bCs/>
                <w:szCs w:val="24"/>
              </w:rPr>
              <w:t>298 451</w:t>
            </w:r>
          </w:p>
        </w:tc>
        <w:tc>
          <w:tcPr>
            <w:tcW w:w="1276"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b/>
                <w:bCs/>
                <w:szCs w:val="24"/>
              </w:rPr>
            </w:pPr>
            <w:r w:rsidRPr="002B5BB7">
              <w:rPr>
                <w:b/>
                <w:bCs/>
                <w:szCs w:val="24"/>
              </w:rPr>
              <w:t>251 200</w:t>
            </w:r>
          </w:p>
        </w:tc>
        <w:tc>
          <w:tcPr>
            <w:tcW w:w="1304"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b/>
                <w:bCs/>
                <w:szCs w:val="24"/>
              </w:rPr>
            </w:pPr>
            <w:r w:rsidRPr="002B5BB7">
              <w:rPr>
                <w:b/>
                <w:bCs/>
                <w:szCs w:val="24"/>
              </w:rPr>
              <w:t>170 792</w:t>
            </w:r>
          </w:p>
        </w:tc>
        <w:tc>
          <w:tcPr>
            <w:tcW w:w="1180" w:type="dxa"/>
            <w:tcBorders>
              <w:top w:val="nil"/>
              <w:left w:val="nil"/>
              <w:bottom w:val="single" w:sz="4" w:space="0" w:color="auto"/>
              <w:right w:val="single" w:sz="8" w:space="0" w:color="auto"/>
            </w:tcBorders>
            <w:shd w:val="clear" w:color="auto" w:fill="auto"/>
            <w:vAlign w:val="center"/>
            <w:hideMark/>
          </w:tcPr>
          <w:p w:rsidR="00AD26D7" w:rsidRPr="002B5BB7" w:rsidRDefault="00AD26D7" w:rsidP="00A70C15">
            <w:pPr>
              <w:jc w:val="center"/>
              <w:rPr>
                <w:b/>
                <w:bCs/>
                <w:color w:val="000000"/>
                <w:szCs w:val="24"/>
              </w:rPr>
            </w:pPr>
            <w:r w:rsidRPr="002B5BB7">
              <w:rPr>
                <w:b/>
                <w:bCs/>
                <w:color w:val="000000"/>
                <w:szCs w:val="24"/>
              </w:rPr>
              <w:t>57%</w:t>
            </w:r>
          </w:p>
        </w:tc>
      </w:tr>
      <w:tr w:rsidR="00AD26D7" w:rsidRPr="002B5BB7" w:rsidTr="00A70C15">
        <w:trPr>
          <w:trHeight w:val="300"/>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AD26D7" w:rsidRPr="002B5BB7" w:rsidRDefault="00AD26D7" w:rsidP="00A70C15">
            <w:pPr>
              <w:ind w:firstLineChars="200" w:firstLine="480"/>
              <w:rPr>
                <w:color w:val="000000"/>
                <w:szCs w:val="24"/>
              </w:rPr>
            </w:pPr>
            <w:r w:rsidRPr="002B5BB7">
              <w:rPr>
                <w:color w:val="000000"/>
                <w:szCs w:val="24"/>
              </w:rPr>
              <w:lastRenderedPageBreak/>
              <w:t>KMRMK támogatás</w:t>
            </w:r>
          </w:p>
        </w:tc>
        <w:tc>
          <w:tcPr>
            <w:tcW w:w="1275"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color w:val="000000"/>
                <w:szCs w:val="24"/>
              </w:rPr>
            </w:pPr>
            <w:r w:rsidRPr="002B5BB7">
              <w:rPr>
                <w:color w:val="000000"/>
                <w:szCs w:val="24"/>
              </w:rPr>
              <w:t>148 035</w:t>
            </w:r>
          </w:p>
        </w:tc>
        <w:tc>
          <w:tcPr>
            <w:tcW w:w="1276"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color w:val="000000"/>
                <w:szCs w:val="24"/>
              </w:rPr>
            </w:pPr>
            <w:r w:rsidRPr="002B5BB7">
              <w:rPr>
                <w:color w:val="000000"/>
                <w:szCs w:val="24"/>
              </w:rPr>
              <w:t>92 273</w:t>
            </w:r>
          </w:p>
        </w:tc>
        <w:tc>
          <w:tcPr>
            <w:tcW w:w="1304"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color w:val="000000"/>
                <w:szCs w:val="24"/>
              </w:rPr>
            </w:pPr>
            <w:r w:rsidRPr="002B5BB7">
              <w:rPr>
                <w:color w:val="000000"/>
                <w:szCs w:val="24"/>
              </w:rPr>
              <w:t>84 129</w:t>
            </w:r>
          </w:p>
        </w:tc>
        <w:tc>
          <w:tcPr>
            <w:tcW w:w="1180" w:type="dxa"/>
            <w:tcBorders>
              <w:top w:val="nil"/>
              <w:left w:val="nil"/>
              <w:bottom w:val="single" w:sz="4" w:space="0" w:color="auto"/>
              <w:right w:val="single" w:sz="8" w:space="0" w:color="auto"/>
            </w:tcBorders>
            <w:shd w:val="clear" w:color="auto" w:fill="auto"/>
            <w:vAlign w:val="center"/>
            <w:hideMark/>
          </w:tcPr>
          <w:p w:rsidR="00AD26D7" w:rsidRPr="002B5BB7" w:rsidRDefault="00AD26D7" w:rsidP="00A70C15">
            <w:pPr>
              <w:jc w:val="center"/>
              <w:rPr>
                <w:b/>
                <w:bCs/>
                <w:szCs w:val="24"/>
              </w:rPr>
            </w:pPr>
            <w:r w:rsidRPr="002B5BB7">
              <w:rPr>
                <w:b/>
                <w:bCs/>
                <w:szCs w:val="24"/>
              </w:rPr>
              <w:t>57%</w:t>
            </w:r>
          </w:p>
        </w:tc>
      </w:tr>
      <w:tr w:rsidR="00AD26D7" w:rsidRPr="002B5BB7" w:rsidTr="00A70C15">
        <w:trPr>
          <w:trHeight w:val="300"/>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AD26D7" w:rsidRPr="002B5BB7" w:rsidRDefault="00AD26D7" w:rsidP="00A70C15">
            <w:pPr>
              <w:ind w:firstLineChars="200" w:firstLine="480"/>
              <w:rPr>
                <w:color w:val="000000"/>
                <w:szCs w:val="24"/>
              </w:rPr>
            </w:pPr>
            <w:r w:rsidRPr="002B5BB7">
              <w:rPr>
                <w:color w:val="000000"/>
                <w:szCs w:val="24"/>
              </w:rPr>
              <w:t>EU-s és egyéb pályázatok</w:t>
            </w:r>
          </w:p>
        </w:tc>
        <w:tc>
          <w:tcPr>
            <w:tcW w:w="1275"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szCs w:val="24"/>
              </w:rPr>
            </w:pPr>
            <w:r w:rsidRPr="002B5BB7">
              <w:rPr>
                <w:szCs w:val="24"/>
              </w:rPr>
              <w:t>132 622</w:t>
            </w:r>
          </w:p>
        </w:tc>
        <w:tc>
          <w:tcPr>
            <w:tcW w:w="1276"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szCs w:val="24"/>
              </w:rPr>
            </w:pPr>
            <w:r w:rsidRPr="002B5BB7">
              <w:rPr>
                <w:szCs w:val="24"/>
              </w:rPr>
              <w:t>137 273</w:t>
            </w:r>
          </w:p>
        </w:tc>
        <w:tc>
          <w:tcPr>
            <w:tcW w:w="1304" w:type="dxa"/>
            <w:tcBorders>
              <w:top w:val="nil"/>
              <w:left w:val="nil"/>
              <w:bottom w:val="single" w:sz="4" w:space="0" w:color="auto"/>
              <w:right w:val="single" w:sz="4" w:space="0" w:color="auto"/>
            </w:tcBorders>
            <w:shd w:val="clear" w:color="auto" w:fill="auto"/>
            <w:vAlign w:val="center"/>
            <w:hideMark/>
          </w:tcPr>
          <w:p w:rsidR="00AD26D7" w:rsidRPr="002B5BB7" w:rsidRDefault="00AD26D7" w:rsidP="00A70C15">
            <w:pPr>
              <w:jc w:val="right"/>
              <w:rPr>
                <w:szCs w:val="24"/>
              </w:rPr>
            </w:pPr>
            <w:r w:rsidRPr="002B5BB7">
              <w:rPr>
                <w:szCs w:val="24"/>
              </w:rPr>
              <w:t>78 543</w:t>
            </w:r>
          </w:p>
        </w:tc>
        <w:tc>
          <w:tcPr>
            <w:tcW w:w="1180" w:type="dxa"/>
            <w:tcBorders>
              <w:top w:val="nil"/>
              <w:left w:val="nil"/>
              <w:bottom w:val="single" w:sz="4" w:space="0" w:color="auto"/>
              <w:right w:val="single" w:sz="8" w:space="0" w:color="auto"/>
            </w:tcBorders>
            <w:shd w:val="clear" w:color="auto" w:fill="auto"/>
            <w:vAlign w:val="center"/>
            <w:hideMark/>
          </w:tcPr>
          <w:p w:rsidR="00AD26D7" w:rsidRPr="002B5BB7" w:rsidRDefault="00AD26D7" w:rsidP="00A70C15">
            <w:pPr>
              <w:jc w:val="center"/>
              <w:rPr>
                <w:b/>
                <w:bCs/>
                <w:color w:val="000000"/>
                <w:szCs w:val="24"/>
              </w:rPr>
            </w:pPr>
            <w:r w:rsidRPr="002B5BB7">
              <w:rPr>
                <w:b/>
                <w:bCs/>
                <w:color w:val="000000"/>
                <w:szCs w:val="24"/>
              </w:rPr>
              <w:t>59%</w:t>
            </w:r>
          </w:p>
        </w:tc>
      </w:tr>
      <w:tr w:rsidR="00AD26D7" w:rsidRPr="002B5BB7" w:rsidTr="00A70C15">
        <w:trPr>
          <w:trHeight w:val="300"/>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AD26D7" w:rsidRPr="002B5BB7" w:rsidRDefault="00AD26D7" w:rsidP="00A70C15">
            <w:pPr>
              <w:ind w:firstLineChars="200" w:firstLine="480"/>
              <w:rPr>
                <w:color w:val="000000"/>
                <w:szCs w:val="24"/>
              </w:rPr>
            </w:pPr>
            <w:r w:rsidRPr="002B5BB7">
              <w:rPr>
                <w:color w:val="000000"/>
                <w:szCs w:val="24"/>
              </w:rPr>
              <w:t>Működési és egyéb bevételek</w:t>
            </w:r>
          </w:p>
        </w:tc>
        <w:tc>
          <w:tcPr>
            <w:tcW w:w="1275" w:type="dxa"/>
            <w:tcBorders>
              <w:top w:val="nil"/>
              <w:left w:val="nil"/>
              <w:bottom w:val="nil"/>
              <w:right w:val="single" w:sz="4" w:space="0" w:color="auto"/>
            </w:tcBorders>
            <w:shd w:val="clear" w:color="auto" w:fill="auto"/>
            <w:vAlign w:val="center"/>
            <w:hideMark/>
          </w:tcPr>
          <w:p w:rsidR="00AD26D7" w:rsidRPr="002B5BB7" w:rsidRDefault="00AD26D7" w:rsidP="00A70C15">
            <w:pPr>
              <w:jc w:val="right"/>
              <w:rPr>
                <w:szCs w:val="24"/>
              </w:rPr>
            </w:pPr>
            <w:r w:rsidRPr="002B5BB7">
              <w:rPr>
                <w:szCs w:val="24"/>
              </w:rPr>
              <w:t>13 285</w:t>
            </w:r>
          </w:p>
        </w:tc>
        <w:tc>
          <w:tcPr>
            <w:tcW w:w="1276" w:type="dxa"/>
            <w:tcBorders>
              <w:top w:val="nil"/>
              <w:left w:val="nil"/>
              <w:bottom w:val="nil"/>
              <w:right w:val="single" w:sz="4" w:space="0" w:color="auto"/>
            </w:tcBorders>
            <w:shd w:val="clear" w:color="auto" w:fill="auto"/>
            <w:vAlign w:val="center"/>
            <w:hideMark/>
          </w:tcPr>
          <w:p w:rsidR="00AD26D7" w:rsidRPr="002B5BB7" w:rsidRDefault="00AD26D7" w:rsidP="00A70C15">
            <w:pPr>
              <w:jc w:val="right"/>
              <w:rPr>
                <w:szCs w:val="24"/>
              </w:rPr>
            </w:pPr>
            <w:r w:rsidRPr="002B5BB7">
              <w:rPr>
                <w:szCs w:val="24"/>
              </w:rPr>
              <w:t>7 701</w:t>
            </w:r>
          </w:p>
        </w:tc>
        <w:tc>
          <w:tcPr>
            <w:tcW w:w="1304" w:type="dxa"/>
            <w:tcBorders>
              <w:top w:val="nil"/>
              <w:left w:val="nil"/>
              <w:bottom w:val="nil"/>
              <w:right w:val="single" w:sz="4" w:space="0" w:color="auto"/>
            </w:tcBorders>
            <w:shd w:val="clear" w:color="auto" w:fill="auto"/>
            <w:vAlign w:val="center"/>
            <w:hideMark/>
          </w:tcPr>
          <w:p w:rsidR="00AD26D7" w:rsidRPr="002B5BB7" w:rsidRDefault="00AD26D7" w:rsidP="00A70C15">
            <w:pPr>
              <w:jc w:val="right"/>
              <w:rPr>
                <w:szCs w:val="24"/>
              </w:rPr>
            </w:pPr>
            <w:r w:rsidRPr="002B5BB7">
              <w:rPr>
                <w:szCs w:val="24"/>
              </w:rPr>
              <w:t>3 885</w:t>
            </w:r>
          </w:p>
        </w:tc>
        <w:tc>
          <w:tcPr>
            <w:tcW w:w="1180" w:type="dxa"/>
            <w:tcBorders>
              <w:top w:val="nil"/>
              <w:left w:val="nil"/>
              <w:bottom w:val="single" w:sz="4" w:space="0" w:color="auto"/>
              <w:right w:val="single" w:sz="8" w:space="0" w:color="auto"/>
            </w:tcBorders>
            <w:shd w:val="clear" w:color="auto" w:fill="auto"/>
            <w:vAlign w:val="center"/>
            <w:hideMark/>
          </w:tcPr>
          <w:p w:rsidR="00AD26D7" w:rsidRPr="002B5BB7" w:rsidRDefault="00AD26D7" w:rsidP="00A70C15">
            <w:pPr>
              <w:jc w:val="center"/>
              <w:rPr>
                <w:b/>
                <w:bCs/>
                <w:szCs w:val="24"/>
              </w:rPr>
            </w:pPr>
            <w:r w:rsidRPr="002B5BB7">
              <w:rPr>
                <w:b/>
                <w:bCs/>
                <w:szCs w:val="24"/>
              </w:rPr>
              <w:t>29%</w:t>
            </w:r>
          </w:p>
        </w:tc>
      </w:tr>
      <w:tr w:rsidR="00AD26D7" w:rsidRPr="002B5BB7" w:rsidTr="00A70C15">
        <w:trPr>
          <w:trHeight w:val="315"/>
        </w:trPr>
        <w:tc>
          <w:tcPr>
            <w:tcW w:w="3969" w:type="dxa"/>
            <w:tcBorders>
              <w:top w:val="nil"/>
              <w:left w:val="single" w:sz="8" w:space="0" w:color="auto"/>
              <w:bottom w:val="single" w:sz="4" w:space="0" w:color="auto"/>
              <w:right w:val="single" w:sz="4" w:space="0" w:color="auto"/>
            </w:tcBorders>
            <w:shd w:val="clear" w:color="auto" w:fill="auto"/>
            <w:vAlign w:val="center"/>
            <w:hideMark/>
          </w:tcPr>
          <w:p w:rsidR="00AD26D7" w:rsidRPr="002B5BB7" w:rsidRDefault="00AD26D7" w:rsidP="00A70C15">
            <w:pPr>
              <w:rPr>
                <w:b/>
                <w:bCs/>
                <w:color w:val="000000"/>
                <w:szCs w:val="24"/>
              </w:rPr>
            </w:pPr>
            <w:r w:rsidRPr="002B5BB7">
              <w:rPr>
                <w:b/>
                <w:bCs/>
                <w:color w:val="000000"/>
                <w:szCs w:val="24"/>
              </w:rPr>
              <w:t>Egyéb tevékenység nyeresége</w:t>
            </w:r>
          </w:p>
        </w:tc>
        <w:tc>
          <w:tcPr>
            <w:tcW w:w="1275" w:type="dxa"/>
            <w:tcBorders>
              <w:top w:val="single" w:sz="4" w:space="0" w:color="auto"/>
              <w:left w:val="nil"/>
              <w:bottom w:val="nil"/>
              <w:right w:val="single" w:sz="4" w:space="0" w:color="auto"/>
            </w:tcBorders>
            <w:shd w:val="clear" w:color="auto" w:fill="auto"/>
            <w:vAlign w:val="center"/>
            <w:hideMark/>
          </w:tcPr>
          <w:p w:rsidR="00AD26D7" w:rsidRPr="002B5BB7" w:rsidRDefault="00AD26D7" w:rsidP="00A70C15">
            <w:pPr>
              <w:jc w:val="right"/>
              <w:rPr>
                <w:b/>
                <w:bCs/>
                <w:color w:val="000000"/>
                <w:szCs w:val="24"/>
              </w:rPr>
            </w:pPr>
            <w:r w:rsidRPr="002B5BB7">
              <w:rPr>
                <w:b/>
                <w:bCs/>
                <w:color w:val="000000"/>
                <w:szCs w:val="24"/>
              </w:rPr>
              <w:t>4 508</w:t>
            </w:r>
          </w:p>
        </w:tc>
        <w:tc>
          <w:tcPr>
            <w:tcW w:w="1276" w:type="dxa"/>
            <w:tcBorders>
              <w:top w:val="single" w:sz="4" w:space="0" w:color="auto"/>
              <w:left w:val="nil"/>
              <w:bottom w:val="nil"/>
              <w:right w:val="single" w:sz="4" w:space="0" w:color="auto"/>
            </w:tcBorders>
            <w:shd w:val="clear" w:color="auto" w:fill="auto"/>
            <w:vAlign w:val="center"/>
            <w:hideMark/>
          </w:tcPr>
          <w:p w:rsidR="00AD26D7" w:rsidRPr="002B5BB7" w:rsidRDefault="00AD26D7" w:rsidP="00A70C15">
            <w:pPr>
              <w:jc w:val="right"/>
              <w:rPr>
                <w:b/>
                <w:bCs/>
                <w:color w:val="000000"/>
                <w:szCs w:val="24"/>
              </w:rPr>
            </w:pPr>
            <w:r w:rsidRPr="002B5BB7">
              <w:rPr>
                <w:b/>
                <w:bCs/>
                <w:color w:val="000000"/>
                <w:szCs w:val="24"/>
              </w:rPr>
              <w:t>13 953</w:t>
            </w:r>
          </w:p>
        </w:tc>
        <w:tc>
          <w:tcPr>
            <w:tcW w:w="1304" w:type="dxa"/>
            <w:tcBorders>
              <w:top w:val="single" w:sz="4" w:space="0" w:color="auto"/>
              <w:left w:val="nil"/>
              <w:bottom w:val="nil"/>
              <w:right w:val="single" w:sz="4" w:space="0" w:color="auto"/>
            </w:tcBorders>
            <w:shd w:val="clear" w:color="auto" w:fill="auto"/>
            <w:vAlign w:val="center"/>
            <w:hideMark/>
          </w:tcPr>
          <w:p w:rsidR="00AD26D7" w:rsidRPr="002B5BB7" w:rsidRDefault="00AD26D7" w:rsidP="00A70C15">
            <w:pPr>
              <w:jc w:val="right"/>
              <w:rPr>
                <w:b/>
                <w:bCs/>
                <w:color w:val="000000"/>
                <w:szCs w:val="24"/>
              </w:rPr>
            </w:pPr>
            <w:r w:rsidRPr="002B5BB7">
              <w:rPr>
                <w:b/>
                <w:bCs/>
                <w:color w:val="000000"/>
                <w:szCs w:val="24"/>
              </w:rPr>
              <w:t>4 235</w:t>
            </w:r>
          </w:p>
        </w:tc>
        <w:tc>
          <w:tcPr>
            <w:tcW w:w="1180" w:type="dxa"/>
            <w:tcBorders>
              <w:top w:val="nil"/>
              <w:left w:val="nil"/>
              <w:bottom w:val="single" w:sz="4" w:space="0" w:color="auto"/>
              <w:right w:val="single" w:sz="8" w:space="0" w:color="auto"/>
            </w:tcBorders>
            <w:shd w:val="clear" w:color="auto" w:fill="auto"/>
            <w:vAlign w:val="center"/>
            <w:hideMark/>
          </w:tcPr>
          <w:p w:rsidR="00AD26D7" w:rsidRPr="002B5BB7" w:rsidRDefault="00AD26D7" w:rsidP="00A70C15">
            <w:pPr>
              <w:jc w:val="center"/>
              <w:rPr>
                <w:b/>
                <w:bCs/>
                <w:color w:val="000000"/>
                <w:szCs w:val="24"/>
              </w:rPr>
            </w:pPr>
            <w:r w:rsidRPr="002B5BB7">
              <w:rPr>
                <w:b/>
                <w:bCs/>
                <w:color w:val="000000"/>
                <w:szCs w:val="24"/>
              </w:rPr>
              <w:t>94%</w:t>
            </w:r>
          </w:p>
        </w:tc>
      </w:tr>
      <w:tr w:rsidR="00AD26D7" w:rsidRPr="002B5BB7" w:rsidTr="00A70C15">
        <w:trPr>
          <w:trHeight w:val="300"/>
        </w:trPr>
        <w:tc>
          <w:tcPr>
            <w:tcW w:w="3969" w:type="dxa"/>
            <w:tcBorders>
              <w:top w:val="single" w:sz="8" w:space="0" w:color="auto"/>
              <w:left w:val="single" w:sz="8" w:space="0" w:color="auto"/>
              <w:bottom w:val="single" w:sz="4" w:space="0" w:color="auto"/>
              <w:right w:val="single" w:sz="4" w:space="0" w:color="auto"/>
            </w:tcBorders>
            <w:shd w:val="clear" w:color="000000" w:fill="FFFF00"/>
            <w:vAlign w:val="center"/>
            <w:hideMark/>
          </w:tcPr>
          <w:p w:rsidR="00AD26D7" w:rsidRPr="002B5BB7" w:rsidRDefault="00AD26D7" w:rsidP="00A70C15">
            <w:pPr>
              <w:rPr>
                <w:b/>
                <w:bCs/>
                <w:szCs w:val="24"/>
              </w:rPr>
            </w:pPr>
            <w:r w:rsidRPr="002B5BB7">
              <w:rPr>
                <w:b/>
                <w:bCs/>
                <w:szCs w:val="24"/>
              </w:rPr>
              <w:t>Fővárosi előirányzott kompenzáció</w:t>
            </w:r>
          </w:p>
        </w:tc>
        <w:tc>
          <w:tcPr>
            <w:tcW w:w="1275" w:type="dxa"/>
            <w:tcBorders>
              <w:top w:val="single" w:sz="8" w:space="0" w:color="auto"/>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b/>
                <w:bCs/>
                <w:color w:val="000000"/>
                <w:szCs w:val="24"/>
              </w:rPr>
            </w:pPr>
            <w:r w:rsidRPr="002B5BB7">
              <w:rPr>
                <w:b/>
                <w:bCs/>
                <w:color w:val="000000"/>
                <w:szCs w:val="24"/>
              </w:rPr>
              <w:t>137 021</w:t>
            </w:r>
          </w:p>
        </w:tc>
        <w:tc>
          <w:tcPr>
            <w:tcW w:w="1276" w:type="dxa"/>
            <w:tcBorders>
              <w:top w:val="single" w:sz="8" w:space="0" w:color="auto"/>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b/>
                <w:bCs/>
                <w:color w:val="000000"/>
                <w:szCs w:val="24"/>
              </w:rPr>
            </w:pPr>
            <w:r w:rsidRPr="002B5BB7">
              <w:rPr>
                <w:b/>
                <w:bCs/>
                <w:color w:val="000000"/>
                <w:szCs w:val="24"/>
              </w:rPr>
              <w:t>118 2</w:t>
            </w:r>
            <w:r>
              <w:rPr>
                <w:b/>
                <w:bCs/>
                <w:color w:val="000000"/>
                <w:szCs w:val="24"/>
              </w:rPr>
              <w:t>40</w:t>
            </w:r>
          </w:p>
        </w:tc>
        <w:tc>
          <w:tcPr>
            <w:tcW w:w="1304" w:type="dxa"/>
            <w:tcBorders>
              <w:top w:val="single" w:sz="8" w:space="0" w:color="auto"/>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b/>
                <w:bCs/>
                <w:color w:val="000000"/>
                <w:szCs w:val="24"/>
              </w:rPr>
            </w:pPr>
            <w:r w:rsidRPr="002B5BB7">
              <w:rPr>
                <w:b/>
                <w:bCs/>
                <w:color w:val="000000"/>
                <w:szCs w:val="24"/>
              </w:rPr>
              <w:t>108 925</w:t>
            </w:r>
          </w:p>
        </w:tc>
        <w:tc>
          <w:tcPr>
            <w:tcW w:w="1180" w:type="dxa"/>
            <w:tcBorders>
              <w:top w:val="single" w:sz="8" w:space="0" w:color="auto"/>
              <w:left w:val="nil"/>
              <w:bottom w:val="single" w:sz="4" w:space="0" w:color="auto"/>
              <w:right w:val="single" w:sz="8" w:space="0" w:color="auto"/>
            </w:tcBorders>
            <w:shd w:val="clear" w:color="000000" w:fill="FFFF00"/>
            <w:vAlign w:val="center"/>
            <w:hideMark/>
          </w:tcPr>
          <w:p w:rsidR="00AD26D7" w:rsidRPr="002B5BB7" w:rsidRDefault="00AD26D7" w:rsidP="00A70C15">
            <w:pPr>
              <w:jc w:val="center"/>
              <w:rPr>
                <w:b/>
                <w:bCs/>
                <w:color w:val="000000"/>
                <w:szCs w:val="24"/>
              </w:rPr>
            </w:pPr>
            <w:r w:rsidRPr="002B5BB7">
              <w:rPr>
                <w:b/>
                <w:bCs/>
                <w:color w:val="000000"/>
                <w:szCs w:val="24"/>
              </w:rPr>
              <w:t>79%</w:t>
            </w:r>
          </w:p>
        </w:tc>
      </w:tr>
      <w:tr w:rsidR="00AD26D7" w:rsidRPr="002B5BB7" w:rsidTr="00A70C15">
        <w:trPr>
          <w:trHeight w:val="315"/>
        </w:trPr>
        <w:tc>
          <w:tcPr>
            <w:tcW w:w="3969" w:type="dxa"/>
            <w:tcBorders>
              <w:top w:val="nil"/>
              <w:left w:val="single" w:sz="8" w:space="0" w:color="auto"/>
              <w:bottom w:val="single" w:sz="8" w:space="0" w:color="auto"/>
              <w:right w:val="single" w:sz="4" w:space="0" w:color="auto"/>
            </w:tcBorders>
            <w:shd w:val="clear" w:color="000000" w:fill="FFFF00"/>
            <w:vAlign w:val="center"/>
            <w:hideMark/>
          </w:tcPr>
          <w:p w:rsidR="00AD26D7" w:rsidRPr="002B5BB7" w:rsidRDefault="00AD26D7" w:rsidP="00A70C15">
            <w:pPr>
              <w:rPr>
                <w:b/>
                <w:bCs/>
                <w:szCs w:val="24"/>
              </w:rPr>
            </w:pPr>
            <w:r w:rsidRPr="002B5BB7">
              <w:rPr>
                <w:b/>
                <w:bCs/>
                <w:szCs w:val="24"/>
              </w:rPr>
              <w:t>Fővárosi jogos kompenzáció</w:t>
            </w:r>
          </w:p>
        </w:tc>
        <w:tc>
          <w:tcPr>
            <w:tcW w:w="1275" w:type="dxa"/>
            <w:tcBorders>
              <w:top w:val="nil"/>
              <w:left w:val="nil"/>
              <w:bottom w:val="single" w:sz="8" w:space="0" w:color="auto"/>
              <w:right w:val="single" w:sz="4" w:space="0" w:color="auto"/>
            </w:tcBorders>
            <w:shd w:val="clear" w:color="000000" w:fill="FFFF00"/>
            <w:vAlign w:val="center"/>
            <w:hideMark/>
          </w:tcPr>
          <w:p w:rsidR="00AD26D7" w:rsidRPr="002B5BB7" w:rsidRDefault="00AD26D7" w:rsidP="00A70C15">
            <w:pPr>
              <w:jc w:val="right"/>
              <w:rPr>
                <w:b/>
                <w:bCs/>
                <w:color w:val="000000"/>
                <w:szCs w:val="24"/>
              </w:rPr>
            </w:pPr>
            <w:r w:rsidRPr="002B5BB7">
              <w:rPr>
                <w:b/>
                <w:bCs/>
                <w:color w:val="000000"/>
                <w:szCs w:val="24"/>
              </w:rPr>
              <w:t>137 021</w:t>
            </w:r>
          </w:p>
        </w:tc>
        <w:tc>
          <w:tcPr>
            <w:tcW w:w="1276" w:type="dxa"/>
            <w:tcBorders>
              <w:top w:val="nil"/>
              <w:left w:val="nil"/>
              <w:bottom w:val="single" w:sz="8" w:space="0" w:color="auto"/>
              <w:right w:val="single" w:sz="4" w:space="0" w:color="auto"/>
            </w:tcBorders>
            <w:shd w:val="clear" w:color="000000" w:fill="FFFF00"/>
            <w:vAlign w:val="center"/>
            <w:hideMark/>
          </w:tcPr>
          <w:p w:rsidR="00AD26D7" w:rsidRPr="002B5BB7" w:rsidRDefault="00AD26D7" w:rsidP="00A70C15">
            <w:pPr>
              <w:jc w:val="right"/>
              <w:rPr>
                <w:b/>
                <w:bCs/>
                <w:color w:val="000000"/>
                <w:szCs w:val="24"/>
              </w:rPr>
            </w:pPr>
            <w:r w:rsidRPr="002B5BB7">
              <w:rPr>
                <w:b/>
                <w:bCs/>
                <w:color w:val="000000"/>
                <w:szCs w:val="24"/>
              </w:rPr>
              <w:t> </w:t>
            </w:r>
          </w:p>
        </w:tc>
        <w:tc>
          <w:tcPr>
            <w:tcW w:w="1304" w:type="dxa"/>
            <w:tcBorders>
              <w:top w:val="nil"/>
              <w:left w:val="nil"/>
              <w:bottom w:val="single" w:sz="8" w:space="0" w:color="auto"/>
              <w:right w:val="single" w:sz="4" w:space="0" w:color="auto"/>
            </w:tcBorders>
            <w:shd w:val="clear" w:color="000000" w:fill="FFFF00"/>
            <w:vAlign w:val="center"/>
            <w:hideMark/>
          </w:tcPr>
          <w:p w:rsidR="00AD26D7" w:rsidRPr="002B5BB7" w:rsidRDefault="00AD26D7" w:rsidP="00A70C15">
            <w:pPr>
              <w:jc w:val="right"/>
              <w:rPr>
                <w:b/>
                <w:bCs/>
                <w:color w:val="000000"/>
                <w:szCs w:val="24"/>
              </w:rPr>
            </w:pPr>
            <w:r w:rsidRPr="002B5BB7">
              <w:rPr>
                <w:b/>
                <w:bCs/>
                <w:color w:val="000000"/>
                <w:szCs w:val="24"/>
              </w:rPr>
              <w:t>122 317</w:t>
            </w:r>
          </w:p>
        </w:tc>
        <w:tc>
          <w:tcPr>
            <w:tcW w:w="1180" w:type="dxa"/>
            <w:tcBorders>
              <w:top w:val="nil"/>
              <w:left w:val="nil"/>
              <w:bottom w:val="single" w:sz="8" w:space="0" w:color="auto"/>
              <w:right w:val="single" w:sz="8" w:space="0" w:color="auto"/>
            </w:tcBorders>
            <w:shd w:val="clear" w:color="000000" w:fill="FFFF00"/>
            <w:vAlign w:val="center"/>
            <w:hideMark/>
          </w:tcPr>
          <w:p w:rsidR="00AD26D7" w:rsidRPr="002B5BB7" w:rsidRDefault="00AD26D7" w:rsidP="00A70C15">
            <w:pPr>
              <w:jc w:val="center"/>
              <w:rPr>
                <w:b/>
                <w:bCs/>
                <w:color w:val="000000"/>
                <w:szCs w:val="24"/>
              </w:rPr>
            </w:pPr>
            <w:r w:rsidRPr="002B5BB7">
              <w:rPr>
                <w:b/>
                <w:bCs/>
                <w:color w:val="000000"/>
                <w:szCs w:val="24"/>
              </w:rPr>
              <w:t>89%</w:t>
            </w:r>
          </w:p>
        </w:tc>
      </w:tr>
      <w:tr w:rsidR="00AD26D7" w:rsidRPr="002B5BB7" w:rsidTr="00A70C15">
        <w:trPr>
          <w:trHeight w:val="285"/>
        </w:trPr>
        <w:tc>
          <w:tcPr>
            <w:tcW w:w="3969"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AD26D7" w:rsidRPr="002B5BB7" w:rsidRDefault="00AD26D7" w:rsidP="00A70C15">
            <w:pPr>
              <w:jc w:val="right"/>
              <w:rPr>
                <w:szCs w:val="24"/>
              </w:rPr>
            </w:pPr>
            <w:r w:rsidRPr="002B5BB7">
              <w:rPr>
                <w:szCs w:val="24"/>
              </w:rPr>
              <w:t xml:space="preserve">Ebből szolgáltatási </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color w:val="000000"/>
                <w:szCs w:val="24"/>
              </w:rPr>
            </w:pPr>
            <w:r w:rsidRPr="002B5BB7">
              <w:rPr>
                <w:color w:val="000000"/>
                <w:szCs w:val="24"/>
              </w:rPr>
              <w:t>82 253</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color w:val="000000"/>
                <w:szCs w:val="24"/>
              </w:rPr>
            </w:pPr>
            <w:r w:rsidRPr="002B5BB7">
              <w:rPr>
                <w:color w:val="000000"/>
                <w:szCs w:val="24"/>
              </w:rPr>
              <w:t>48 624</w:t>
            </w:r>
          </w:p>
        </w:tc>
        <w:tc>
          <w:tcPr>
            <w:tcW w:w="1304" w:type="dxa"/>
            <w:tcBorders>
              <w:top w:val="single" w:sz="4" w:space="0" w:color="auto"/>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color w:val="000000"/>
                <w:szCs w:val="24"/>
              </w:rPr>
            </w:pPr>
            <w:r w:rsidRPr="002B5BB7">
              <w:rPr>
                <w:color w:val="000000"/>
                <w:szCs w:val="24"/>
              </w:rPr>
              <w:t>63 879</w:t>
            </w:r>
          </w:p>
        </w:tc>
        <w:tc>
          <w:tcPr>
            <w:tcW w:w="1180" w:type="dxa"/>
            <w:tcBorders>
              <w:top w:val="single" w:sz="4" w:space="0" w:color="auto"/>
              <w:left w:val="nil"/>
              <w:bottom w:val="single" w:sz="4" w:space="0" w:color="auto"/>
              <w:right w:val="single" w:sz="8" w:space="0" w:color="auto"/>
            </w:tcBorders>
            <w:shd w:val="clear" w:color="000000" w:fill="FFFF00"/>
            <w:vAlign w:val="center"/>
            <w:hideMark/>
          </w:tcPr>
          <w:p w:rsidR="00AD26D7" w:rsidRPr="002B5BB7" w:rsidRDefault="00AD26D7" w:rsidP="00A70C15">
            <w:pPr>
              <w:jc w:val="center"/>
              <w:rPr>
                <w:color w:val="000000"/>
                <w:szCs w:val="24"/>
              </w:rPr>
            </w:pPr>
            <w:r w:rsidRPr="002B5BB7">
              <w:rPr>
                <w:color w:val="000000"/>
                <w:szCs w:val="24"/>
              </w:rPr>
              <w:t>78%</w:t>
            </w:r>
          </w:p>
        </w:tc>
      </w:tr>
      <w:tr w:rsidR="00AD26D7" w:rsidRPr="002B5BB7" w:rsidTr="00A70C15">
        <w:trPr>
          <w:trHeight w:val="285"/>
        </w:trPr>
        <w:tc>
          <w:tcPr>
            <w:tcW w:w="3969" w:type="dxa"/>
            <w:tcBorders>
              <w:top w:val="nil"/>
              <w:left w:val="single" w:sz="8" w:space="0" w:color="auto"/>
              <w:bottom w:val="single" w:sz="4" w:space="0" w:color="auto"/>
              <w:right w:val="single" w:sz="4" w:space="0" w:color="auto"/>
            </w:tcBorders>
            <w:shd w:val="clear" w:color="000000" w:fill="FFFF00"/>
            <w:vAlign w:val="center"/>
            <w:hideMark/>
          </w:tcPr>
          <w:p w:rsidR="00AD26D7" w:rsidRPr="002B5BB7" w:rsidRDefault="00AD26D7" w:rsidP="00A70C15">
            <w:pPr>
              <w:jc w:val="right"/>
              <w:rPr>
                <w:szCs w:val="24"/>
              </w:rPr>
            </w:pPr>
            <w:r w:rsidRPr="002B5BB7">
              <w:rPr>
                <w:szCs w:val="24"/>
              </w:rPr>
              <w:t>Működési támogatás</w:t>
            </w:r>
          </w:p>
        </w:tc>
        <w:tc>
          <w:tcPr>
            <w:tcW w:w="1275" w:type="dxa"/>
            <w:tcBorders>
              <w:top w:val="nil"/>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color w:val="000000"/>
                <w:szCs w:val="24"/>
              </w:rPr>
            </w:pPr>
            <w:r w:rsidRPr="002B5BB7">
              <w:rPr>
                <w:color w:val="000000"/>
                <w:szCs w:val="24"/>
              </w:rPr>
              <w:t>54 768</w:t>
            </w:r>
          </w:p>
        </w:tc>
        <w:tc>
          <w:tcPr>
            <w:tcW w:w="1276" w:type="dxa"/>
            <w:tcBorders>
              <w:top w:val="nil"/>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color w:val="000000"/>
                <w:szCs w:val="24"/>
              </w:rPr>
            </w:pPr>
            <w:r w:rsidRPr="002B5BB7">
              <w:rPr>
                <w:color w:val="000000"/>
                <w:szCs w:val="24"/>
              </w:rPr>
              <w:t>69 616</w:t>
            </w:r>
          </w:p>
        </w:tc>
        <w:tc>
          <w:tcPr>
            <w:tcW w:w="1304" w:type="dxa"/>
            <w:tcBorders>
              <w:top w:val="nil"/>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color w:val="000000"/>
                <w:szCs w:val="24"/>
              </w:rPr>
            </w:pPr>
            <w:r w:rsidRPr="002B5BB7">
              <w:rPr>
                <w:color w:val="000000"/>
                <w:szCs w:val="24"/>
              </w:rPr>
              <w:t>58 438</w:t>
            </w:r>
          </w:p>
        </w:tc>
        <w:tc>
          <w:tcPr>
            <w:tcW w:w="1180" w:type="dxa"/>
            <w:tcBorders>
              <w:top w:val="nil"/>
              <w:left w:val="nil"/>
              <w:bottom w:val="single" w:sz="4" w:space="0" w:color="auto"/>
              <w:right w:val="single" w:sz="8" w:space="0" w:color="auto"/>
            </w:tcBorders>
            <w:shd w:val="clear" w:color="000000" w:fill="FFFF00"/>
            <w:vAlign w:val="center"/>
            <w:hideMark/>
          </w:tcPr>
          <w:p w:rsidR="00AD26D7" w:rsidRPr="002B5BB7" w:rsidRDefault="00AD26D7" w:rsidP="00A70C15">
            <w:pPr>
              <w:jc w:val="center"/>
              <w:rPr>
                <w:color w:val="000000"/>
                <w:szCs w:val="24"/>
              </w:rPr>
            </w:pPr>
            <w:r w:rsidRPr="002B5BB7">
              <w:rPr>
                <w:color w:val="000000"/>
                <w:szCs w:val="24"/>
              </w:rPr>
              <w:t>107%</w:t>
            </w:r>
          </w:p>
        </w:tc>
      </w:tr>
      <w:tr w:rsidR="00AD26D7" w:rsidRPr="002B5BB7" w:rsidTr="00A70C15">
        <w:trPr>
          <w:trHeight w:val="285"/>
        </w:trPr>
        <w:tc>
          <w:tcPr>
            <w:tcW w:w="3969" w:type="dxa"/>
            <w:tcBorders>
              <w:top w:val="nil"/>
              <w:left w:val="single" w:sz="8" w:space="0" w:color="auto"/>
              <w:bottom w:val="single" w:sz="4" w:space="0" w:color="auto"/>
              <w:right w:val="single" w:sz="4" w:space="0" w:color="auto"/>
            </w:tcBorders>
            <w:shd w:val="clear" w:color="000000" w:fill="FFFF00"/>
            <w:vAlign w:val="center"/>
            <w:hideMark/>
          </w:tcPr>
          <w:p w:rsidR="00AD26D7" w:rsidRPr="002B5BB7" w:rsidRDefault="00AD26D7" w:rsidP="00A70C15">
            <w:pPr>
              <w:jc w:val="right"/>
              <w:rPr>
                <w:szCs w:val="24"/>
              </w:rPr>
            </w:pPr>
            <w:r>
              <w:rPr>
                <w:szCs w:val="24"/>
              </w:rPr>
              <w:t>ÁFA</w:t>
            </w:r>
          </w:p>
        </w:tc>
        <w:tc>
          <w:tcPr>
            <w:tcW w:w="1275" w:type="dxa"/>
            <w:tcBorders>
              <w:top w:val="nil"/>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color w:val="000000"/>
                <w:szCs w:val="24"/>
              </w:rPr>
            </w:pPr>
          </w:p>
        </w:tc>
        <w:tc>
          <w:tcPr>
            <w:tcW w:w="1276" w:type="dxa"/>
            <w:tcBorders>
              <w:top w:val="nil"/>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color w:val="000000"/>
                <w:szCs w:val="24"/>
              </w:rPr>
            </w:pPr>
          </w:p>
        </w:tc>
        <w:tc>
          <w:tcPr>
            <w:tcW w:w="1304" w:type="dxa"/>
            <w:tcBorders>
              <w:top w:val="nil"/>
              <w:left w:val="nil"/>
              <w:bottom w:val="single" w:sz="4" w:space="0" w:color="auto"/>
              <w:right w:val="single" w:sz="4" w:space="0" w:color="auto"/>
            </w:tcBorders>
            <w:shd w:val="clear" w:color="000000" w:fill="FFFF00"/>
            <w:vAlign w:val="center"/>
            <w:hideMark/>
          </w:tcPr>
          <w:p w:rsidR="00AD26D7" w:rsidRPr="002B5BB7" w:rsidRDefault="00AD26D7" w:rsidP="00A70C15">
            <w:pPr>
              <w:jc w:val="right"/>
              <w:rPr>
                <w:color w:val="000000"/>
                <w:szCs w:val="24"/>
              </w:rPr>
            </w:pPr>
            <w:r>
              <w:rPr>
                <w:color w:val="000000"/>
                <w:szCs w:val="24"/>
              </w:rPr>
              <w:t>1.534</w:t>
            </w:r>
          </w:p>
        </w:tc>
        <w:tc>
          <w:tcPr>
            <w:tcW w:w="1180" w:type="dxa"/>
            <w:tcBorders>
              <w:top w:val="nil"/>
              <w:left w:val="nil"/>
              <w:bottom w:val="single" w:sz="4" w:space="0" w:color="auto"/>
              <w:right w:val="single" w:sz="8" w:space="0" w:color="auto"/>
            </w:tcBorders>
            <w:shd w:val="clear" w:color="000000" w:fill="FFFF00"/>
            <w:vAlign w:val="center"/>
            <w:hideMark/>
          </w:tcPr>
          <w:p w:rsidR="00AD26D7" w:rsidRPr="002B5BB7" w:rsidRDefault="00AD26D7" w:rsidP="00A70C15">
            <w:pPr>
              <w:jc w:val="center"/>
              <w:rPr>
                <w:color w:val="000000"/>
                <w:szCs w:val="24"/>
              </w:rPr>
            </w:pPr>
          </w:p>
        </w:tc>
      </w:tr>
      <w:tr w:rsidR="00AD26D7" w:rsidRPr="002B5BB7" w:rsidTr="00A70C15">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6D7" w:rsidRPr="002B5BB7" w:rsidRDefault="00AD26D7" w:rsidP="00A70C15">
            <w:pPr>
              <w:rPr>
                <w:b/>
                <w:bCs/>
                <w:szCs w:val="24"/>
              </w:rPr>
            </w:pPr>
            <w:r w:rsidRPr="002B5BB7">
              <w:rPr>
                <w:b/>
                <w:bCs/>
                <w:szCs w:val="24"/>
              </w:rPr>
              <w:t>Eredmény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26D7" w:rsidRPr="002B5BB7" w:rsidRDefault="00AD26D7" w:rsidP="00A70C15">
            <w:pPr>
              <w:jc w:val="right"/>
              <w:rPr>
                <w:b/>
                <w:bCs/>
                <w:color w:val="000000"/>
                <w:szCs w:val="24"/>
              </w:rPr>
            </w:pPr>
            <w:r w:rsidRPr="002B5BB7">
              <w:rPr>
                <w:b/>
                <w:bCs/>
                <w:color w:val="000000"/>
                <w:szCs w:val="24"/>
              </w:rPr>
              <w:t>-6 907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26D7" w:rsidRPr="002B5BB7" w:rsidRDefault="00AD26D7" w:rsidP="00A70C15">
            <w:pPr>
              <w:jc w:val="right"/>
              <w:rPr>
                <w:b/>
                <w:bCs/>
                <w:color w:val="000000"/>
                <w:szCs w:val="24"/>
              </w:rPr>
            </w:pPr>
            <w:r w:rsidRPr="002B5BB7">
              <w:rPr>
                <w:b/>
                <w:bCs/>
                <w:color w:val="000000"/>
                <w:szCs w:val="24"/>
              </w:rPr>
              <w:t>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AD26D7" w:rsidRPr="002B5BB7" w:rsidRDefault="00AD26D7" w:rsidP="00A70C15">
            <w:pPr>
              <w:jc w:val="right"/>
              <w:rPr>
                <w:b/>
                <w:bCs/>
                <w:color w:val="000000"/>
                <w:szCs w:val="24"/>
              </w:rPr>
            </w:pPr>
            <w:r w:rsidRPr="002B5BB7">
              <w:rPr>
                <w:b/>
                <w:bCs/>
                <w:color w:val="000000"/>
                <w:szCs w:val="24"/>
              </w:rPr>
              <w:t>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D26D7" w:rsidRPr="002B5BB7" w:rsidRDefault="00AD26D7" w:rsidP="00A70C15">
            <w:pPr>
              <w:jc w:val="right"/>
              <w:rPr>
                <w:szCs w:val="24"/>
              </w:rPr>
            </w:pPr>
            <w:r w:rsidRPr="002B5BB7">
              <w:rPr>
                <w:szCs w:val="24"/>
              </w:rPr>
              <w:t> </w:t>
            </w:r>
          </w:p>
        </w:tc>
      </w:tr>
    </w:tbl>
    <w:p w:rsidR="00AD26D7" w:rsidRDefault="00AD26D7" w:rsidP="00AD26D7">
      <w:pPr>
        <w:pStyle w:val="Szvegtrzs2"/>
        <w:ind w:left="993"/>
        <w:rPr>
          <w:highlight w:val="yellow"/>
        </w:rPr>
      </w:pPr>
    </w:p>
    <w:p w:rsidR="00AD26D7" w:rsidRDefault="00AD26D7" w:rsidP="00AD26D7">
      <w:pPr>
        <w:pStyle w:val="Cmsor2"/>
      </w:pPr>
      <w:bookmarkStart w:id="121" w:name="_Toc320784667"/>
      <w:r w:rsidRPr="0001158F">
        <w:t>Az üzleti terv teljesülése</w:t>
      </w:r>
      <w:r>
        <w:t xml:space="preserve"> a </w:t>
      </w:r>
      <w:bookmarkStart w:id="122" w:name="_Toc302038805"/>
      <w:bookmarkStart w:id="123" w:name="_Toc309209159"/>
      <w:r>
        <w:t>k</w:t>
      </w:r>
      <w:r w:rsidRPr="00B550DF">
        <w:t>iegészítő és üzleti szolgáltatások</w:t>
      </w:r>
      <w:bookmarkEnd w:id="122"/>
      <w:bookmarkEnd w:id="123"/>
      <w:r>
        <w:t>on</w:t>
      </w:r>
      <w:bookmarkEnd w:id="121"/>
    </w:p>
    <w:p w:rsidR="00AD26D7" w:rsidRPr="00EB3442" w:rsidRDefault="00AD26D7" w:rsidP="00AD26D7">
      <w:pPr>
        <w:pStyle w:val="Szvegtrzs"/>
        <w:ind w:left="426"/>
        <w:rPr>
          <w:b/>
        </w:rPr>
      </w:pPr>
      <w:r>
        <w:t xml:space="preserve">Ezen tevékenységek nem fővárosi közfeladatok, hanem </w:t>
      </w:r>
      <w:r w:rsidRPr="00B550DF">
        <w:t>eseti vállalkozási szerződések ala</w:t>
      </w:r>
      <w:r w:rsidRPr="00B550DF">
        <w:t>p</w:t>
      </w:r>
      <w:r w:rsidRPr="00B550DF">
        <w:t>ján működnek</w:t>
      </w:r>
      <w:r>
        <w:t>. A</w:t>
      </w:r>
      <w:r w:rsidRPr="00B550DF">
        <w:t>z itt képződő pozitív eredménynek (nyereségnek) kell kipótolnia a Fővárosi Önkormányzat által csak részben finanszírozott közfeladatok forrásait. A 2011. évi üzleti terv</w:t>
      </w:r>
      <w:r>
        <w:t>ben – figyelembe véve a Fővárosi Önkormányzat finanszírozási korlátját –</w:t>
      </w:r>
      <w:r w:rsidRPr="00B550DF">
        <w:t xml:space="preserve"> </w:t>
      </w:r>
      <w:r>
        <w:t xml:space="preserve">a </w:t>
      </w:r>
      <w:proofErr w:type="gramStart"/>
      <w:r>
        <w:t>null</w:t>
      </w:r>
      <w:proofErr w:type="gramEnd"/>
      <w:r>
        <w:t xml:space="preserve">szaldós egyenleg érdekében </w:t>
      </w:r>
      <w:r w:rsidRPr="00EB3442">
        <w:rPr>
          <w:b/>
        </w:rPr>
        <w:t xml:space="preserve">13.953 </w:t>
      </w:r>
      <w:proofErr w:type="spellStart"/>
      <w:r w:rsidRPr="00EB3442">
        <w:rPr>
          <w:b/>
        </w:rPr>
        <w:t>eFt</w:t>
      </w:r>
      <w:proofErr w:type="spellEnd"/>
      <w:r w:rsidRPr="00B550DF">
        <w:t xml:space="preserve"> eredményt </w:t>
      </w:r>
      <w:r>
        <w:t>kellett tervezzünk</w:t>
      </w:r>
      <w:r w:rsidRPr="00B550DF">
        <w:t>,</w:t>
      </w:r>
      <w:r>
        <w:t xml:space="preserve"> azzal,</w:t>
      </w:r>
      <w:r w:rsidRPr="00B550DF">
        <w:t xml:space="preserve"> hogy ezen kívül 24.927 </w:t>
      </w:r>
      <w:proofErr w:type="spellStart"/>
      <w:r w:rsidRPr="00B550DF">
        <w:t>eFt</w:t>
      </w:r>
      <w:proofErr w:type="spellEnd"/>
      <w:r w:rsidRPr="00B550DF">
        <w:t xml:space="preserve"> központi általános költséget is viselnie kell ezen ágazatnak.</w:t>
      </w:r>
      <w:r>
        <w:t xml:space="preserve"> </w:t>
      </w:r>
      <w:r w:rsidRPr="00904F53">
        <w:t xml:space="preserve">Ez az előző egész éves 1.036 </w:t>
      </w:r>
      <w:proofErr w:type="spellStart"/>
      <w:r w:rsidRPr="00904F53">
        <w:t>eFt-os</w:t>
      </w:r>
      <w:proofErr w:type="spellEnd"/>
      <w:r w:rsidRPr="00904F53">
        <w:t xml:space="preserve"> egyenleghez képest </w:t>
      </w:r>
      <w:r w:rsidRPr="00EB3442">
        <w:rPr>
          <w:b/>
        </w:rPr>
        <w:t xml:space="preserve">igen </w:t>
      </w:r>
      <w:r>
        <w:rPr>
          <w:b/>
        </w:rPr>
        <w:t>optimista elvárás volt</w:t>
      </w:r>
      <w:r w:rsidRPr="00EB3442">
        <w:rPr>
          <w:b/>
        </w:rPr>
        <w:t>.</w:t>
      </w:r>
    </w:p>
    <w:p w:rsidR="00AD26D7" w:rsidRPr="00B550DF" w:rsidRDefault="00AD26D7" w:rsidP="00AD26D7">
      <w:pPr>
        <w:pStyle w:val="Szvegtrzs"/>
        <w:ind w:left="426"/>
      </w:pPr>
      <w:r w:rsidRPr="00B550DF">
        <w:t>Az ágazat tevékenységeit három</w:t>
      </w:r>
      <w:r>
        <w:t>,</w:t>
      </w:r>
      <w:r w:rsidRPr="00B550DF">
        <w:t xml:space="preserve"> szakmai és pénzügyi szempontból is elkülönülő csoportban </w:t>
      </w:r>
      <w:r>
        <w:t>kezeljük</w:t>
      </w:r>
      <w:r w:rsidRPr="00B550DF">
        <w:t xml:space="preserve">. A </w:t>
      </w:r>
      <w:r w:rsidRPr="00B550DF">
        <w:rPr>
          <w:b/>
        </w:rPr>
        <w:t>kerületi foglalkoztatás</w:t>
      </w:r>
      <w:r>
        <w:t xml:space="preserve"> szervezés a kerületi önkormányzatokkal kötött </w:t>
      </w:r>
      <w:r w:rsidRPr="00B550DF">
        <w:t>szerz</w:t>
      </w:r>
      <w:r w:rsidRPr="00B550DF">
        <w:t>ő</w:t>
      </w:r>
      <w:r w:rsidRPr="00B550DF">
        <w:t>dés</w:t>
      </w:r>
      <w:r>
        <w:t>ek</w:t>
      </w:r>
      <w:r w:rsidRPr="00B550DF">
        <w:t xml:space="preserve"> alapján törté</w:t>
      </w:r>
      <w:r>
        <w:t xml:space="preserve">nik. A </w:t>
      </w:r>
      <w:r w:rsidRPr="00904F53">
        <w:rPr>
          <w:b/>
        </w:rPr>
        <w:t>képzés és</w:t>
      </w:r>
      <w:r w:rsidRPr="00B550DF">
        <w:t xml:space="preserve"> </w:t>
      </w:r>
      <w:r>
        <w:rPr>
          <w:b/>
        </w:rPr>
        <w:t>egyéb szakértői</w:t>
      </w:r>
      <w:r w:rsidRPr="00EB3442">
        <w:rPr>
          <w:b/>
        </w:rPr>
        <w:t xml:space="preserve"> szolgáltatások</w:t>
      </w:r>
      <w:r w:rsidRPr="00B550DF">
        <w:t xml:space="preserve"> </w:t>
      </w:r>
      <w:r>
        <w:t>során</w:t>
      </w:r>
      <w:r w:rsidRPr="00B550DF">
        <w:t xml:space="preserve"> foglalkoztatási, esélyegyenlőségi </w:t>
      </w:r>
      <w:r w:rsidRPr="00B550DF">
        <w:rPr>
          <w:b/>
        </w:rPr>
        <w:t>szakértői munkákat</w:t>
      </w:r>
      <w:r w:rsidRPr="00B550DF">
        <w:t xml:space="preserve">, továbbá képzéseket szervezünk és végzünk, a napi munkánk mellett. A harmadik feladat-csoport az </w:t>
      </w:r>
      <w:r>
        <w:rPr>
          <w:b/>
        </w:rPr>
        <w:t>műszaki (környezet higiénés)</w:t>
      </w:r>
      <w:r w:rsidRPr="00B550DF">
        <w:t xml:space="preserve"> szolgáltatás, melyet a műszaki csoport végez, </w:t>
      </w:r>
      <w:r>
        <w:t>a</w:t>
      </w:r>
      <w:r w:rsidRPr="00B550DF">
        <w:t>mikor nem kap fővárosi közegészségügyi (gyom- és hu</w:t>
      </w:r>
      <w:r w:rsidRPr="00B550DF">
        <w:t>l</w:t>
      </w:r>
      <w:r w:rsidRPr="00B550DF">
        <w:t>ladékmentesítés) feladatot. Ennek bevételeit, közvetlen és közvetett költségeit a fővárosi közfeladatoktól elkülönítetten kezeljük.</w:t>
      </w:r>
    </w:p>
    <w:p w:rsidR="00AD26D7" w:rsidRPr="003A4CE1" w:rsidRDefault="00AD26D7" w:rsidP="00AD26D7">
      <w:pPr>
        <w:pStyle w:val="StlusCmsor311pt"/>
      </w:pPr>
      <w:bookmarkStart w:id="124" w:name="_Toc320784668"/>
      <w:r>
        <w:t>Kerületi foglalkoztatás szervezés</w:t>
      </w:r>
      <w:bookmarkEnd w:id="124"/>
    </w:p>
    <w:p w:rsidR="00AD26D7" w:rsidRDefault="00AD26D7" w:rsidP="00AD26D7">
      <w:pPr>
        <w:pStyle w:val="Szvegtrzs2"/>
        <w:ind w:left="426"/>
      </w:pPr>
      <w:r w:rsidRPr="00B550DF">
        <w:t xml:space="preserve">A közfoglalkoztatás radikális átalakítása szinte teljes mértékben ellehetetlenítette annak „külső” szervezését. </w:t>
      </w:r>
      <w:r w:rsidRPr="006D6CEA">
        <w:t>Az új jogszabály nem teszi lehetővé, hogy a kerületi intézményben do</w:t>
      </w:r>
      <w:r w:rsidRPr="006D6CEA">
        <w:t>l</w:t>
      </w:r>
      <w:r>
        <w:t>gozók munkáltatója a T</w:t>
      </w:r>
      <w:r w:rsidRPr="006D6CEA">
        <w:t>ársaság legyen.</w:t>
      </w:r>
      <w:r>
        <w:t xml:space="preserve"> </w:t>
      </w:r>
      <w:r w:rsidRPr="00B550DF">
        <w:t>Bár 2011-ben minden korábbi önkormányzatnak ki</w:t>
      </w:r>
      <w:r w:rsidRPr="00B550DF">
        <w:t>s</w:t>
      </w:r>
      <w:r w:rsidRPr="00B550DF">
        <w:t>sé alacsonyabb díjazás melletti árajánlatot adtunk, s kimutattuk, hogy ők maguk csak mag</w:t>
      </w:r>
      <w:r w:rsidRPr="00B550DF">
        <w:t>a</w:t>
      </w:r>
      <w:r w:rsidRPr="00B550DF">
        <w:t xml:space="preserve">sabb költség és alacsonyabb hatékonyság mellett tudják e szakfeladatot ellátni, mégis három kerület elállt e szolgáltatás kiszervezésétől. </w:t>
      </w:r>
    </w:p>
    <w:p w:rsidR="00AD26D7" w:rsidRDefault="00AD26D7" w:rsidP="00AD26D7">
      <w:pPr>
        <w:pStyle w:val="Szvegtrzs2"/>
      </w:pPr>
    </w:p>
    <w:p w:rsidR="00AD26D7" w:rsidRPr="00245037" w:rsidRDefault="00AD26D7" w:rsidP="00AD26D7">
      <w:pPr>
        <w:pStyle w:val="StlusCmsor4Egalizls14pt"/>
      </w:pPr>
      <w:r w:rsidRPr="00245037">
        <w:t>Szakmai teljesítés</w:t>
      </w:r>
    </w:p>
    <w:p w:rsidR="00AD26D7" w:rsidRPr="006D6CEA" w:rsidRDefault="00AD26D7" w:rsidP="00AD26D7">
      <w:pPr>
        <w:pStyle w:val="Szvegtrzs"/>
        <w:ind w:left="993"/>
      </w:pPr>
      <w:r>
        <w:t>A közfoglalkoztatás átszervezése miatt csak a VIII. kerületben lehettünk munkáltatói is a kerületi közfoglalkoztatottaknak, a többi kerület számára „csak” szervezési, üg</w:t>
      </w:r>
      <w:r>
        <w:t>y</w:t>
      </w:r>
      <w:r>
        <w:t>félszolgálati feladatokat végezhettünk. Ez a kirendeltségeken talán még nagyobb a</w:t>
      </w:r>
      <w:r>
        <w:t>d</w:t>
      </w:r>
      <w:r>
        <w:t xml:space="preserve">minisztratív, szervezési feladatot jelentett, mint korábban, de a bér, TB, stb. feladatok és költségek nem terhelték a központi apparátust. </w:t>
      </w:r>
    </w:p>
    <w:p w:rsidR="00AD26D7" w:rsidRDefault="00AD26D7" w:rsidP="00AD26D7">
      <w:pPr>
        <w:pStyle w:val="Szvegtrzs"/>
        <w:ind w:left="993"/>
      </w:pPr>
      <w:r w:rsidRPr="006D6CEA">
        <w:t xml:space="preserve">A megszólított ügyfelek száma megtöbbszöröződött, s </w:t>
      </w:r>
      <w:r>
        <w:t>az év végére</w:t>
      </w:r>
      <w:r w:rsidRPr="006D6CEA">
        <w:t xml:space="preserve"> </w:t>
      </w:r>
      <w:r>
        <w:t xml:space="preserve">meghaladta a </w:t>
      </w:r>
      <w:r w:rsidRPr="006D6CEA">
        <w:t>2.</w:t>
      </w:r>
      <w:r>
        <w:t>5</w:t>
      </w:r>
      <w:r w:rsidRPr="006D6CEA">
        <w:t xml:space="preserve">00 főt. Ez az évre </w:t>
      </w:r>
      <w:r>
        <w:t>vártnak</w:t>
      </w:r>
      <w:r w:rsidRPr="006D6CEA">
        <w:t xml:space="preserve"> már a duplája. Saját státuszra </w:t>
      </w:r>
      <w:r>
        <w:t>449</w:t>
      </w:r>
      <w:r w:rsidRPr="006D6CEA">
        <w:t xml:space="preserve"> munkaszerződést leh</w:t>
      </w:r>
      <w:r w:rsidRPr="006D6CEA">
        <w:t>e</w:t>
      </w:r>
      <w:r w:rsidRPr="006D6CEA">
        <w:t xml:space="preserve">tett kötni, viszont további </w:t>
      </w:r>
      <w:r>
        <w:t>549</w:t>
      </w:r>
      <w:r w:rsidRPr="006D6CEA">
        <w:t xml:space="preserve"> munkaszerződést a munkatársak előkészítették az adott </w:t>
      </w:r>
      <w:r>
        <w:t xml:space="preserve">kerület </w:t>
      </w:r>
      <w:r w:rsidRPr="006D6CEA">
        <w:t>intézménye</w:t>
      </w:r>
      <w:r>
        <w:t>i</w:t>
      </w:r>
      <w:r w:rsidRPr="006D6CEA">
        <w:t xml:space="preserve"> részé</w:t>
      </w:r>
      <w:r>
        <w:t xml:space="preserve">re, így a munkaszerződések száma gyakorlatilag </w:t>
      </w:r>
      <w:r>
        <w:lastRenderedPageBreak/>
        <w:t>azonos az előző évivel.</w:t>
      </w:r>
    </w:p>
    <w:p w:rsidR="00AD26D7" w:rsidRDefault="00AD26D7" w:rsidP="00AD26D7">
      <w:pPr>
        <w:pStyle w:val="Szvegtrzs2"/>
      </w:pPr>
    </w:p>
    <w:p w:rsidR="00AD26D7" w:rsidRDefault="00AD26D7" w:rsidP="00AD26D7">
      <w:pPr>
        <w:pStyle w:val="Szvegtrzs"/>
        <w:numPr>
          <w:ilvl w:val="0"/>
          <w:numId w:val="5"/>
        </w:numPr>
        <w:ind w:left="709" w:hanging="323"/>
      </w:pPr>
      <w:r>
        <w:t>számú ábra: A kerületi közfoglalkoztatás szervezési adatai</w:t>
      </w:r>
    </w:p>
    <w:tbl>
      <w:tblPr>
        <w:tblW w:w="8302" w:type="dxa"/>
        <w:tblInd w:w="496" w:type="dxa"/>
        <w:tblCellMar>
          <w:left w:w="70" w:type="dxa"/>
          <w:right w:w="70" w:type="dxa"/>
        </w:tblCellMar>
        <w:tblLook w:val="04A0"/>
      </w:tblPr>
      <w:tblGrid>
        <w:gridCol w:w="4963"/>
        <w:gridCol w:w="1689"/>
        <w:gridCol w:w="1650"/>
      </w:tblGrid>
      <w:tr w:rsidR="00AD26D7" w:rsidRPr="006D6CEA" w:rsidTr="00A70C15">
        <w:trPr>
          <w:trHeight w:val="355"/>
        </w:trPr>
        <w:tc>
          <w:tcPr>
            <w:tcW w:w="4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6D7" w:rsidRPr="00692FD1" w:rsidRDefault="00AD26D7" w:rsidP="00A70C15">
            <w:pPr>
              <w:keepNext/>
              <w:keepLines/>
              <w:jc w:val="center"/>
              <w:rPr>
                <w:szCs w:val="24"/>
              </w:rPr>
            </w:pPr>
            <w:r w:rsidRPr="00692FD1">
              <w:rPr>
                <w:szCs w:val="24"/>
              </w:rPr>
              <w:t> </w:t>
            </w:r>
            <w:r w:rsidRPr="00692FD1">
              <w:rPr>
                <w:color w:val="000000"/>
                <w:szCs w:val="24"/>
              </w:rPr>
              <w:t>Kerületi közfoglalkoztatás</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AD26D7" w:rsidRPr="00692FD1" w:rsidRDefault="00AD26D7" w:rsidP="00A70C15">
            <w:pPr>
              <w:keepNext/>
              <w:keepLines/>
              <w:jc w:val="center"/>
              <w:rPr>
                <w:szCs w:val="24"/>
              </w:rPr>
            </w:pPr>
            <w:r w:rsidRPr="00692FD1">
              <w:rPr>
                <w:szCs w:val="24"/>
              </w:rPr>
              <w:t>2010.</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AD26D7" w:rsidRPr="00692FD1" w:rsidRDefault="00AD26D7" w:rsidP="00A70C15">
            <w:pPr>
              <w:keepNext/>
              <w:keepLines/>
              <w:ind w:right="436"/>
              <w:jc w:val="right"/>
              <w:rPr>
                <w:b/>
                <w:szCs w:val="24"/>
              </w:rPr>
            </w:pPr>
            <w:r w:rsidRPr="00692FD1">
              <w:rPr>
                <w:b/>
                <w:szCs w:val="24"/>
              </w:rPr>
              <w:t>2011.</w:t>
            </w:r>
          </w:p>
        </w:tc>
      </w:tr>
      <w:tr w:rsidR="00AD26D7" w:rsidRPr="006D6CEA" w:rsidTr="00A70C15">
        <w:trPr>
          <w:trHeight w:val="330"/>
        </w:trPr>
        <w:tc>
          <w:tcPr>
            <w:tcW w:w="4963" w:type="dxa"/>
            <w:tcBorders>
              <w:top w:val="nil"/>
              <w:left w:val="single" w:sz="8" w:space="0" w:color="auto"/>
              <w:bottom w:val="single" w:sz="4" w:space="0" w:color="auto"/>
              <w:right w:val="single" w:sz="4" w:space="0" w:color="auto"/>
            </w:tcBorders>
            <w:shd w:val="clear" w:color="auto" w:fill="auto"/>
            <w:vAlign w:val="center"/>
            <w:hideMark/>
          </w:tcPr>
          <w:p w:rsidR="00AD26D7" w:rsidRPr="00692FD1" w:rsidRDefault="00AD26D7" w:rsidP="00A70C15">
            <w:pPr>
              <w:keepNext/>
              <w:keepLines/>
              <w:rPr>
                <w:color w:val="000000"/>
                <w:szCs w:val="24"/>
              </w:rPr>
            </w:pPr>
            <w:r w:rsidRPr="00692FD1">
              <w:rPr>
                <w:color w:val="000000"/>
                <w:szCs w:val="24"/>
              </w:rPr>
              <w:t>Ügyfelek száma</w:t>
            </w:r>
          </w:p>
        </w:tc>
        <w:tc>
          <w:tcPr>
            <w:tcW w:w="1689" w:type="dxa"/>
            <w:tcBorders>
              <w:top w:val="nil"/>
              <w:left w:val="nil"/>
              <w:bottom w:val="single" w:sz="4" w:space="0" w:color="auto"/>
              <w:right w:val="single" w:sz="4" w:space="0" w:color="auto"/>
            </w:tcBorders>
            <w:shd w:val="clear" w:color="auto" w:fill="auto"/>
            <w:vAlign w:val="center"/>
            <w:hideMark/>
          </w:tcPr>
          <w:p w:rsidR="00AD26D7" w:rsidRPr="00692FD1" w:rsidRDefault="00AD26D7" w:rsidP="00A70C15">
            <w:pPr>
              <w:keepNext/>
              <w:keepLines/>
              <w:ind w:right="487"/>
              <w:jc w:val="right"/>
              <w:rPr>
                <w:szCs w:val="24"/>
              </w:rPr>
            </w:pPr>
            <w:r>
              <w:rPr>
                <w:szCs w:val="24"/>
              </w:rPr>
              <w:t>2.301</w:t>
            </w:r>
          </w:p>
        </w:tc>
        <w:tc>
          <w:tcPr>
            <w:tcW w:w="1650" w:type="dxa"/>
            <w:tcBorders>
              <w:top w:val="nil"/>
              <w:left w:val="nil"/>
              <w:bottom w:val="single" w:sz="4" w:space="0" w:color="auto"/>
              <w:right w:val="single" w:sz="4" w:space="0" w:color="auto"/>
            </w:tcBorders>
            <w:shd w:val="clear" w:color="auto" w:fill="auto"/>
            <w:vAlign w:val="center"/>
            <w:hideMark/>
          </w:tcPr>
          <w:p w:rsidR="00AD26D7" w:rsidRPr="00692FD1" w:rsidRDefault="00AD26D7" w:rsidP="00A70C15">
            <w:pPr>
              <w:keepNext/>
              <w:keepLines/>
              <w:ind w:right="436"/>
              <w:jc w:val="right"/>
              <w:rPr>
                <w:b/>
                <w:bCs/>
                <w:szCs w:val="24"/>
              </w:rPr>
            </w:pPr>
            <w:r w:rsidRPr="00692FD1">
              <w:rPr>
                <w:b/>
                <w:bCs/>
                <w:szCs w:val="24"/>
              </w:rPr>
              <w:t>2.512</w:t>
            </w:r>
          </w:p>
        </w:tc>
      </w:tr>
      <w:tr w:rsidR="00AD26D7" w:rsidRPr="006D6CEA" w:rsidTr="00A70C15">
        <w:trPr>
          <w:trHeight w:val="330"/>
        </w:trPr>
        <w:tc>
          <w:tcPr>
            <w:tcW w:w="4963" w:type="dxa"/>
            <w:tcBorders>
              <w:top w:val="nil"/>
              <w:left w:val="single" w:sz="8" w:space="0" w:color="auto"/>
              <w:bottom w:val="single" w:sz="4" w:space="0" w:color="auto"/>
              <w:right w:val="single" w:sz="4" w:space="0" w:color="auto"/>
            </w:tcBorders>
            <w:shd w:val="clear" w:color="auto" w:fill="auto"/>
            <w:vAlign w:val="center"/>
            <w:hideMark/>
          </w:tcPr>
          <w:p w:rsidR="00AD26D7" w:rsidRPr="00692FD1" w:rsidRDefault="00AD26D7" w:rsidP="00A70C15">
            <w:pPr>
              <w:keepNext/>
              <w:keepLines/>
              <w:rPr>
                <w:color w:val="000000"/>
                <w:szCs w:val="24"/>
              </w:rPr>
            </w:pPr>
            <w:r w:rsidRPr="00692FD1">
              <w:rPr>
                <w:color w:val="000000"/>
                <w:szCs w:val="24"/>
              </w:rPr>
              <w:t>Munkaszerződés saját státuszra</w:t>
            </w:r>
          </w:p>
        </w:tc>
        <w:tc>
          <w:tcPr>
            <w:tcW w:w="1689" w:type="dxa"/>
            <w:tcBorders>
              <w:top w:val="nil"/>
              <w:left w:val="nil"/>
              <w:bottom w:val="single" w:sz="4" w:space="0" w:color="auto"/>
              <w:right w:val="single" w:sz="4" w:space="0" w:color="auto"/>
            </w:tcBorders>
            <w:shd w:val="clear" w:color="auto" w:fill="auto"/>
            <w:vAlign w:val="center"/>
            <w:hideMark/>
          </w:tcPr>
          <w:p w:rsidR="00AD26D7" w:rsidRPr="00692FD1" w:rsidRDefault="00AD26D7" w:rsidP="00A70C15">
            <w:pPr>
              <w:keepNext/>
              <w:keepLines/>
              <w:ind w:right="487"/>
              <w:jc w:val="right"/>
              <w:rPr>
                <w:szCs w:val="24"/>
              </w:rPr>
            </w:pPr>
            <w:r>
              <w:rPr>
                <w:szCs w:val="24"/>
              </w:rPr>
              <w:t>869</w:t>
            </w:r>
          </w:p>
        </w:tc>
        <w:tc>
          <w:tcPr>
            <w:tcW w:w="1650" w:type="dxa"/>
            <w:tcBorders>
              <w:top w:val="nil"/>
              <w:left w:val="nil"/>
              <w:bottom w:val="single" w:sz="4" w:space="0" w:color="auto"/>
              <w:right w:val="single" w:sz="4" w:space="0" w:color="auto"/>
            </w:tcBorders>
            <w:shd w:val="clear" w:color="auto" w:fill="auto"/>
            <w:vAlign w:val="center"/>
            <w:hideMark/>
          </w:tcPr>
          <w:p w:rsidR="00AD26D7" w:rsidRPr="00692FD1" w:rsidRDefault="00AD26D7" w:rsidP="00A70C15">
            <w:pPr>
              <w:keepNext/>
              <w:keepLines/>
              <w:ind w:right="436"/>
              <w:jc w:val="right"/>
              <w:rPr>
                <w:b/>
                <w:bCs/>
                <w:szCs w:val="24"/>
              </w:rPr>
            </w:pPr>
            <w:r w:rsidRPr="00692FD1">
              <w:rPr>
                <w:b/>
                <w:bCs/>
                <w:szCs w:val="24"/>
              </w:rPr>
              <w:t>449</w:t>
            </w:r>
          </w:p>
        </w:tc>
      </w:tr>
      <w:tr w:rsidR="00AD26D7" w:rsidRPr="006D6CEA" w:rsidTr="00A70C15">
        <w:trPr>
          <w:trHeight w:val="330"/>
        </w:trPr>
        <w:tc>
          <w:tcPr>
            <w:tcW w:w="496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26D7" w:rsidRPr="00692FD1" w:rsidRDefault="00AD26D7" w:rsidP="00A70C15">
            <w:pPr>
              <w:keepNext/>
              <w:keepLines/>
              <w:rPr>
                <w:szCs w:val="24"/>
              </w:rPr>
            </w:pPr>
            <w:r w:rsidRPr="00692FD1">
              <w:rPr>
                <w:color w:val="000000"/>
                <w:szCs w:val="24"/>
              </w:rPr>
              <w:t>Munkaszerződés kerületi intézményekhez</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AD26D7" w:rsidRPr="00692FD1" w:rsidRDefault="00AD26D7" w:rsidP="00A70C15">
            <w:pPr>
              <w:keepNext/>
              <w:keepLines/>
              <w:ind w:right="487"/>
              <w:jc w:val="right"/>
              <w:rPr>
                <w:szCs w:val="24"/>
              </w:rPr>
            </w:pPr>
            <w:r>
              <w:rPr>
                <w:szCs w:val="24"/>
              </w:rPr>
              <w:t>135</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AD26D7" w:rsidRPr="00692FD1" w:rsidRDefault="00AD26D7" w:rsidP="00A70C15">
            <w:pPr>
              <w:keepNext/>
              <w:keepLines/>
              <w:ind w:right="436"/>
              <w:jc w:val="right"/>
              <w:rPr>
                <w:b/>
                <w:bCs/>
                <w:szCs w:val="24"/>
              </w:rPr>
            </w:pPr>
            <w:r w:rsidRPr="00692FD1">
              <w:rPr>
                <w:b/>
                <w:bCs/>
                <w:szCs w:val="24"/>
              </w:rPr>
              <w:t>549</w:t>
            </w:r>
          </w:p>
        </w:tc>
      </w:tr>
      <w:tr w:rsidR="00AD26D7" w:rsidRPr="006D6CEA" w:rsidTr="00A70C15">
        <w:trPr>
          <w:trHeight w:val="330"/>
        </w:trPr>
        <w:tc>
          <w:tcPr>
            <w:tcW w:w="496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D26D7" w:rsidRPr="00692FD1" w:rsidRDefault="00AD26D7" w:rsidP="00A70C15">
            <w:pPr>
              <w:keepNext/>
              <w:keepLines/>
              <w:rPr>
                <w:szCs w:val="24"/>
              </w:rPr>
            </w:pPr>
            <w:r w:rsidRPr="00692FD1">
              <w:rPr>
                <w:szCs w:val="24"/>
              </w:rPr>
              <w:t>Saját státuszon dolgozók átlagos létszáma éves szinten</w:t>
            </w:r>
          </w:p>
        </w:tc>
        <w:tc>
          <w:tcPr>
            <w:tcW w:w="1689" w:type="dxa"/>
            <w:tcBorders>
              <w:top w:val="single" w:sz="4" w:space="0" w:color="auto"/>
              <w:left w:val="nil"/>
              <w:bottom w:val="single" w:sz="8" w:space="0" w:color="auto"/>
              <w:right w:val="single" w:sz="4" w:space="0" w:color="auto"/>
            </w:tcBorders>
            <w:shd w:val="clear" w:color="auto" w:fill="auto"/>
            <w:vAlign w:val="center"/>
            <w:hideMark/>
          </w:tcPr>
          <w:p w:rsidR="00AD26D7" w:rsidRPr="00692FD1" w:rsidRDefault="00AD26D7" w:rsidP="00A70C15">
            <w:pPr>
              <w:keepNext/>
              <w:keepLines/>
              <w:ind w:right="487"/>
              <w:jc w:val="right"/>
              <w:rPr>
                <w:szCs w:val="24"/>
              </w:rPr>
            </w:pPr>
            <w:r>
              <w:rPr>
                <w:szCs w:val="24"/>
              </w:rPr>
              <w:t>648</w:t>
            </w:r>
          </w:p>
        </w:tc>
        <w:tc>
          <w:tcPr>
            <w:tcW w:w="1650" w:type="dxa"/>
            <w:tcBorders>
              <w:top w:val="single" w:sz="4" w:space="0" w:color="auto"/>
              <w:left w:val="nil"/>
              <w:bottom w:val="single" w:sz="8" w:space="0" w:color="auto"/>
              <w:right w:val="single" w:sz="4" w:space="0" w:color="auto"/>
            </w:tcBorders>
            <w:shd w:val="clear" w:color="auto" w:fill="auto"/>
            <w:vAlign w:val="center"/>
            <w:hideMark/>
          </w:tcPr>
          <w:p w:rsidR="00AD26D7" w:rsidRPr="00692FD1" w:rsidRDefault="00AD26D7" w:rsidP="00A70C15">
            <w:pPr>
              <w:keepNext/>
              <w:keepLines/>
              <w:ind w:right="436"/>
              <w:jc w:val="right"/>
              <w:rPr>
                <w:b/>
                <w:bCs/>
                <w:szCs w:val="24"/>
              </w:rPr>
            </w:pPr>
            <w:r w:rsidRPr="00692FD1">
              <w:rPr>
                <w:b/>
                <w:bCs/>
                <w:szCs w:val="24"/>
              </w:rPr>
              <w:t>131</w:t>
            </w:r>
          </w:p>
        </w:tc>
      </w:tr>
    </w:tbl>
    <w:p w:rsidR="00AD26D7" w:rsidRPr="00245037" w:rsidRDefault="00AD26D7" w:rsidP="00AD26D7">
      <w:pPr>
        <w:pStyle w:val="Szvegtrzs2"/>
      </w:pPr>
      <w:r w:rsidRPr="00245037">
        <w:t xml:space="preserve">Részletesen lásd az </w:t>
      </w:r>
      <w:r>
        <w:t>ábra és szöveg gyűjtemény 5. a) táblázatán</w:t>
      </w:r>
    </w:p>
    <w:p w:rsidR="00AD26D7" w:rsidRPr="007678AA" w:rsidRDefault="00AD26D7" w:rsidP="00AD26D7">
      <w:pPr>
        <w:pStyle w:val="StlusCmsor4Egalizls14pt"/>
      </w:pPr>
      <w:r w:rsidRPr="007678AA">
        <w:t>Pénzügyi teljesítés</w:t>
      </w:r>
    </w:p>
    <w:p w:rsidR="00AD26D7" w:rsidRPr="0000468E" w:rsidRDefault="00AD26D7" w:rsidP="00AD26D7">
      <w:pPr>
        <w:pStyle w:val="Szvegtrzs"/>
        <w:ind w:left="993"/>
      </w:pPr>
      <w:r w:rsidRPr="0000468E">
        <w:t xml:space="preserve">Külön kezeljük a közfoglalkoztatás közvetlen költségeit és annak fedezését, továbbá a kerületi közfoglalkoztatás szervezésének egyenlegét. </w:t>
      </w:r>
    </w:p>
    <w:p w:rsidR="00AD26D7" w:rsidRDefault="00AD26D7" w:rsidP="00AD26D7">
      <w:pPr>
        <w:pStyle w:val="Szvegtrzs"/>
        <w:ind w:left="993"/>
      </w:pPr>
      <w:r w:rsidRPr="0000468E">
        <w:t xml:space="preserve">A közfoglalkoztatás közvetlen költségei </w:t>
      </w:r>
      <w:r>
        <w:t xml:space="preserve">és bevételei </w:t>
      </w:r>
      <w:r w:rsidRPr="0000468E">
        <w:t>a</w:t>
      </w:r>
      <w:r>
        <w:t>z igen alacsony saját státusz m</w:t>
      </w:r>
      <w:r>
        <w:t>i</w:t>
      </w:r>
      <w:r>
        <w:t>att jelentősen lecsökkentek</w:t>
      </w:r>
      <w:r w:rsidRPr="0000468E">
        <w:t>.</w:t>
      </w:r>
      <w:r>
        <w:t xml:space="preserve"> A közvetlen költségeket egyrészt a munkaügyi közpo</w:t>
      </w:r>
      <w:r>
        <w:t>n</w:t>
      </w:r>
      <w:r>
        <w:t>toknak, másrészt az önkormányzatoknak kell állnia. A sokszoros módosítások, leáll</w:t>
      </w:r>
      <w:r>
        <w:t>á</w:t>
      </w:r>
      <w:r>
        <w:t>sok és újra indulások miatt 543 ezer Ft hiány mutatkozik, melynek elszámolhatóság</w:t>
      </w:r>
      <w:r>
        <w:t>á</w:t>
      </w:r>
      <w:r>
        <w:t xml:space="preserve">ról még egyeztetések folynak. </w:t>
      </w:r>
    </w:p>
    <w:p w:rsidR="00AD26D7" w:rsidRDefault="00AD26D7" w:rsidP="00AD26D7">
      <w:pPr>
        <w:pStyle w:val="Szvegtrzs2"/>
      </w:pPr>
    </w:p>
    <w:p w:rsidR="00AD26D7" w:rsidRDefault="00AD26D7" w:rsidP="00AD26D7">
      <w:pPr>
        <w:pStyle w:val="Szvegtrzs"/>
        <w:numPr>
          <w:ilvl w:val="0"/>
          <w:numId w:val="5"/>
        </w:numPr>
        <w:ind w:left="709" w:hanging="323"/>
      </w:pPr>
      <w:r w:rsidRPr="0000468E">
        <w:t>számú ábra: A kerületi közfoglalkoztatás egyenlege</w:t>
      </w:r>
    </w:p>
    <w:tbl>
      <w:tblPr>
        <w:tblW w:w="9072" w:type="dxa"/>
        <w:tblInd w:w="496" w:type="dxa"/>
        <w:tblLayout w:type="fixed"/>
        <w:tblCellMar>
          <w:left w:w="70" w:type="dxa"/>
          <w:right w:w="70" w:type="dxa"/>
        </w:tblCellMar>
        <w:tblLook w:val="04A0"/>
      </w:tblPr>
      <w:tblGrid>
        <w:gridCol w:w="708"/>
        <w:gridCol w:w="3686"/>
        <w:gridCol w:w="992"/>
        <w:gridCol w:w="851"/>
        <w:gridCol w:w="850"/>
        <w:gridCol w:w="1134"/>
        <w:gridCol w:w="851"/>
      </w:tblGrid>
      <w:tr w:rsidR="00AD26D7" w:rsidRPr="0000468E" w:rsidTr="00A70C15">
        <w:trPr>
          <w:trHeight w:val="330"/>
        </w:trPr>
        <w:tc>
          <w:tcPr>
            <w:tcW w:w="708"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rsidR="00AD26D7" w:rsidRPr="0000468E" w:rsidRDefault="00AD26D7" w:rsidP="00A70C15">
            <w:pPr>
              <w:jc w:val="center"/>
              <w:rPr>
                <w:b/>
                <w:bCs/>
                <w:szCs w:val="24"/>
              </w:rPr>
            </w:pPr>
            <w:r w:rsidRPr="0000468E">
              <w:rPr>
                <w:b/>
                <w:bCs/>
                <w:szCs w:val="24"/>
              </w:rPr>
              <w:t>VI</w:t>
            </w:r>
          </w:p>
        </w:tc>
        <w:tc>
          <w:tcPr>
            <w:tcW w:w="3686" w:type="dxa"/>
            <w:tcBorders>
              <w:top w:val="single" w:sz="8" w:space="0" w:color="auto"/>
              <w:left w:val="nil"/>
              <w:bottom w:val="single" w:sz="4" w:space="0" w:color="auto"/>
              <w:right w:val="single" w:sz="8" w:space="0" w:color="auto"/>
            </w:tcBorders>
            <w:shd w:val="clear" w:color="000000" w:fill="FCD5B4"/>
            <w:noWrap/>
            <w:vAlign w:val="bottom"/>
            <w:hideMark/>
          </w:tcPr>
          <w:p w:rsidR="00AD26D7" w:rsidRPr="0000468E" w:rsidRDefault="00AD26D7" w:rsidP="00A70C15">
            <w:pPr>
              <w:rPr>
                <w:b/>
                <w:bCs/>
                <w:szCs w:val="24"/>
              </w:rPr>
            </w:pPr>
            <w:r w:rsidRPr="0000468E">
              <w:rPr>
                <w:b/>
                <w:bCs/>
                <w:szCs w:val="24"/>
              </w:rPr>
              <w:t>Kerületi közfoglalkoztatás</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D26D7" w:rsidRPr="0000468E" w:rsidRDefault="00AD26D7" w:rsidP="00A70C15">
            <w:pPr>
              <w:jc w:val="center"/>
              <w:rPr>
                <w:color w:val="000000"/>
                <w:szCs w:val="24"/>
              </w:rPr>
            </w:pPr>
            <w:r w:rsidRPr="0000468E">
              <w:rPr>
                <w:color w:val="000000"/>
                <w:szCs w:val="24"/>
              </w:rPr>
              <w:t>2010. tény</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AD26D7" w:rsidRPr="0000468E" w:rsidRDefault="00AD26D7" w:rsidP="00A70C15">
            <w:pPr>
              <w:jc w:val="center"/>
              <w:rPr>
                <w:color w:val="000000"/>
                <w:szCs w:val="24"/>
              </w:rPr>
            </w:pPr>
            <w:r w:rsidRPr="0000468E">
              <w:rPr>
                <w:color w:val="000000"/>
                <w:szCs w:val="24"/>
              </w:rPr>
              <w:t>2011. terv</w:t>
            </w:r>
          </w:p>
        </w:tc>
        <w:tc>
          <w:tcPr>
            <w:tcW w:w="850" w:type="dxa"/>
            <w:tcBorders>
              <w:top w:val="single" w:sz="8" w:space="0" w:color="auto"/>
              <w:left w:val="nil"/>
              <w:bottom w:val="single" w:sz="8" w:space="0" w:color="auto"/>
              <w:right w:val="single" w:sz="8" w:space="0" w:color="auto"/>
            </w:tcBorders>
            <w:shd w:val="clear" w:color="000000" w:fill="FFFF00"/>
            <w:vAlign w:val="center"/>
            <w:hideMark/>
          </w:tcPr>
          <w:p w:rsidR="00AD26D7" w:rsidRPr="0000468E" w:rsidRDefault="00AD26D7" w:rsidP="00A70C15">
            <w:pPr>
              <w:jc w:val="center"/>
              <w:rPr>
                <w:b/>
                <w:bCs/>
                <w:szCs w:val="24"/>
              </w:rPr>
            </w:pPr>
            <w:r w:rsidRPr="0000468E">
              <w:rPr>
                <w:b/>
                <w:bCs/>
                <w:szCs w:val="24"/>
              </w:rPr>
              <w:t>2011. tény</w:t>
            </w:r>
          </w:p>
        </w:tc>
        <w:tc>
          <w:tcPr>
            <w:tcW w:w="1985" w:type="dxa"/>
            <w:gridSpan w:val="2"/>
            <w:tcBorders>
              <w:top w:val="single" w:sz="8" w:space="0" w:color="auto"/>
              <w:left w:val="nil"/>
              <w:bottom w:val="single" w:sz="8" w:space="0" w:color="auto"/>
              <w:right w:val="single" w:sz="8" w:space="0" w:color="000000"/>
            </w:tcBorders>
            <w:shd w:val="clear" w:color="auto" w:fill="auto"/>
            <w:vAlign w:val="center"/>
            <w:hideMark/>
          </w:tcPr>
          <w:p w:rsidR="00AD26D7" w:rsidRPr="0000468E" w:rsidRDefault="00AD26D7" w:rsidP="00A70C15">
            <w:pPr>
              <w:jc w:val="center"/>
              <w:rPr>
                <w:color w:val="000000"/>
                <w:szCs w:val="24"/>
              </w:rPr>
            </w:pPr>
            <w:r w:rsidRPr="0000468E">
              <w:rPr>
                <w:color w:val="000000"/>
                <w:szCs w:val="24"/>
              </w:rPr>
              <w:t>2011 tény/ 2010 tény</w:t>
            </w:r>
          </w:p>
        </w:tc>
      </w:tr>
      <w:tr w:rsidR="00AD26D7" w:rsidRPr="0000468E" w:rsidTr="00A70C15">
        <w:trPr>
          <w:trHeight w:val="300"/>
        </w:trPr>
        <w:tc>
          <w:tcPr>
            <w:tcW w:w="708" w:type="dxa"/>
            <w:vMerge/>
            <w:tcBorders>
              <w:top w:val="single" w:sz="8" w:space="0" w:color="auto"/>
              <w:left w:val="single" w:sz="8" w:space="0" w:color="auto"/>
              <w:bottom w:val="single" w:sz="8" w:space="0" w:color="000000"/>
              <w:right w:val="single" w:sz="4" w:space="0" w:color="auto"/>
            </w:tcBorders>
            <w:vAlign w:val="center"/>
            <w:hideMark/>
          </w:tcPr>
          <w:p w:rsidR="00AD26D7" w:rsidRPr="0000468E" w:rsidRDefault="00AD26D7" w:rsidP="00A70C15">
            <w:pPr>
              <w:rPr>
                <w:b/>
                <w:bCs/>
                <w:szCs w:val="24"/>
              </w:rPr>
            </w:pPr>
          </w:p>
        </w:tc>
        <w:tc>
          <w:tcPr>
            <w:tcW w:w="3686" w:type="dxa"/>
            <w:tcBorders>
              <w:top w:val="nil"/>
              <w:left w:val="nil"/>
              <w:bottom w:val="single" w:sz="8" w:space="0" w:color="auto"/>
              <w:right w:val="single" w:sz="8" w:space="0" w:color="auto"/>
            </w:tcBorders>
            <w:shd w:val="clear" w:color="000000" w:fill="FCD5B4"/>
            <w:noWrap/>
            <w:vAlign w:val="bottom"/>
            <w:hideMark/>
          </w:tcPr>
          <w:p w:rsidR="00AD26D7" w:rsidRPr="0000468E" w:rsidRDefault="00AD26D7" w:rsidP="00A70C15">
            <w:pPr>
              <w:jc w:val="center"/>
              <w:rPr>
                <w:b/>
                <w:bCs/>
                <w:color w:val="000000"/>
                <w:szCs w:val="24"/>
              </w:rPr>
            </w:pPr>
            <w:r w:rsidRPr="0000468E">
              <w:rPr>
                <w:b/>
                <w:bCs/>
                <w:color w:val="000000"/>
                <w:szCs w:val="24"/>
              </w:rPr>
              <w:t>Egyenleg</w:t>
            </w:r>
          </w:p>
        </w:tc>
        <w:tc>
          <w:tcPr>
            <w:tcW w:w="992" w:type="dxa"/>
            <w:tcBorders>
              <w:top w:val="nil"/>
              <w:left w:val="nil"/>
              <w:bottom w:val="single" w:sz="4" w:space="0" w:color="auto"/>
              <w:right w:val="single" w:sz="4" w:space="0" w:color="auto"/>
            </w:tcBorders>
            <w:shd w:val="clear" w:color="000000" w:fill="FCD5B4"/>
            <w:noWrap/>
            <w:vAlign w:val="bottom"/>
            <w:hideMark/>
          </w:tcPr>
          <w:p w:rsidR="00AD26D7" w:rsidRPr="0000468E" w:rsidRDefault="00AD26D7" w:rsidP="00A70C15">
            <w:pPr>
              <w:jc w:val="right"/>
              <w:rPr>
                <w:color w:val="000000"/>
                <w:szCs w:val="24"/>
              </w:rPr>
            </w:pPr>
            <w:r w:rsidRPr="0000468E">
              <w:rPr>
                <w:color w:val="000000"/>
                <w:szCs w:val="24"/>
              </w:rPr>
              <w:t>0</w:t>
            </w:r>
          </w:p>
        </w:tc>
        <w:tc>
          <w:tcPr>
            <w:tcW w:w="851" w:type="dxa"/>
            <w:tcBorders>
              <w:top w:val="nil"/>
              <w:left w:val="nil"/>
              <w:bottom w:val="single" w:sz="4" w:space="0" w:color="auto"/>
              <w:right w:val="single" w:sz="4" w:space="0" w:color="auto"/>
            </w:tcBorders>
            <w:shd w:val="clear" w:color="000000" w:fill="FCD5B4"/>
            <w:noWrap/>
            <w:vAlign w:val="bottom"/>
            <w:hideMark/>
          </w:tcPr>
          <w:p w:rsidR="00AD26D7" w:rsidRPr="0000468E" w:rsidRDefault="00AD26D7" w:rsidP="00A70C15">
            <w:pPr>
              <w:jc w:val="right"/>
              <w:rPr>
                <w:color w:val="000000"/>
                <w:szCs w:val="24"/>
              </w:rPr>
            </w:pPr>
            <w:r w:rsidRPr="0000468E">
              <w:rPr>
                <w:color w:val="000000"/>
                <w:szCs w:val="24"/>
              </w:rPr>
              <w:t>0</w:t>
            </w:r>
          </w:p>
        </w:tc>
        <w:tc>
          <w:tcPr>
            <w:tcW w:w="850" w:type="dxa"/>
            <w:tcBorders>
              <w:top w:val="nil"/>
              <w:left w:val="nil"/>
              <w:bottom w:val="single" w:sz="4" w:space="0" w:color="auto"/>
              <w:right w:val="single" w:sz="4" w:space="0" w:color="auto"/>
            </w:tcBorders>
            <w:shd w:val="clear" w:color="000000" w:fill="FCD5B4"/>
            <w:noWrap/>
            <w:vAlign w:val="bottom"/>
            <w:hideMark/>
          </w:tcPr>
          <w:p w:rsidR="00AD26D7" w:rsidRPr="0000468E" w:rsidRDefault="00AD26D7" w:rsidP="00A70C15">
            <w:pPr>
              <w:jc w:val="right"/>
              <w:rPr>
                <w:color w:val="000000"/>
                <w:szCs w:val="24"/>
              </w:rPr>
            </w:pPr>
            <w:r w:rsidRPr="0000468E">
              <w:rPr>
                <w:color w:val="000000"/>
                <w:szCs w:val="24"/>
              </w:rPr>
              <w:t>-543</w:t>
            </w:r>
          </w:p>
        </w:tc>
        <w:tc>
          <w:tcPr>
            <w:tcW w:w="1134" w:type="dxa"/>
            <w:tcBorders>
              <w:top w:val="single" w:sz="4" w:space="0" w:color="auto"/>
              <w:left w:val="nil"/>
              <w:bottom w:val="single" w:sz="4" w:space="0" w:color="auto"/>
              <w:right w:val="single" w:sz="4" w:space="0" w:color="auto"/>
            </w:tcBorders>
            <w:shd w:val="clear" w:color="000000" w:fill="FCD5B4"/>
            <w:noWrap/>
            <w:vAlign w:val="center"/>
            <w:hideMark/>
          </w:tcPr>
          <w:p w:rsidR="00AD26D7" w:rsidRPr="0000468E" w:rsidRDefault="00AD26D7" w:rsidP="00A70C15">
            <w:pPr>
              <w:jc w:val="right"/>
              <w:rPr>
                <w:bCs/>
                <w:szCs w:val="24"/>
              </w:rPr>
            </w:pPr>
            <w:r w:rsidRPr="0000468E">
              <w:rPr>
                <w:bCs/>
                <w:szCs w:val="24"/>
              </w:rPr>
              <w:t>-543</w:t>
            </w:r>
          </w:p>
        </w:tc>
        <w:tc>
          <w:tcPr>
            <w:tcW w:w="851" w:type="dxa"/>
            <w:tcBorders>
              <w:top w:val="single" w:sz="4" w:space="0" w:color="auto"/>
              <w:left w:val="nil"/>
              <w:bottom w:val="single" w:sz="4" w:space="0" w:color="auto"/>
              <w:right w:val="single" w:sz="8" w:space="0" w:color="auto"/>
            </w:tcBorders>
            <w:shd w:val="clear" w:color="000000" w:fill="FCD5B4"/>
            <w:noWrap/>
            <w:vAlign w:val="center"/>
            <w:hideMark/>
          </w:tcPr>
          <w:p w:rsidR="00AD26D7" w:rsidRPr="0000468E" w:rsidRDefault="00AD26D7" w:rsidP="00A70C15">
            <w:pPr>
              <w:jc w:val="center"/>
              <w:rPr>
                <w:bCs/>
                <w:szCs w:val="24"/>
              </w:rPr>
            </w:pPr>
            <w:r w:rsidRPr="0000468E">
              <w:rPr>
                <w:bCs/>
                <w:szCs w:val="24"/>
              </w:rPr>
              <w:t> </w:t>
            </w:r>
          </w:p>
        </w:tc>
      </w:tr>
      <w:tr w:rsidR="00AD26D7" w:rsidRPr="0000468E" w:rsidTr="00A70C15">
        <w:trPr>
          <w:trHeight w:val="30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AD26D7" w:rsidRPr="0000468E" w:rsidRDefault="00AD26D7" w:rsidP="00A70C15">
            <w:pPr>
              <w:rPr>
                <w:color w:val="000000"/>
                <w:szCs w:val="24"/>
              </w:rPr>
            </w:pPr>
            <w:r w:rsidRPr="0000468E">
              <w:rPr>
                <w:color w:val="000000"/>
                <w:szCs w:val="24"/>
              </w:rPr>
              <w:t>6.1/</w:t>
            </w:r>
            <w:proofErr w:type="gramStart"/>
            <w:r w:rsidRPr="0000468E">
              <w:rPr>
                <w:color w:val="000000"/>
                <w:szCs w:val="24"/>
              </w:rPr>
              <w:t>a</w:t>
            </w:r>
            <w:proofErr w:type="gramEnd"/>
          </w:p>
        </w:tc>
        <w:tc>
          <w:tcPr>
            <w:tcW w:w="3686"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rPr>
                <w:b/>
                <w:bCs/>
                <w:szCs w:val="24"/>
              </w:rPr>
            </w:pPr>
            <w:r w:rsidRPr="0000468E">
              <w:rPr>
                <w:b/>
                <w:bCs/>
                <w:szCs w:val="24"/>
              </w:rPr>
              <w:t>Költségek összesen:</w:t>
            </w:r>
          </w:p>
        </w:tc>
        <w:tc>
          <w:tcPr>
            <w:tcW w:w="992"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b/>
                <w:bCs/>
                <w:szCs w:val="24"/>
              </w:rPr>
            </w:pPr>
            <w:r w:rsidRPr="0000468E">
              <w:rPr>
                <w:b/>
                <w:bCs/>
                <w:szCs w:val="24"/>
              </w:rPr>
              <w:t>686 808</w:t>
            </w:r>
          </w:p>
        </w:tc>
        <w:tc>
          <w:tcPr>
            <w:tcW w:w="851"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b/>
                <w:bCs/>
                <w:szCs w:val="24"/>
              </w:rPr>
            </w:pPr>
            <w:r w:rsidRPr="0000468E">
              <w:rPr>
                <w:b/>
                <w:bCs/>
                <w:szCs w:val="24"/>
              </w:rPr>
              <w:t>94 820</w:t>
            </w:r>
          </w:p>
        </w:tc>
        <w:tc>
          <w:tcPr>
            <w:tcW w:w="850" w:type="dxa"/>
            <w:tcBorders>
              <w:top w:val="nil"/>
              <w:left w:val="nil"/>
              <w:bottom w:val="single" w:sz="4" w:space="0" w:color="auto"/>
              <w:right w:val="single" w:sz="4" w:space="0" w:color="auto"/>
            </w:tcBorders>
            <w:shd w:val="clear" w:color="000000" w:fill="FFFF00"/>
            <w:noWrap/>
            <w:vAlign w:val="bottom"/>
            <w:hideMark/>
          </w:tcPr>
          <w:p w:rsidR="00AD26D7" w:rsidRPr="0000468E" w:rsidRDefault="00AD26D7" w:rsidP="00A70C15">
            <w:pPr>
              <w:jc w:val="right"/>
              <w:rPr>
                <w:b/>
                <w:bCs/>
                <w:szCs w:val="24"/>
              </w:rPr>
            </w:pPr>
            <w:r w:rsidRPr="0000468E">
              <w:rPr>
                <w:b/>
                <w:bCs/>
                <w:szCs w:val="24"/>
              </w:rPr>
              <w:t>59 041</w:t>
            </w:r>
          </w:p>
        </w:tc>
        <w:tc>
          <w:tcPr>
            <w:tcW w:w="1134" w:type="dxa"/>
            <w:tcBorders>
              <w:top w:val="nil"/>
              <w:left w:val="nil"/>
              <w:bottom w:val="single" w:sz="4"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-627 767</w:t>
            </w:r>
          </w:p>
        </w:tc>
        <w:tc>
          <w:tcPr>
            <w:tcW w:w="851" w:type="dxa"/>
            <w:tcBorders>
              <w:top w:val="nil"/>
              <w:left w:val="nil"/>
              <w:bottom w:val="single" w:sz="4"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9%</w:t>
            </w:r>
          </w:p>
        </w:tc>
      </w:tr>
      <w:tr w:rsidR="00AD26D7" w:rsidRPr="0000468E" w:rsidTr="00A70C15">
        <w:trPr>
          <w:trHeight w:val="2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AD26D7" w:rsidRPr="0000468E" w:rsidRDefault="00AD26D7" w:rsidP="00A70C15">
            <w:pPr>
              <w:rPr>
                <w:color w:val="000000"/>
                <w:szCs w:val="24"/>
              </w:rPr>
            </w:pPr>
            <w:r w:rsidRPr="0000468E">
              <w:rPr>
                <w:color w:val="000000"/>
                <w:szCs w:val="24"/>
              </w:rPr>
              <w:t>6.2</w:t>
            </w:r>
          </w:p>
        </w:tc>
        <w:tc>
          <w:tcPr>
            <w:tcW w:w="3686" w:type="dxa"/>
            <w:tcBorders>
              <w:top w:val="nil"/>
              <w:left w:val="nil"/>
              <w:bottom w:val="single" w:sz="4" w:space="0" w:color="auto"/>
              <w:right w:val="single" w:sz="4" w:space="0" w:color="auto"/>
            </w:tcBorders>
            <w:shd w:val="clear" w:color="auto" w:fill="auto"/>
            <w:vAlign w:val="bottom"/>
            <w:hideMark/>
          </w:tcPr>
          <w:p w:rsidR="00AD26D7" w:rsidRPr="0000468E" w:rsidRDefault="00AD26D7" w:rsidP="00A70C15">
            <w:pPr>
              <w:rPr>
                <w:szCs w:val="24"/>
              </w:rPr>
            </w:pPr>
            <w:r w:rsidRPr="0000468E">
              <w:rPr>
                <w:szCs w:val="24"/>
              </w:rPr>
              <w:t>Közfoglalkoztatottak közvetlen köl</w:t>
            </w:r>
            <w:r w:rsidRPr="0000468E">
              <w:rPr>
                <w:szCs w:val="24"/>
              </w:rPr>
              <w:t>t</w:t>
            </w:r>
            <w:r w:rsidRPr="0000468E">
              <w:rPr>
                <w:szCs w:val="24"/>
              </w:rPr>
              <w:t>sége</w:t>
            </w:r>
          </w:p>
        </w:tc>
        <w:tc>
          <w:tcPr>
            <w:tcW w:w="992"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686 808</w:t>
            </w:r>
          </w:p>
        </w:tc>
        <w:tc>
          <w:tcPr>
            <w:tcW w:w="851"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94 820</w:t>
            </w:r>
          </w:p>
        </w:tc>
        <w:tc>
          <w:tcPr>
            <w:tcW w:w="850" w:type="dxa"/>
            <w:tcBorders>
              <w:top w:val="nil"/>
              <w:left w:val="nil"/>
              <w:bottom w:val="single" w:sz="4" w:space="0" w:color="auto"/>
              <w:right w:val="single" w:sz="4" w:space="0" w:color="auto"/>
            </w:tcBorders>
            <w:shd w:val="clear" w:color="000000" w:fill="FFFF00"/>
            <w:noWrap/>
            <w:vAlign w:val="bottom"/>
            <w:hideMark/>
          </w:tcPr>
          <w:p w:rsidR="00AD26D7" w:rsidRPr="0000468E" w:rsidRDefault="00AD26D7" w:rsidP="00A70C15">
            <w:pPr>
              <w:jc w:val="right"/>
              <w:rPr>
                <w:color w:val="000000"/>
                <w:szCs w:val="24"/>
              </w:rPr>
            </w:pPr>
            <w:r w:rsidRPr="0000468E">
              <w:rPr>
                <w:color w:val="000000"/>
                <w:szCs w:val="24"/>
              </w:rPr>
              <w:t>59 041</w:t>
            </w:r>
          </w:p>
        </w:tc>
        <w:tc>
          <w:tcPr>
            <w:tcW w:w="1134" w:type="dxa"/>
            <w:tcBorders>
              <w:top w:val="nil"/>
              <w:left w:val="nil"/>
              <w:bottom w:val="single" w:sz="4"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-627 767</w:t>
            </w:r>
          </w:p>
        </w:tc>
        <w:tc>
          <w:tcPr>
            <w:tcW w:w="851" w:type="dxa"/>
            <w:tcBorders>
              <w:top w:val="nil"/>
              <w:left w:val="nil"/>
              <w:bottom w:val="single" w:sz="4"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9%</w:t>
            </w:r>
          </w:p>
        </w:tc>
      </w:tr>
      <w:tr w:rsidR="00AD26D7" w:rsidRPr="0000468E" w:rsidTr="00A70C15">
        <w:trPr>
          <w:trHeight w:val="30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AD26D7" w:rsidRPr="0000468E" w:rsidRDefault="00AD26D7" w:rsidP="00A70C15">
            <w:pPr>
              <w:rPr>
                <w:color w:val="000000"/>
                <w:szCs w:val="24"/>
              </w:rPr>
            </w:pPr>
            <w:r w:rsidRPr="0000468E">
              <w:rPr>
                <w:color w:val="000000"/>
                <w:szCs w:val="24"/>
              </w:rPr>
              <w:t>6.5/</w:t>
            </w:r>
            <w:proofErr w:type="gramStart"/>
            <w:r w:rsidRPr="0000468E">
              <w:rPr>
                <w:color w:val="000000"/>
                <w:szCs w:val="24"/>
              </w:rPr>
              <w:t>a</w:t>
            </w:r>
            <w:proofErr w:type="gramEnd"/>
          </w:p>
        </w:tc>
        <w:tc>
          <w:tcPr>
            <w:tcW w:w="3686"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rPr>
                <w:b/>
                <w:bCs/>
                <w:szCs w:val="24"/>
              </w:rPr>
            </w:pPr>
            <w:r w:rsidRPr="0000468E">
              <w:rPr>
                <w:b/>
                <w:bCs/>
                <w:szCs w:val="24"/>
              </w:rPr>
              <w:t>Bevételek összesen:</w:t>
            </w:r>
          </w:p>
        </w:tc>
        <w:tc>
          <w:tcPr>
            <w:tcW w:w="992"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b/>
                <w:bCs/>
                <w:szCs w:val="24"/>
              </w:rPr>
            </w:pPr>
            <w:r w:rsidRPr="0000468E">
              <w:rPr>
                <w:b/>
                <w:bCs/>
                <w:szCs w:val="24"/>
              </w:rPr>
              <w:t>686 808</w:t>
            </w:r>
          </w:p>
        </w:tc>
        <w:tc>
          <w:tcPr>
            <w:tcW w:w="851"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b/>
                <w:bCs/>
                <w:szCs w:val="24"/>
              </w:rPr>
            </w:pPr>
            <w:r w:rsidRPr="0000468E">
              <w:rPr>
                <w:b/>
                <w:bCs/>
                <w:szCs w:val="24"/>
              </w:rPr>
              <w:t>94 820</w:t>
            </w:r>
          </w:p>
        </w:tc>
        <w:tc>
          <w:tcPr>
            <w:tcW w:w="850" w:type="dxa"/>
            <w:tcBorders>
              <w:top w:val="nil"/>
              <w:left w:val="nil"/>
              <w:bottom w:val="single" w:sz="4" w:space="0" w:color="auto"/>
              <w:right w:val="single" w:sz="4" w:space="0" w:color="auto"/>
            </w:tcBorders>
            <w:shd w:val="clear" w:color="000000" w:fill="FFFF00"/>
            <w:noWrap/>
            <w:vAlign w:val="bottom"/>
            <w:hideMark/>
          </w:tcPr>
          <w:p w:rsidR="00AD26D7" w:rsidRPr="0000468E" w:rsidRDefault="00AD26D7" w:rsidP="00A70C15">
            <w:pPr>
              <w:jc w:val="right"/>
              <w:rPr>
                <w:b/>
                <w:bCs/>
                <w:szCs w:val="24"/>
              </w:rPr>
            </w:pPr>
            <w:r w:rsidRPr="0000468E">
              <w:rPr>
                <w:b/>
                <w:bCs/>
                <w:szCs w:val="24"/>
              </w:rPr>
              <w:t>58 498</w:t>
            </w:r>
          </w:p>
        </w:tc>
        <w:tc>
          <w:tcPr>
            <w:tcW w:w="1134" w:type="dxa"/>
            <w:tcBorders>
              <w:top w:val="nil"/>
              <w:left w:val="nil"/>
              <w:bottom w:val="single" w:sz="4"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-628 310</w:t>
            </w:r>
          </w:p>
        </w:tc>
        <w:tc>
          <w:tcPr>
            <w:tcW w:w="851" w:type="dxa"/>
            <w:tcBorders>
              <w:top w:val="nil"/>
              <w:left w:val="nil"/>
              <w:bottom w:val="single" w:sz="4"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9%</w:t>
            </w:r>
          </w:p>
        </w:tc>
      </w:tr>
      <w:tr w:rsidR="00AD26D7" w:rsidRPr="0000468E" w:rsidTr="00A70C15">
        <w:trPr>
          <w:trHeight w:val="2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AD26D7" w:rsidRPr="0000468E" w:rsidRDefault="00AD26D7" w:rsidP="00A70C15">
            <w:pPr>
              <w:rPr>
                <w:color w:val="000000"/>
                <w:szCs w:val="24"/>
              </w:rPr>
            </w:pPr>
            <w:r w:rsidRPr="0000468E">
              <w:rPr>
                <w:color w:val="000000"/>
                <w:szCs w:val="24"/>
              </w:rPr>
              <w:t>6.6</w:t>
            </w:r>
          </w:p>
        </w:tc>
        <w:tc>
          <w:tcPr>
            <w:tcW w:w="3686" w:type="dxa"/>
            <w:tcBorders>
              <w:top w:val="nil"/>
              <w:left w:val="nil"/>
              <w:bottom w:val="single" w:sz="4" w:space="0" w:color="auto"/>
              <w:right w:val="single" w:sz="4" w:space="0" w:color="auto"/>
            </w:tcBorders>
            <w:shd w:val="clear" w:color="auto" w:fill="auto"/>
            <w:vAlign w:val="bottom"/>
            <w:hideMark/>
          </w:tcPr>
          <w:p w:rsidR="00AD26D7" w:rsidRPr="0000468E" w:rsidRDefault="00AD26D7" w:rsidP="00A70C15">
            <w:pPr>
              <w:rPr>
                <w:szCs w:val="24"/>
              </w:rPr>
            </w:pPr>
            <w:r w:rsidRPr="0000468E">
              <w:rPr>
                <w:szCs w:val="24"/>
              </w:rPr>
              <w:t>Ker</w:t>
            </w:r>
            <w:r>
              <w:rPr>
                <w:szCs w:val="24"/>
              </w:rPr>
              <w:t>ületi</w:t>
            </w:r>
            <w:r w:rsidRPr="0000468E">
              <w:rPr>
                <w:szCs w:val="24"/>
              </w:rPr>
              <w:t xml:space="preserve"> önkormányzati önrész </w:t>
            </w:r>
          </w:p>
        </w:tc>
        <w:tc>
          <w:tcPr>
            <w:tcW w:w="992"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51 549</w:t>
            </w:r>
          </w:p>
        </w:tc>
        <w:tc>
          <w:tcPr>
            <w:tcW w:w="851"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39 700</w:t>
            </w:r>
          </w:p>
        </w:tc>
        <w:tc>
          <w:tcPr>
            <w:tcW w:w="850" w:type="dxa"/>
            <w:tcBorders>
              <w:top w:val="nil"/>
              <w:left w:val="nil"/>
              <w:bottom w:val="single" w:sz="4" w:space="0" w:color="auto"/>
              <w:right w:val="single" w:sz="4" w:space="0" w:color="auto"/>
            </w:tcBorders>
            <w:shd w:val="clear" w:color="000000" w:fill="FFFF00"/>
            <w:noWrap/>
            <w:vAlign w:val="bottom"/>
            <w:hideMark/>
          </w:tcPr>
          <w:p w:rsidR="00AD26D7" w:rsidRPr="0000468E" w:rsidRDefault="00AD26D7" w:rsidP="00A70C15">
            <w:pPr>
              <w:jc w:val="right"/>
              <w:rPr>
                <w:color w:val="000000"/>
                <w:szCs w:val="24"/>
              </w:rPr>
            </w:pPr>
            <w:r w:rsidRPr="0000468E">
              <w:rPr>
                <w:color w:val="000000"/>
                <w:szCs w:val="24"/>
              </w:rPr>
              <w:t>38 509</w:t>
            </w:r>
          </w:p>
        </w:tc>
        <w:tc>
          <w:tcPr>
            <w:tcW w:w="1134" w:type="dxa"/>
            <w:tcBorders>
              <w:top w:val="nil"/>
              <w:left w:val="nil"/>
              <w:bottom w:val="single" w:sz="4"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-13 040</w:t>
            </w:r>
          </w:p>
        </w:tc>
        <w:tc>
          <w:tcPr>
            <w:tcW w:w="851" w:type="dxa"/>
            <w:tcBorders>
              <w:top w:val="nil"/>
              <w:left w:val="nil"/>
              <w:bottom w:val="single" w:sz="4"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75%</w:t>
            </w:r>
          </w:p>
        </w:tc>
      </w:tr>
      <w:tr w:rsidR="00AD26D7" w:rsidRPr="0051071A" w:rsidTr="00A70C15">
        <w:trPr>
          <w:trHeight w:val="300"/>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AD26D7" w:rsidRPr="0000468E" w:rsidRDefault="00AD26D7" w:rsidP="00A70C15">
            <w:pPr>
              <w:rPr>
                <w:color w:val="000000"/>
                <w:szCs w:val="24"/>
              </w:rPr>
            </w:pPr>
            <w:r w:rsidRPr="0000468E">
              <w:rPr>
                <w:color w:val="000000"/>
                <w:szCs w:val="24"/>
              </w:rPr>
              <w:t>6.8</w:t>
            </w:r>
          </w:p>
        </w:tc>
        <w:tc>
          <w:tcPr>
            <w:tcW w:w="3686" w:type="dxa"/>
            <w:tcBorders>
              <w:top w:val="nil"/>
              <w:left w:val="nil"/>
              <w:bottom w:val="single" w:sz="8" w:space="0" w:color="auto"/>
              <w:right w:val="single" w:sz="4" w:space="0" w:color="auto"/>
            </w:tcBorders>
            <w:shd w:val="clear" w:color="auto" w:fill="auto"/>
            <w:vAlign w:val="bottom"/>
            <w:hideMark/>
          </w:tcPr>
          <w:p w:rsidR="00AD26D7" w:rsidRPr="0000468E" w:rsidRDefault="00AD26D7" w:rsidP="00A70C15">
            <w:pPr>
              <w:rPr>
                <w:color w:val="000000"/>
                <w:szCs w:val="24"/>
              </w:rPr>
            </w:pPr>
            <w:r>
              <w:rPr>
                <w:color w:val="000000"/>
                <w:szCs w:val="24"/>
              </w:rPr>
              <w:t>KMRMK</w:t>
            </w:r>
            <w:r w:rsidRPr="0000468E">
              <w:rPr>
                <w:color w:val="000000"/>
                <w:szCs w:val="24"/>
              </w:rPr>
              <w:t xml:space="preserve"> támogatás</w:t>
            </w:r>
          </w:p>
        </w:tc>
        <w:tc>
          <w:tcPr>
            <w:tcW w:w="992" w:type="dxa"/>
            <w:tcBorders>
              <w:top w:val="nil"/>
              <w:left w:val="nil"/>
              <w:bottom w:val="single" w:sz="8"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635 259</w:t>
            </w:r>
          </w:p>
        </w:tc>
        <w:tc>
          <w:tcPr>
            <w:tcW w:w="851" w:type="dxa"/>
            <w:tcBorders>
              <w:top w:val="nil"/>
              <w:left w:val="nil"/>
              <w:bottom w:val="single" w:sz="8"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55 120</w:t>
            </w:r>
          </w:p>
        </w:tc>
        <w:tc>
          <w:tcPr>
            <w:tcW w:w="850" w:type="dxa"/>
            <w:tcBorders>
              <w:top w:val="nil"/>
              <w:left w:val="nil"/>
              <w:bottom w:val="single" w:sz="8" w:space="0" w:color="auto"/>
              <w:right w:val="single" w:sz="4" w:space="0" w:color="auto"/>
            </w:tcBorders>
            <w:shd w:val="clear" w:color="000000" w:fill="FFFF00"/>
            <w:noWrap/>
            <w:vAlign w:val="bottom"/>
            <w:hideMark/>
          </w:tcPr>
          <w:p w:rsidR="00AD26D7" w:rsidRPr="0000468E" w:rsidRDefault="00AD26D7" w:rsidP="00A70C15">
            <w:pPr>
              <w:jc w:val="right"/>
              <w:rPr>
                <w:color w:val="000000"/>
                <w:szCs w:val="24"/>
              </w:rPr>
            </w:pPr>
            <w:r w:rsidRPr="0000468E">
              <w:rPr>
                <w:color w:val="000000"/>
                <w:szCs w:val="24"/>
              </w:rPr>
              <w:t>19 989</w:t>
            </w:r>
          </w:p>
        </w:tc>
        <w:tc>
          <w:tcPr>
            <w:tcW w:w="1134" w:type="dxa"/>
            <w:tcBorders>
              <w:top w:val="nil"/>
              <w:left w:val="nil"/>
              <w:bottom w:val="single" w:sz="8"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-615 270</w:t>
            </w:r>
          </w:p>
        </w:tc>
        <w:tc>
          <w:tcPr>
            <w:tcW w:w="851" w:type="dxa"/>
            <w:tcBorders>
              <w:top w:val="nil"/>
              <w:left w:val="nil"/>
              <w:bottom w:val="single" w:sz="8"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3%</w:t>
            </w:r>
          </w:p>
        </w:tc>
      </w:tr>
    </w:tbl>
    <w:p w:rsidR="00AD26D7" w:rsidRPr="0051071A" w:rsidRDefault="00AD26D7" w:rsidP="00AD26D7">
      <w:pPr>
        <w:pStyle w:val="Szvegtrzs2"/>
        <w:ind w:left="567"/>
        <w:rPr>
          <w:highlight w:val="yellow"/>
        </w:rPr>
      </w:pPr>
    </w:p>
    <w:p w:rsidR="00AD26D7" w:rsidRPr="0000468E" w:rsidRDefault="00AD26D7" w:rsidP="00AD26D7">
      <w:pPr>
        <w:pStyle w:val="Szvegtrzs"/>
        <w:ind w:left="993"/>
      </w:pPr>
      <w:r>
        <w:t xml:space="preserve">A </w:t>
      </w:r>
      <w:r w:rsidRPr="0000468E">
        <w:t>kerületi közfoglalkoztatás szervezése</w:t>
      </w:r>
      <w:r>
        <w:t xml:space="preserve"> a</w:t>
      </w:r>
      <w:r w:rsidRPr="00F33BB5">
        <w:t xml:space="preserve">z önkormányzatok által kifizetett szervezési díj fedezi a kirendeltségek </w:t>
      </w:r>
      <w:r>
        <w:t>28.794</w:t>
      </w:r>
      <w:r w:rsidRPr="00F33BB5">
        <w:t xml:space="preserve"> e</w:t>
      </w:r>
      <w:r>
        <w:t xml:space="preserve">zer </w:t>
      </w:r>
      <w:r w:rsidRPr="00F33BB5">
        <w:t>Ft-os közvetlen költségein túl, a központi ir</w:t>
      </w:r>
      <w:r w:rsidRPr="00F33BB5">
        <w:t>o</w:t>
      </w:r>
      <w:r w:rsidRPr="00F33BB5">
        <w:t xml:space="preserve">dán megjelenő állandó költségek szakfeladatra vetített részét (munkaügy, pénzügy, bérszámfejtés, igazgatás, stb.) </w:t>
      </w:r>
      <w:r>
        <w:t>13.766</w:t>
      </w:r>
      <w:r w:rsidRPr="00F33BB5">
        <w:t xml:space="preserve"> e</w:t>
      </w:r>
      <w:r>
        <w:t xml:space="preserve">zer </w:t>
      </w:r>
      <w:r w:rsidRPr="00F33BB5">
        <w:t xml:space="preserve">Ft-os mértékben. </w:t>
      </w:r>
      <w:r>
        <w:t>Tekintve, hogy a júliustól már csak két kerületet vezetünk, s az általános költségek jelentős vetített része nem csökken, így a bevétel visszaesett, de a költségeken is hasonló mértékben tudtunk csökkenteni. Így a tervezetthez képest még növelni is tudtuk a nyereséget 7.173</w:t>
      </w:r>
      <w:r w:rsidRPr="0000468E">
        <w:t xml:space="preserve"> ezer Ft</w:t>
      </w:r>
      <w:r>
        <w:t xml:space="preserve"> mértékben</w:t>
      </w:r>
      <w:r w:rsidRPr="0000468E">
        <w:t>,</w:t>
      </w:r>
      <w:r w:rsidRPr="00F33BB5">
        <w:t xml:space="preserve"> mely </w:t>
      </w:r>
      <w:r>
        <w:t>csaknem elérte az előző évi szintet (lásd 11. számú ábrán).</w:t>
      </w:r>
    </w:p>
    <w:p w:rsidR="00AD26D7" w:rsidRPr="0051071A" w:rsidRDefault="00AD26D7" w:rsidP="00AD26D7">
      <w:pPr>
        <w:pStyle w:val="Szvegtrzs"/>
        <w:ind w:left="1276"/>
        <w:rPr>
          <w:highlight w:val="yellow"/>
        </w:rPr>
      </w:pPr>
    </w:p>
    <w:p w:rsidR="00AD26D7" w:rsidRPr="0000468E" w:rsidRDefault="00AD26D7" w:rsidP="00AD26D7">
      <w:pPr>
        <w:pStyle w:val="Szvegtrzs"/>
        <w:numPr>
          <w:ilvl w:val="0"/>
          <w:numId w:val="5"/>
        </w:numPr>
        <w:ind w:left="709" w:hanging="323"/>
      </w:pPr>
      <w:r w:rsidRPr="0000468E">
        <w:t>számú ábra: A kerületi szervezés egyenlege</w:t>
      </w:r>
    </w:p>
    <w:tbl>
      <w:tblPr>
        <w:tblpPr w:leftFromText="141" w:rightFromText="141" w:vertAnchor="text" w:horzAnchor="margin" w:tblpXSpec="right" w:tblpY="99"/>
        <w:tblW w:w="8983" w:type="dxa"/>
        <w:tblCellMar>
          <w:left w:w="70" w:type="dxa"/>
          <w:right w:w="70" w:type="dxa"/>
        </w:tblCellMar>
        <w:tblLook w:val="04A0"/>
      </w:tblPr>
      <w:tblGrid>
        <w:gridCol w:w="627"/>
        <w:gridCol w:w="3778"/>
        <w:gridCol w:w="992"/>
        <w:gridCol w:w="851"/>
        <w:gridCol w:w="992"/>
        <w:gridCol w:w="992"/>
        <w:gridCol w:w="751"/>
      </w:tblGrid>
      <w:tr w:rsidR="00AD26D7" w:rsidRPr="0000468E" w:rsidTr="00A70C15">
        <w:trPr>
          <w:trHeight w:val="330"/>
        </w:trPr>
        <w:tc>
          <w:tcPr>
            <w:tcW w:w="627"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rsidR="00AD26D7" w:rsidRPr="0000468E" w:rsidRDefault="00AD26D7" w:rsidP="00A70C15">
            <w:pPr>
              <w:jc w:val="center"/>
              <w:rPr>
                <w:b/>
                <w:bCs/>
                <w:szCs w:val="24"/>
              </w:rPr>
            </w:pPr>
            <w:r w:rsidRPr="0000468E">
              <w:rPr>
                <w:b/>
                <w:bCs/>
                <w:szCs w:val="24"/>
              </w:rPr>
              <w:t>VI</w:t>
            </w:r>
          </w:p>
        </w:tc>
        <w:tc>
          <w:tcPr>
            <w:tcW w:w="3778" w:type="dxa"/>
            <w:tcBorders>
              <w:top w:val="single" w:sz="8" w:space="0" w:color="auto"/>
              <w:left w:val="nil"/>
              <w:bottom w:val="single" w:sz="4" w:space="0" w:color="auto"/>
              <w:right w:val="single" w:sz="8" w:space="0" w:color="auto"/>
            </w:tcBorders>
            <w:shd w:val="clear" w:color="000000" w:fill="FCD5B4"/>
            <w:noWrap/>
            <w:vAlign w:val="bottom"/>
            <w:hideMark/>
          </w:tcPr>
          <w:p w:rsidR="00AD26D7" w:rsidRPr="0000468E" w:rsidRDefault="00AD26D7" w:rsidP="00A70C15">
            <w:pPr>
              <w:rPr>
                <w:b/>
                <w:bCs/>
                <w:szCs w:val="24"/>
              </w:rPr>
            </w:pPr>
            <w:r w:rsidRPr="0000468E">
              <w:rPr>
                <w:b/>
                <w:bCs/>
                <w:szCs w:val="24"/>
              </w:rPr>
              <w:t xml:space="preserve">Kerületi közfoglalkoztatás </w:t>
            </w:r>
          </w:p>
          <w:p w:rsidR="00AD26D7" w:rsidRPr="0000468E" w:rsidRDefault="00AD26D7" w:rsidP="00A70C15">
            <w:pPr>
              <w:rPr>
                <w:b/>
                <w:bCs/>
                <w:szCs w:val="24"/>
              </w:rPr>
            </w:pPr>
            <w:r w:rsidRPr="0000468E">
              <w:rPr>
                <w:b/>
                <w:bCs/>
                <w:szCs w:val="24"/>
              </w:rPr>
              <w:t>szervezése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D26D7" w:rsidRPr="0000468E" w:rsidRDefault="00AD26D7" w:rsidP="00A70C15">
            <w:pPr>
              <w:jc w:val="center"/>
              <w:rPr>
                <w:color w:val="000000"/>
                <w:szCs w:val="24"/>
              </w:rPr>
            </w:pPr>
            <w:r w:rsidRPr="0000468E">
              <w:rPr>
                <w:color w:val="000000"/>
                <w:szCs w:val="24"/>
              </w:rPr>
              <w:t>2010. tény</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AD26D7" w:rsidRPr="0000468E" w:rsidRDefault="00AD26D7" w:rsidP="00A70C15">
            <w:pPr>
              <w:jc w:val="center"/>
              <w:rPr>
                <w:color w:val="000000"/>
                <w:szCs w:val="24"/>
              </w:rPr>
            </w:pPr>
            <w:r w:rsidRPr="0000468E">
              <w:rPr>
                <w:color w:val="000000"/>
                <w:szCs w:val="24"/>
              </w:rPr>
              <w:t>2011. terv</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rsidR="00AD26D7" w:rsidRPr="0000468E" w:rsidRDefault="00AD26D7" w:rsidP="00A70C15">
            <w:pPr>
              <w:jc w:val="center"/>
              <w:rPr>
                <w:b/>
                <w:bCs/>
                <w:szCs w:val="24"/>
              </w:rPr>
            </w:pPr>
            <w:r w:rsidRPr="0000468E">
              <w:rPr>
                <w:b/>
                <w:bCs/>
                <w:szCs w:val="24"/>
              </w:rPr>
              <w:t>2011. tény</w:t>
            </w:r>
          </w:p>
        </w:tc>
        <w:tc>
          <w:tcPr>
            <w:tcW w:w="1743" w:type="dxa"/>
            <w:gridSpan w:val="2"/>
            <w:tcBorders>
              <w:top w:val="single" w:sz="8" w:space="0" w:color="auto"/>
              <w:left w:val="nil"/>
              <w:bottom w:val="single" w:sz="8" w:space="0" w:color="auto"/>
              <w:right w:val="single" w:sz="8" w:space="0" w:color="000000"/>
            </w:tcBorders>
            <w:shd w:val="clear" w:color="auto" w:fill="auto"/>
            <w:vAlign w:val="center"/>
            <w:hideMark/>
          </w:tcPr>
          <w:p w:rsidR="00AD26D7" w:rsidRPr="0000468E" w:rsidRDefault="00AD26D7" w:rsidP="00A70C15">
            <w:pPr>
              <w:jc w:val="center"/>
              <w:rPr>
                <w:color w:val="000000"/>
                <w:szCs w:val="24"/>
              </w:rPr>
            </w:pPr>
            <w:r w:rsidRPr="0000468E">
              <w:rPr>
                <w:color w:val="000000"/>
                <w:szCs w:val="24"/>
              </w:rPr>
              <w:t>2011 tény/ 2010 tény</w:t>
            </w:r>
          </w:p>
        </w:tc>
      </w:tr>
      <w:tr w:rsidR="00AD26D7" w:rsidRPr="0000468E" w:rsidTr="00A70C15">
        <w:trPr>
          <w:trHeight w:val="300"/>
        </w:trPr>
        <w:tc>
          <w:tcPr>
            <w:tcW w:w="627" w:type="dxa"/>
            <w:vMerge/>
            <w:tcBorders>
              <w:top w:val="single" w:sz="8" w:space="0" w:color="auto"/>
              <w:left w:val="single" w:sz="8" w:space="0" w:color="auto"/>
              <w:bottom w:val="single" w:sz="8" w:space="0" w:color="000000"/>
              <w:right w:val="single" w:sz="4" w:space="0" w:color="auto"/>
            </w:tcBorders>
            <w:vAlign w:val="center"/>
            <w:hideMark/>
          </w:tcPr>
          <w:p w:rsidR="00AD26D7" w:rsidRPr="0000468E" w:rsidRDefault="00AD26D7" w:rsidP="00A70C15">
            <w:pPr>
              <w:rPr>
                <w:b/>
                <w:bCs/>
                <w:szCs w:val="24"/>
              </w:rPr>
            </w:pPr>
          </w:p>
        </w:tc>
        <w:tc>
          <w:tcPr>
            <w:tcW w:w="3778" w:type="dxa"/>
            <w:tcBorders>
              <w:top w:val="nil"/>
              <w:left w:val="nil"/>
              <w:bottom w:val="single" w:sz="8" w:space="0" w:color="auto"/>
              <w:right w:val="single" w:sz="8" w:space="0" w:color="auto"/>
            </w:tcBorders>
            <w:shd w:val="clear" w:color="000000" w:fill="FCD5B4"/>
            <w:noWrap/>
            <w:vAlign w:val="bottom"/>
            <w:hideMark/>
          </w:tcPr>
          <w:p w:rsidR="00AD26D7" w:rsidRPr="0000468E" w:rsidRDefault="00AD26D7" w:rsidP="00A70C15">
            <w:pPr>
              <w:jc w:val="center"/>
              <w:rPr>
                <w:b/>
                <w:bCs/>
                <w:color w:val="000000"/>
                <w:szCs w:val="24"/>
              </w:rPr>
            </w:pPr>
            <w:r w:rsidRPr="0000468E">
              <w:rPr>
                <w:b/>
                <w:bCs/>
                <w:color w:val="000000"/>
                <w:szCs w:val="24"/>
              </w:rPr>
              <w:t>Egyenleg</w:t>
            </w:r>
          </w:p>
        </w:tc>
        <w:tc>
          <w:tcPr>
            <w:tcW w:w="992" w:type="dxa"/>
            <w:tcBorders>
              <w:top w:val="nil"/>
              <w:left w:val="nil"/>
              <w:bottom w:val="single" w:sz="4" w:space="0" w:color="auto"/>
              <w:right w:val="single" w:sz="4" w:space="0" w:color="auto"/>
            </w:tcBorders>
            <w:shd w:val="clear" w:color="000000" w:fill="FCD5B4"/>
            <w:noWrap/>
            <w:vAlign w:val="bottom"/>
            <w:hideMark/>
          </w:tcPr>
          <w:p w:rsidR="00AD26D7" w:rsidRPr="0000468E" w:rsidRDefault="00AD26D7" w:rsidP="00A70C15">
            <w:pPr>
              <w:jc w:val="right"/>
              <w:rPr>
                <w:color w:val="000000"/>
                <w:szCs w:val="24"/>
              </w:rPr>
            </w:pPr>
            <w:r w:rsidRPr="0000468E">
              <w:rPr>
                <w:color w:val="000000"/>
                <w:szCs w:val="24"/>
              </w:rPr>
              <w:t>7 415</w:t>
            </w:r>
          </w:p>
        </w:tc>
        <w:tc>
          <w:tcPr>
            <w:tcW w:w="851" w:type="dxa"/>
            <w:tcBorders>
              <w:top w:val="nil"/>
              <w:left w:val="nil"/>
              <w:bottom w:val="single" w:sz="4" w:space="0" w:color="auto"/>
              <w:right w:val="single" w:sz="4" w:space="0" w:color="auto"/>
            </w:tcBorders>
            <w:shd w:val="clear" w:color="000000" w:fill="FCD5B4"/>
            <w:noWrap/>
            <w:vAlign w:val="bottom"/>
            <w:hideMark/>
          </w:tcPr>
          <w:p w:rsidR="00AD26D7" w:rsidRPr="0000468E" w:rsidRDefault="00AD26D7" w:rsidP="00A70C15">
            <w:pPr>
              <w:jc w:val="right"/>
              <w:rPr>
                <w:color w:val="000000"/>
                <w:szCs w:val="24"/>
              </w:rPr>
            </w:pPr>
            <w:r w:rsidRPr="0000468E">
              <w:rPr>
                <w:color w:val="000000"/>
                <w:szCs w:val="24"/>
              </w:rPr>
              <w:t>6 061</w:t>
            </w:r>
          </w:p>
        </w:tc>
        <w:tc>
          <w:tcPr>
            <w:tcW w:w="992" w:type="dxa"/>
            <w:tcBorders>
              <w:top w:val="nil"/>
              <w:left w:val="nil"/>
              <w:bottom w:val="single" w:sz="4" w:space="0" w:color="auto"/>
              <w:right w:val="single" w:sz="4" w:space="0" w:color="auto"/>
            </w:tcBorders>
            <w:shd w:val="clear" w:color="000000" w:fill="FCD5B4"/>
            <w:noWrap/>
            <w:vAlign w:val="bottom"/>
            <w:hideMark/>
          </w:tcPr>
          <w:p w:rsidR="00AD26D7" w:rsidRPr="0000468E" w:rsidRDefault="00AD26D7" w:rsidP="00A70C15">
            <w:pPr>
              <w:jc w:val="right"/>
              <w:rPr>
                <w:color w:val="000000"/>
                <w:szCs w:val="24"/>
              </w:rPr>
            </w:pPr>
            <w:r w:rsidRPr="0000468E">
              <w:rPr>
                <w:color w:val="000000"/>
                <w:szCs w:val="24"/>
              </w:rPr>
              <w:t>7 173</w:t>
            </w:r>
          </w:p>
        </w:tc>
        <w:tc>
          <w:tcPr>
            <w:tcW w:w="992" w:type="dxa"/>
            <w:tcBorders>
              <w:top w:val="single" w:sz="4" w:space="0" w:color="auto"/>
              <w:left w:val="nil"/>
              <w:bottom w:val="single" w:sz="4" w:space="0" w:color="auto"/>
              <w:right w:val="single" w:sz="4" w:space="0" w:color="auto"/>
            </w:tcBorders>
            <w:shd w:val="clear" w:color="000000" w:fill="FCD5B4"/>
            <w:noWrap/>
            <w:vAlign w:val="center"/>
            <w:hideMark/>
          </w:tcPr>
          <w:p w:rsidR="00AD26D7" w:rsidRPr="0000468E" w:rsidRDefault="00AD26D7" w:rsidP="00A70C15">
            <w:pPr>
              <w:jc w:val="right"/>
              <w:rPr>
                <w:bCs/>
                <w:szCs w:val="24"/>
              </w:rPr>
            </w:pPr>
            <w:r w:rsidRPr="0000468E">
              <w:rPr>
                <w:bCs/>
                <w:szCs w:val="24"/>
              </w:rPr>
              <w:t>-242</w:t>
            </w:r>
          </w:p>
        </w:tc>
        <w:tc>
          <w:tcPr>
            <w:tcW w:w="751" w:type="dxa"/>
            <w:tcBorders>
              <w:top w:val="single" w:sz="4" w:space="0" w:color="auto"/>
              <w:left w:val="nil"/>
              <w:bottom w:val="single" w:sz="4" w:space="0" w:color="auto"/>
              <w:right w:val="single" w:sz="8" w:space="0" w:color="auto"/>
            </w:tcBorders>
            <w:shd w:val="clear" w:color="000000" w:fill="FCD5B4"/>
            <w:noWrap/>
            <w:vAlign w:val="center"/>
            <w:hideMark/>
          </w:tcPr>
          <w:p w:rsidR="00AD26D7" w:rsidRPr="0000468E" w:rsidRDefault="00AD26D7" w:rsidP="00A70C15">
            <w:pPr>
              <w:jc w:val="center"/>
              <w:rPr>
                <w:bCs/>
                <w:szCs w:val="24"/>
              </w:rPr>
            </w:pPr>
            <w:r w:rsidRPr="0000468E">
              <w:rPr>
                <w:bCs/>
                <w:szCs w:val="24"/>
              </w:rPr>
              <w:t>97%</w:t>
            </w:r>
          </w:p>
        </w:tc>
      </w:tr>
      <w:tr w:rsidR="00AD26D7" w:rsidRPr="0000468E" w:rsidTr="00A70C15">
        <w:trPr>
          <w:trHeight w:val="300"/>
        </w:trPr>
        <w:tc>
          <w:tcPr>
            <w:tcW w:w="627" w:type="dxa"/>
            <w:tcBorders>
              <w:top w:val="nil"/>
              <w:left w:val="single" w:sz="8" w:space="0" w:color="auto"/>
              <w:bottom w:val="single" w:sz="4" w:space="0" w:color="auto"/>
              <w:right w:val="single" w:sz="4" w:space="0" w:color="auto"/>
            </w:tcBorders>
            <w:shd w:val="clear" w:color="auto" w:fill="auto"/>
            <w:noWrap/>
            <w:vAlign w:val="bottom"/>
            <w:hideMark/>
          </w:tcPr>
          <w:p w:rsidR="00AD26D7" w:rsidRPr="0000468E" w:rsidRDefault="00AD26D7" w:rsidP="00A70C15">
            <w:pPr>
              <w:rPr>
                <w:color w:val="000000"/>
                <w:szCs w:val="24"/>
              </w:rPr>
            </w:pPr>
            <w:r w:rsidRPr="0000468E">
              <w:rPr>
                <w:color w:val="000000"/>
                <w:szCs w:val="24"/>
              </w:rPr>
              <w:t>6.1/b</w:t>
            </w:r>
          </w:p>
        </w:tc>
        <w:tc>
          <w:tcPr>
            <w:tcW w:w="3778"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rPr>
                <w:b/>
                <w:bCs/>
                <w:szCs w:val="24"/>
              </w:rPr>
            </w:pPr>
            <w:r w:rsidRPr="0000468E">
              <w:rPr>
                <w:b/>
                <w:bCs/>
                <w:szCs w:val="24"/>
              </w:rPr>
              <w:t>Költségek összesen:</w:t>
            </w:r>
          </w:p>
        </w:tc>
        <w:tc>
          <w:tcPr>
            <w:tcW w:w="992"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b/>
                <w:bCs/>
                <w:szCs w:val="24"/>
              </w:rPr>
            </w:pPr>
            <w:r w:rsidRPr="0000468E">
              <w:rPr>
                <w:b/>
                <w:bCs/>
                <w:szCs w:val="24"/>
              </w:rPr>
              <w:t>62 485</w:t>
            </w:r>
          </w:p>
        </w:tc>
        <w:tc>
          <w:tcPr>
            <w:tcW w:w="851"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b/>
                <w:bCs/>
                <w:szCs w:val="24"/>
              </w:rPr>
            </w:pPr>
            <w:r w:rsidRPr="0000468E">
              <w:rPr>
                <w:b/>
                <w:bCs/>
                <w:szCs w:val="24"/>
              </w:rPr>
              <w:t>44 923</w:t>
            </w:r>
          </w:p>
        </w:tc>
        <w:tc>
          <w:tcPr>
            <w:tcW w:w="992" w:type="dxa"/>
            <w:tcBorders>
              <w:top w:val="nil"/>
              <w:left w:val="nil"/>
              <w:bottom w:val="single" w:sz="4" w:space="0" w:color="auto"/>
              <w:right w:val="single" w:sz="4" w:space="0" w:color="auto"/>
            </w:tcBorders>
            <w:shd w:val="clear" w:color="000000" w:fill="FFFF00"/>
            <w:noWrap/>
            <w:vAlign w:val="bottom"/>
            <w:hideMark/>
          </w:tcPr>
          <w:p w:rsidR="00AD26D7" w:rsidRPr="0000468E" w:rsidRDefault="00AD26D7" w:rsidP="00A70C15">
            <w:pPr>
              <w:jc w:val="right"/>
              <w:rPr>
                <w:b/>
                <w:bCs/>
                <w:szCs w:val="24"/>
              </w:rPr>
            </w:pPr>
            <w:r w:rsidRPr="0000468E">
              <w:rPr>
                <w:b/>
                <w:bCs/>
                <w:szCs w:val="24"/>
              </w:rPr>
              <w:t>42 560</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-19 925</w:t>
            </w:r>
          </w:p>
        </w:tc>
        <w:tc>
          <w:tcPr>
            <w:tcW w:w="751" w:type="dxa"/>
            <w:tcBorders>
              <w:top w:val="nil"/>
              <w:left w:val="nil"/>
              <w:bottom w:val="single" w:sz="4"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68%</w:t>
            </w:r>
          </w:p>
        </w:tc>
      </w:tr>
      <w:tr w:rsidR="00AD26D7" w:rsidRPr="0000468E" w:rsidTr="00A70C15">
        <w:trPr>
          <w:trHeight w:val="285"/>
        </w:trPr>
        <w:tc>
          <w:tcPr>
            <w:tcW w:w="627" w:type="dxa"/>
            <w:tcBorders>
              <w:top w:val="nil"/>
              <w:left w:val="single" w:sz="8" w:space="0" w:color="auto"/>
              <w:bottom w:val="single" w:sz="4" w:space="0" w:color="auto"/>
              <w:right w:val="single" w:sz="4" w:space="0" w:color="auto"/>
            </w:tcBorders>
            <w:shd w:val="clear" w:color="auto" w:fill="auto"/>
            <w:noWrap/>
            <w:vAlign w:val="bottom"/>
            <w:hideMark/>
          </w:tcPr>
          <w:p w:rsidR="00AD26D7" w:rsidRPr="0000468E" w:rsidRDefault="00AD26D7" w:rsidP="00A70C15">
            <w:pPr>
              <w:rPr>
                <w:color w:val="000000"/>
                <w:szCs w:val="24"/>
              </w:rPr>
            </w:pPr>
            <w:r w:rsidRPr="0000468E">
              <w:rPr>
                <w:color w:val="000000"/>
                <w:szCs w:val="24"/>
              </w:rPr>
              <w:t>6.3</w:t>
            </w:r>
          </w:p>
        </w:tc>
        <w:tc>
          <w:tcPr>
            <w:tcW w:w="3778" w:type="dxa"/>
            <w:tcBorders>
              <w:top w:val="nil"/>
              <w:left w:val="nil"/>
              <w:bottom w:val="single" w:sz="4" w:space="0" w:color="auto"/>
              <w:right w:val="single" w:sz="4" w:space="0" w:color="auto"/>
            </w:tcBorders>
            <w:shd w:val="clear" w:color="auto" w:fill="auto"/>
            <w:vAlign w:val="bottom"/>
            <w:hideMark/>
          </w:tcPr>
          <w:p w:rsidR="00AD26D7" w:rsidRPr="0000468E" w:rsidRDefault="00AD26D7" w:rsidP="00A70C15">
            <w:pPr>
              <w:rPr>
                <w:color w:val="000000"/>
                <w:szCs w:val="24"/>
              </w:rPr>
            </w:pPr>
            <w:r w:rsidRPr="0000468E">
              <w:rPr>
                <w:color w:val="000000"/>
                <w:szCs w:val="24"/>
              </w:rPr>
              <w:t>Közvetett költségek</w:t>
            </w:r>
          </w:p>
        </w:tc>
        <w:tc>
          <w:tcPr>
            <w:tcW w:w="992"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39 659</w:t>
            </w:r>
          </w:p>
        </w:tc>
        <w:tc>
          <w:tcPr>
            <w:tcW w:w="851"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29 007</w:t>
            </w:r>
          </w:p>
        </w:tc>
        <w:tc>
          <w:tcPr>
            <w:tcW w:w="992" w:type="dxa"/>
            <w:tcBorders>
              <w:top w:val="nil"/>
              <w:left w:val="nil"/>
              <w:bottom w:val="single" w:sz="4" w:space="0" w:color="auto"/>
              <w:right w:val="single" w:sz="4" w:space="0" w:color="auto"/>
            </w:tcBorders>
            <w:shd w:val="clear" w:color="000000" w:fill="FFFF00"/>
            <w:noWrap/>
            <w:vAlign w:val="bottom"/>
            <w:hideMark/>
          </w:tcPr>
          <w:p w:rsidR="00AD26D7" w:rsidRPr="0000468E" w:rsidRDefault="00AD26D7" w:rsidP="00A70C15">
            <w:pPr>
              <w:jc w:val="right"/>
              <w:rPr>
                <w:color w:val="000000"/>
                <w:szCs w:val="24"/>
              </w:rPr>
            </w:pPr>
            <w:r w:rsidRPr="0000468E">
              <w:rPr>
                <w:color w:val="000000"/>
                <w:szCs w:val="24"/>
              </w:rPr>
              <w:t>28 794</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-10 865</w:t>
            </w:r>
          </w:p>
        </w:tc>
        <w:tc>
          <w:tcPr>
            <w:tcW w:w="751" w:type="dxa"/>
            <w:tcBorders>
              <w:top w:val="nil"/>
              <w:left w:val="nil"/>
              <w:bottom w:val="single" w:sz="4"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73%</w:t>
            </w:r>
          </w:p>
        </w:tc>
      </w:tr>
      <w:tr w:rsidR="00AD26D7" w:rsidRPr="0000468E" w:rsidTr="00A70C15">
        <w:trPr>
          <w:trHeight w:val="285"/>
        </w:trPr>
        <w:tc>
          <w:tcPr>
            <w:tcW w:w="627" w:type="dxa"/>
            <w:tcBorders>
              <w:top w:val="nil"/>
              <w:left w:val="single" w:sz="8" w:space="0" w:color="auto"/>
              <w:bottom w:val="single" w:sz="4" w:space="0" w:color="auto"/>
              <w:right w:val="single" w:sz="4" w:space="0" w:color="auto"/>
            </w:tcBorders>
            <w:shd w:val="clear" w:color="000000" w:fill="EAF1DD"/>
            <w:noWrap/>
            <w:vAlign w:val="bottom"/>
            <w:hideMark/>
          </w:tcPr>
          <w:p w:rsidR="00AD26D7" w:rsidRPr="0000468E" w:rsidRDefault="00AD26D7" w:rsidP="00A70C15">
            <w:pPr>
              <w:rPr>
                <w:color w:val="000000"/>
                <w:szCs w:val="24"/>
              </w:rPr>
            </w:pPr>
            <w:r w:rsidRPr="0000468E">
              <w:rPr>
                <w:color w:val="000000"/>
                <w:szCs w:val="24"/>
              </w:rPr>
              <w:t>6.4</w:t>
            </w:r>
          </w:p>
        </w:tc>
        <w:tc>
          <w:tcPr>
            <w:tcW w:w="3778" w:type="dxa"/>
            <w:tcBorders>
              <w:top w:val="nil"/>
              <w:left w:val="nil"/>
              <w:bottom w:val="single" w:sz="4" w:space="0" w:color="auto"/>
              <w:right w:val="single" w:sz="4" w:space="0" w:color="auto"/>
            </w:tcBorders>
            <w:shd w:val="clear" w:color="000000" w:fill="EAF1DD"/>
            <w:vAlign w:val="bottom"/>
            <w:hideMark/>
          </w:tcPr>
          <w:p w:rsidR="00AD26D7" w:rsidRPr="0000468E" w:rsidRDefault="00AD26D7" w:rsidP="00A70C15">
            <w:pPr>
              <w:rPr>
                <w:color w:val="000000"/>
                <w:szCs w:val="24"/>
              </w:rPr>
            </w:pPr>
            <w:r w:rsidRPr="0000468E">
              <w:rPr>
                <w:color w:val="000000"/>
                <w:szCs w:val="24"/>
              </w:rPr>
              <w:t>Felosztott központi általános költség</w:t>
            </w:r>
          </w:p>
        </w:tc>
        <w:tc>
          <w:tcPr>
            <w:tcW w:w="992" w:type="dxa"/>
            <w:tcBorders>
              <w:top w:val="nil"/>
              <w:left w:val="nil"/>
              <w:bottom w:val="single" w:sz="4" w:space="0" w:color="auto"/>
              <w:right w:val="single" w:sz="4" w:space="0" w:color="auto"/>
            </w:tcBorders>
            <w:shd w:val="clear" w:color="000000" w:fill="EAF1DD"/>
            <w:noWrap/>
            <w:vAlign w:val="bottom"/>
            <w:hideMark/>
          </w:tcPr>
          <w:p w:rsidR="00AD26D7" w:rsidRPr="0000468E" w:rsidRDefault="00AD26D7" w:rsidP="00A70C15">
            <w:pPr>
              <w:jc w:val="right"/>
              <w:rPr>
                <w:color w:val="000000"/>
                <w:szCs w:val="24"/>
              </w:rPr>
            </w:pPr>
            <w:r w:rsidRPr="0000468E">
              <w:rPr>
                <w:color w:val="000000"/>
                <w:szCs w:val="24"/>
              </w:rPr>
              <w:t>22 826</w:t>
            </w:r>
          </w:p>
        </w:tc>
        <w:tc>
          <w:tcPr>
            <w:tcW w:w="851" w:type="dxa"/>
            <w:tcBorders>
              <w:top w:val="nil"/>
              <w:left w:val="nil"/>
              <w:bottom w:val="single" w:sz="4" w:space="0" w:color="auto"/>
              <w:right w:val="single" w:sz="4" w:space="0" w:color="auto"/>
            </w:tcBorders>
            <w:shd w:val="clear" w:color="000000" w:fill="EAF1DD"/>
            <w:noWrap/>
            <w:vAlign w:val="bottom"/>
            <w:hideMark/>
          </w:tcPr>
          <w:p w:rsidR="00AD26D7" w:rsidRPr="0000468E" w:rsidRDefault="00AD26D7" w:rsidP="00A70C15">
            <w:pPr>
              <w:jc w:val="right"/>
              <w:rPr>
                <w:color w:val="000000"/>
                <w:szCs w:val="24"/>
              </w:rPr>
            </w:pPr>
            <w:r w:rsidRPr="0000468E">
              <w:rPr>
                <w:color w:val="000000"/>
                <w:szCs w:val="24"/>
              </w:rPr>
              <w:t>15 916</w:t>
            </w:r>
          </w:p>
        </w:tc>
        <w:tc>
          <w:tcPr>
            <w:tcW w:w="992" w:type="dxa"/>
            <w:tcBorders>
              <w:top w:val="nil"/>
              <w:left w:val="nil"/>
              <w:bottom w:val="single" w:sz="4" w:space="0" w:color="auto"/>
              <w:right w:val="single" w:sz="4" w:space="0" w:color="auto"/>
            </w:tcBorders>
            <w:shd w:val="clear" w:color="000000" w:fill="FFFF00"/>
            <w:noWrap/>
            <w:vAlign w:val="bottom"/>
            <w:hideMark/>
          </w:tcPr>
          <w:p w:rsidR="00AD26D7" w:rsidRPr="0000468E" w:rsidRDefault="00AD26D7" w:rsidP="00A70C15">
            <w:pPr>
              <w:jc w:val="right"/>
              <w:rPr>
                <w:color w:val="000000"/>
                <w:szCs w:val="24"/>
              </w:rPr>
            </w:pPr>
            <w:r w:rsidRPr="0000468E">
              <w:rPr>
                <w:color w:val="000000"/>
                <w:szCs w:val="24"/>
              </w:rPr>
              <w:t>13 766</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-9 060</w:t>
            </w:r>
          </w:p>
        </w:tc>
        <w:tc>
          <w:tcPr>
            <w:tcW w:w="751" w:type="dxa"/>
            <w:tcBorders>
              <w:top w:val="nil"/>
              <w:left w:val="nil"/>
              <w:bottom w:val="single" w:sz="4"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60%</w:t>
            </w:r>
          </w:p>
        </w:tc>
      </w:tr>
      <w:tr w:rsidR="00AD26D7" w:rsidRPr="0000468E" w:rsidTr="00A70C15">
        <w:trPr>
          <w:trHeight w:val="300"/>
        </w:trPr>
        <w:tc>
          <w:tcPr>
            <w:tcW w:w="627" w:type="dxa"/>
            <w:tcBorders>
              <w:top w:val="nil"/>
              <w:left w:val="single" w:sz="8" w:space="0" w:color="auto"/>
              <w:bottom w:val="single" w:sz="4" w:space="0" w:color="auto"/>
              <w:right w:val="single" w:sz="4" w:space="0" w:color="auto"/>
            </w:tcBorders>
            <w:shd w:val="clear" w:color="auto" w:fill="auto"/>
            <w:noWrap/>
            <w:vAlign w:val="bottom"/>
            <w:hideMark/>
          </w:tcPr>
          <w:p w:rsidR="00AD26D7" w:rsidRPr="0000468E" w:rsidRDefault="00AD26D7" w:rsidP="00A70C15">
            <w:pPr>
              <w:rPr>
                <w:color w:val="000000"/>
                <w:szCs w:val="24"/>
              </w:rPr>
            </w:pPr>
            <w:r w:rsidRPr="0000468E">
              <w:rPr>
                <w:color w:val="000000"/>
                <w:szCs w:val="24"/>
              </w:rPr>
              <w:lastRenderedPageBreak/>
              <w:t>6.5/b</w:t>
            </w:r>
          </w:p>
        </w:tc>
        <w:tc>
          <w:tcPr>
            <w:tcW w:w="3778"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rPr>
                <w:b/>
                <w:bCs/>
                <w:szCs w:val="24"/>
              </w:rPr>
            </w:pPr>
            <w:r w:rsidRPr="0000468E">
              <w:rPr>
                <w:b/>
                <w:bCs/>
                <w:szCs w:val="24"/>
              </w:rPr>
              <w:t>Bevételek összesen:</w:t>
            </w:r>
          </w:p>
        </w:tc>
        <w:tc>
          <w:tcPr>
            <w:tcW w:w="992"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b/>
                <w:bCs/>
                <w:szCs w:val="24"/>
              </w:rPr>
            </w:pPr>
            <w:r w:rsidRPr="0000468E">
              <w:rPr>
                <w:b/>
                <w:bCs/>
                <w:szCs w:val="24"/>
              </w:rPr>
              <w:t>69 900</w:t>
            </w:r>
          </w:p>
        </w:tc>
        <w:tc>
          <w:tcPr>
            <w:tcW w:w="851" w:type="dxa"/>
            <w:tcBorders>
              <w:top w:val="nil"/>
              <w:left w:val="nil"/>
              <w:bottom w:val="single" w:sz="4" w:space="0" w:color="auto"/>
              <w:right w:val="single" w:sz="4" w:space="0" w:color="auto"/>
            </w:tcBorders>
            <w:shd w:val="clear" w:color="auto" w:fill="auto"/>
            <w:noWrap/>
            <w:vAlign w:val="bottom"/>
            <w:hideMark/>
          </w:tcPr>
          <w:p w:rsidR="00AD26D7" w:rsidRPr="0000468E" w:rsidRDefault="00AD26D7" w:rsidP="00A70C15">
            <w:pPr>
              <w:jc w:val="right"/>
              <w:rPr>
                <w:b/>
                <w:bCs/>
                <w:szCs w:val="24"/>
              </w:rPr>
            </w:pPr>
            <w:r w:rsidRPr="0000468E">
              <w:rPr>
                <w:b/>
                <w:bCs/>
                <w:szCs w:val="24"/>
              </w:rPr>
              <w:t>50 985</w:t>
            </w:r>
          </w:p>
        </w:tc>
        <w:tc>
          <w:tcPr>
            <w:tcW w:w="992" w:type="dxa"/>
            <w:tcBorders>
              <w:top w:val="nil"/>
              <w:left w:val="nil"/>
              <w:bottom w:val="single" w:sz="4" w:space="0" w:color="auto"/>
              <w:right w:val="single" w:sz="4" w:space="0" w:color="auto"/>
            </w:tcBorders>
            <w:shd w:val="clear" w:color="000000" w:fill="FFFF00"/>
            <w:noWrap/>
            <w:vAlign w:val="bottom"/>
            <w:hideMark/>
          </w:tcPr>
          <w:p w:rsidR="00AD26D7" w:rsidRPr="0000468E" w:rsidRDefault="00AD26D7" w:rsidP="00A70C15">
            <w:pPr>
              <w:jc w:val="right"/>
              <w:rPr>
                <w:b/>
                <w:bCs/>
                <w:szCs w:val="24"/>
              </w:rPr>
            </w:pPr>
            <w:r w:rsidRPr="0000468E">
              <w:rPr>
                <w:b/>
                <w:bCs/>
                <w:szCs w:val="24"/>
              </w:rPr>
              <w:t>49 733</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-20 167</w:t>
            </w:r>
          </w:p>
        </w:tc>
        <w:tc>
          <w:tcPr>
            <w:tcW w:w="751" w:type="dxa"/>
            <w:tcBorders>
              <w:top w:val="nil"/>
              <w:left w:val="nil"/>
              <w:bottom w:val="single" w:sz="4"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71%</w:t>
            </w:r>
          </w:p>
        </w:tc>
      </w:tr>
      <w:tr w:rsidR="00AD26D7" w:rsidRPr="0051071A" w:rsidTr="00A70C15">
        <w:trPr>
          <w:trHeight w:val="300"/>
        </w:trPr>
        <w:tc>
          <w:tcPr>
            <w:tcW w:w="627" w:type="dxa"/>
            <w:tcBorders>
              <w:top w:val="nil"/>
              <w:left w:val="single" w:sz="8" w:space="0" w:color="auto"/>
              <w:bottom w:val="single" w:sz="8" w:space="0" w:color="auto"/>
              <w:right w:val="single" w:sz="4" w:space="0" w:color="auto"/>
            </w:tcBorders>
            <w:shd w:val="clear" w:color="auto" w:fill="auto"/>
            <w:noWrap/>
            <w:vAlign w:val="bottom"/>
            <w:hideMark/>
          </w:tcPr>
          <w:p w:rsidR="00AD26D7" w:rsidRPr="0000468E" w:rsidRDefault="00AD26D7" w:rsidP="00A70C15">
            <w:pPr>
              <w:rPr>
                <w:color w:val="000000"/>
                <w:szCs w:val="24"/>
              </w:rPr>
            </w:pPr>
            <w:r w:rsidRPr="0000468E">
              <w:rPr>
                <w:color w:val="000000"/>
                <w:szCs w:val="24"/>
              </w:rPr>
              <w:t>6.7</w:t>
            </w:r>
          </w:p>
        </w:tc>
        <w:tc>
          <w:tcPr>
            <w:tcW w:w="3778" w:type="dxa"/>
            <w:tcBorders>
              <w:top w:val="nil"/>
              <w:left w:val="nil"/>
              <w:bottom w:val="single" w:sz="8" w:space="0" w:color="auto"/>
              <w:right w:val="single" w:sz="4" w:space="0" w:color="auto"/>
            </w:tcBorders>
            <w:shd w:val="clear" w:color="auto" w:fill="auto"/>
            <w:vAlign w:val="bottom"/>
            <w:hideMark/>
          </w:tcPr>
          <w:p w:rsidR="00AD26D7" w:rsidRPr="0000468E" w:rsidRDefault="00AD26D7" w:rsidP="00A70C15">
            <w:pPr>
              <w:rPr>
                <w:szCs w:val="24"/>
              </w:rPr>
            </w:pPr>
            <w:r w:rsidRPr="0000468E">
              <w:rPr>
                <w:szCs w:val="24"/>
              </w:rPr>
              <w:t xml:space="preserve">Kerületek szolgáltatási díj  </w:t>
            </w:r>
          </w:p>
        </w:tc>
        <w:tc>
          <w:tcPr>
            <w:tcW w:w="992" w:type="dxa"/>
            <w:tcBorders>
              <w:top w:val="nil"/>
              <w:left w:val="nil"/>
              <w:bottom w:val="single" w:sz="8"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69 900</w:t>
            </w:r>
          </w:p>
        </w:tc>
        <w:tc>
          <w:tcPr>
            <w:tcW w:w="851" w:type="dxa"/>
            <w:tcBorders>
              <w:top w:val="nil"/>
              <w:left w:val="nil"/>
              <w:bottom w:val="single" w:sz="8" w:space="0" w:color="auto"/>
              <w:right w:val="single" w:sz="4" w:space="0" w:color="auto"/>
            </w:tcBorders>
            <w:shd w:val="clear" w:color="auto" w:fill="auto"/>
            <w:noWrap/>
            <w:vAlign w:val="bottom"/>
            <w:hideMark/>
          </w:tcPr>
          <w:p w:rsidR="00AD26D7" w:rsidRPr="0000468E" w:rsidRDefault="00AD26D7" w:rsidP="00A70C15">
            <w:pPr>
              <w:jc w:val="right"/>
              <w:rPr>
                <w:color w:val="000000"/>
                <w:szCs w:val="24"/>
              </w:rPr>
            </w:pPr>
            <w:r w:rsidRPr="0000468E">
              <w:rPr>
                <w:color w:val="000000"/>
                <w:szCs w:val="24"/>
              </w:rPr>
              <w:t>50 985</w:t>
            </w:r>
          </w:p>
        </w:tc>
        <w:tc>
          <w:tcPr>
            <w:tcW w:w="992" w:type="dxa"/>
            <w:tcBorders>
              <w:top w:val="nil"/>
              <w:left w:val="nil"/>
              <w:bottom w:val="single" w:sz="8" w:space="0" w:color="auto"/>
              <w:right w:val="single" w:sz="4" w:space="0" w:color="auto"/>
            </w:tcBorders>
            <w:shd w:val="clear" w:color="000000" w:fill="FFFF00"/>
            <w:noWrap/>
            <w:vAlign w:val="bottom"/>
            <w:hideMark/>
          </w:tcPr>
          <w:p w:rsidR="00AD26D7" w:rsidRPr="0000468E" w:rsidRDefault="00AD26D7" w:rsidP="00A70C15">
            <w:pPr>
              <w:jc w:val="right"/>
              <w:rPr>
                <w:color w:val="000000"/>
                <w:szCs w:val="24"/>
              </w:rPr>
            </w:pPr>
            <w:r w:rsidRPr="0000468E">
              <w:rPr>
                <w:color w:val="000000"/>
                <w:szCs w:val="24"/>
              </w:rPr>
              <w:t>49 733</w:t>
            </w:r>
          </w:p>
        </w:tc>
        <w:tc>
          <w:tcPr>
            <w:tcW w:w="992" w:type="dxa"/>
            <w:tcBorders>
              <w:top w:val="nil"/>
              <w:left w:val="nil"/>
              <w:bottom w:val="single" w:sz="8" w:space="0" w:color="auto"/>
              <w:right w:val="single" w:sz="4" w:space="0" w:color="auto"/>
            </w:tcBorders>
            <w:shd w:val="clear" w:color="auto" w:fill="auto"/>
            <w:noWrap/>
            <w:vAlign w:val="center"/>
            <w:hideMark/>
          </w:tcPr>
          <w:p w:rsidR="00AD26D7" w:rsidRPr="0000468E" w:rsidRDefault="00AD26D7" w:rsidP="00A70C15">
            <w:pPr>
              <w:jc w:val="right"/>
              <w:rPr>
                <w:bCs/>
                <w:szCs w:val="24"/>
              </w:rPr>
            </w:pPr>
            <w:r w:rsidRPr="0000468E">
              <w:rPr>
                <w:bCs/>
                <w:szCs w:val="24"/>
              </w:rPr>
              <w:t>-20 167</w:t>
            </w:r>
          </w:p>
        </w:tc>
        <w:tc>
          <w:tcPr>
            <w:tcW w:w="751" w:type="dxa"/>
            <w:tcBorders>
              <w:top w:val="nil"/>
              <w:left w:val="nil"/>
              <w:bottom w:val="single" w:sz="8" w:space="0" w:color="auto"/>
              <w:right w:val="single" w:sz="8" w:space="0" w:color="auto"/>
            </w:tcBorders>
            <w:shd w:val="clear" w:color="auto" w:fill="auto"/>
            <w:noWrap/>
            <w:vAlign w:val="center"/>
            <w:hideMark/>
          </w:tcPr>
          <w:p w:rsidR="00AD26D7" w:rsidRPr="0000468E" w:rsidRDefault="00AD26D7" w:rsidP="00A70C15">
            <w:pPr>
              <w:jc w:val="center"/>
              <w:rPr>
                <w:bCs/>
                <w:szCs w:val="24"/>
              </w:rPr>
            </w:pPr>
            <w:r w:rsidRPr="0000468E">
              <w:rPr>
                <w:bCs/>
                <w:szCs w:val="24"/>
              </w:rPr>
              <w:t>71%</w:t>
            </w:r>
          </w:p>
        </w:tc>
      </w:tr>
    </w:tbl>
    <w:p w:rsidR="00AD26D7" w:rsidRPr="0001732A" w:rsidRDefault="00AD26D7" w:rsidP="00AD26D7">
      <w:pPr>
        <w:pStyle w:val="StlusCmsor311pt"/>
      </w:pPr>
      <w:bookmarkStart w:id="125" w:name="_Toc289616997"/>
      <w:bookmarkStart w:id="126" w:name="_Toc320784669"/>
      <w:r w:rsidRPr="0001732A">
        <w:t xml:space="preserve">Képzés, egyéb </w:t>
      </w:r>
      <w:r>
        <w:t>szakértői</w:t>
      </w:r>
      <w:r w:rsidRPr="0001732A">
        <w:t xml:space="preserve"> szolgáltatások</w:t>
      </w:r>
      <w:bookmarkEnd w:id="125"/>
      <w:bookmarkEnd w:id="126"/>
    </w:p>
    <w:p w:rsidR="00AD26D7" w:rsidRPr="0001732A" w:rsidRDefault="00AD26D7" w:rsidP="00AD26D7">
      <w:pPr>
        <w:pStyle w:val="StlusCmsor4Egalizls14pt"/>
      </w:pPr>
      <w:r w:rsidRPr="0001732A">
        <w:t>Szakmai teljesítés</w:t>
      </w:r>
    </w:p>
    <w:p w:rsidR="00AD26D7" w:rsidRPr="009E59A9" w:rsidRDefault="00AD26D7" w:rsidP="00AD26D7">
      <w:pPr>
        <w:pStyle w:val="Szvegtrzs"/>
        <w:ind w:left="993"/>
      </w:pPr>
      <w:r w:rsidRPr="009E59A9">
        <w:t xml:space="preserve">A </w:t>
      </w:r>
      <w:r>
        <w:t>T</w:t>
      </w:r>
      <w:r w:rsidRPr="009E59A9">
        <w:t xml:space="preserve">ársaság </w:t>
      </w:r>
      <w:r w:rsidRPr="00601881">
        <w:rPr>
          <w:b/>
        </w:rPr>
        <w:t>akkreditál</w:t>
      </w:r>
      <w:r>
        <w:rPr>
          <w:b/>
        </w:rPr>
        <w:t>t</w:t>
      </w:r>
      <w:r w:rsidRPr="00601881">
        <w:rPr>
          <w:b/>
        </w:rPr>
        <w:t xml:space="preserve"> képz</w:t>
      </w:r>
      <w:r>
        <w:rPr>
          <w:b/>
        </w:rPr>
        <w:t>ési intézmény</w:t>
      </w:r>
      <w:r w:rsidRPr="009E59A9">
        <w:t xml:space="preserve"> státuszát meg tudtuk tartani, 2011-ben 9 FAT és 3 szociális akkreditált képzéssel rendelkez</w:t>
      </w:r>
      <w:r>
        <w:t>tünk</w:t>
      </w:r>
      <w:r w:rsidRPr="009E59A9">
        <w:t xml:space="preserve">, </w:t>
      </w:r>
      <w:r>
        <w:t>a</w:t>
      </w:r>
      <w:r w:rsidRPr="009E59A9">
        <w:t>melyet további két képzés</w:t>
      </w:r>
      <w:r>
        <w:t>sel</w:t>
      </w:r>
      <w:r w:rsidRPr="009E59A9">
        <w:t xml:space="preserve"> bővít</w:t>
      </w:r>
      <w:r>
        <w:t>ettünk</w:t>
      </w:r>
      <w:r w:rsidRPr="009E59A9">
        <w:t>. A képzések az esélyegyenlőség és a munkaerő-piaci tanácsadás, kapcs</w:t>
      </w:r>
      <w:r w:rsidRPr="009E59A9">
        <w:t>o</w:t>
      </w:r>
      <w:r w:rsidRPr="009E59A9">
        <w:t>latépítés témaköréhez kapcsolódnak, munkáltatóknak, álláskeresőknek és szakemb</w:t>
      </w:r>
      <w:r w:rsidRPr="009E59A9">
        <w:t>e</w:t>
      </w:r>
      <w:r w:rsidRPr="009E59A9">
        <w:t>reknek szóló is van köztük. A képzések piacosítása olyan kiaknázatlan terület, amely hosszabb távon bevételi forrást teremthet a cég számára, rövidtávon azonban, a gazd</w:t>
      </w:r>
      <w:r w:rsidRPr="009E59A9">
        <w:t>a</w:t>
      </w:r>
      <w:r w:rsidRPr="009E59A9">
        <w:t>sági válság</w:t>
      </w:r>
      <w:r>
        <w:t xml:space="preserve"> és a hazai felnőttképzési rendszer átalakításának</w:t>
      </w:r>
      <w:r w:rsidRPr="009E59A9">
        <w:t xml:space="preserve"> hatásai miatt, csökkent a kereslet, így a képzések üzleti felhasználása helyett a közszolgáltatásként (FEMI) való felhasználás dominált. Ezek fenntartása a közép- és hosszú távon remélt anyagi haszon mellett a cég kapcsolatainak kiszélesítése és a hatásos és költséghatékony foglalkozt</w:t>
      </w:r>
      <w:r w:rsidRPr="009E59A9">
        <w:t>a</w:t>
      </w:r>
      <w:r w:rsidRPr="009E59A9">
        <w:t>tási projektek szervezése érdekében is indokolt.</w:t>
      </w:r>
    </w:p>
    <w:p w:rsidR="00AD26D7" w:rsidRPr="009E59A9" w:rsidRDefault="00AD26D7" w:rsidP="00AD26D7">
      <w:pPr>
        <w:pStyle w:val="Szvegtrzs"/>
        <w:ind w:left="993"/>
      </w:pPr>
      <w:r w:rsidRPr="009E59A9">
        <w:t>A képzésekre kiadott árajánlatok mindössze 30%-ára érkezett megrendelés, így eze</w:t>
      </w:r>
      <w:r w:rsidRPr="009E59A9">
        <w:t>k</w:t>
      </w:r>
      <w:r w:rsidRPr="009E59A9">
        <w:t xml:space="preserve">ből a képzésekből az év során 690 </w:t>
      </w:r>
      <w:proofErr w:type="spellStart"/>
      <w:r w:rsidRPr="009E59A9">
        <w:t>eFt</w:t>
      </w:r>
      <w:proofErr w:type="spellEnd"/>
      <w:r w:rsidRPr="009E59A9">
        <w:t xml:space="preserve"> árbevétel, 320 </w:t>
      </w:r>
      <w:proofErr w:type="spellStart"/>
      <w:r w:rsidRPr="009E59A9">
        <w:t>eFt</w:t>
      </w:r>
      <w:proofErr w:type="spellEnd"/>
      <w:r w:rsidRPr="009E59A9">
        <w:t xml:space="preserve"> nyereség származott. A saját és partnerekkel közösen szervezett képzéseket az ábra és szöveg gyűjtemény 6. pontja mutatja be.</w:t>
      </w:r>
    </w:p>
    <w:p w:rsidR="00AD26D7" w:rsidRDefault="00AD26D7" w:rsidP="00AD26D7">
      <w:pPr>
        <w:pStyle w:val="Szvegtrzs"/>
        <w:ind w:left="993"/>
      </w:pPr>
    </w:p>
    <w:p w:rsidR="00AD26D7" w:rsidRPr="009E59A9" w:rsidRDefault="00AD26D7" w:rsidP="00AD26D7">
      <w:pPr>
        <w:pStyle w:val="Szvegtrzs"/>
        <w:ind w:left="993"/>
      </w:pPr>
      <w:r w:rsidRPr="003F07B1">
        <w:t xml:space="preserve">A </w:t>
      </w:r>
      <w:r w:rsidRPr="009E59A9">
        <w:rPr>
          <w:b/>
        </w:rPr>
        <w:t>szakértői szolgáltatások</w:t>
      </w:r>
      <w:r w:rsidRPr="003F07B1">
        <w:t xml:space="preserve"> közül kiemelkedően szerepeltek a közfoglalkoztatás átal</w:t>
      </w:r>
      <w:r w:rsidRPr="003F07B1">
        <w:t>a</w:t>
      </w:r>
      <w:r w:rsidRPr="003F07B1">
        <w:t>kításával kapcsolatosak, bár ezek a korábbi kirendeltségi feladatok lecsengései voltak a II., a XXI. és a XXIII. kerületekben. Igen sikeres volt egy munkaerő közvetítői me</w:t>
      </w:r>
      <w:r w:rsidRPr="003F07B1">
        <w:t>g</w:t>
      </w:r>
      <w:r w:rsidRPr="003F07B1">
        <w:t>rendelés, melyben 48 álláskeresőt s</w:t>
      </w:r>
      <w:r>
        <w:t>ikerült jó munkahelyre juttatni</w:t>
      </w:r>
      <w:r w:rsidRPr="003F07B1">
        <w:t xml:space="preserve">. </w:t>
      </w:r>
      <w:r w:rsidRPr="00A30E77">
        <w:t xml:space="preserve">Egyéb szakértői szolgáltatásaink </w:t>
      </w:r>
      <w:r>
        <w:t xml:space="preserve">megrendelői az előző években az önkormányzatok voltak, míg a piaci munkáltatók a munkahelyi esélytervvel és a munkáltatói helyzetfelméréssel-tanácsadással kapcsolatos szolgáltatásainkat preferálták. 2011-ben ezekre a témákra összesen </w:t>
      </w:r>
      <w:r w:rsidRPr="009E59A9">
        <w:t>3,3 millió forint értékű árajánlatot</w:t>
      </w:r>
      <w:r>
        <w:t xml:space="preserve"> adtunk ki, ám nem érkezett megrendelés. Ennek elsődleges oka, hogy a gazdasági válság hatására mind az önkormányzatok mind a piaci munkáltatók karcsúsítani kényszerültek költségvetésüket, így nem maradt felhasználható forrás az alapműködés feletti kiadásokra. 2011-ben települési esélyterv megrendelésekre is számítottunk, hiszen a jogszabályi háttér év végére tette az elkész</w:t>
      </w:r>
      <w:r>
        <w:t>í</w:t>
      </w:r>
      <w:r>
        <w:t>tés határidejét. Ez azonban szintén változott, s e szolgáltatásokat a jogszabály az újo</w:t>
      </w:r>
      <w:r>
        <w:t>n</w:t>
      </w:r>
      <w:r>
        <w:t xml:space="preserve">nan alakult </w:t>
      </w:r>
      <w:proofErr w:type="spellStart"/>
      <w:r>
        <w:t>Türr</w:t>
      </w:r>
      <w:proofErr w:type="spellEnd"/>
      <w:r>
        <w:t xml:space="preserve"> István Képző és Kutató Intézethez rendelte.</w:t>
      </w:r>
    </w:p>
    <w:p w:rsidR="00AD26D7" w:rsidRPr="00245037" w:rsidRDefault="00AD26D7" w:rsidP="00AD26D7">
      <w:pPr>
        <w:pStyle w:val="StlusCmsor4Egalizls14pt"/>
        <w:ind w:left="1287" w:hanging="862"/>
      </w:pPr>
      <w:r>
        <w:t>Pénzügyi</w:t>
      </w:r>
      <w:r w:rsidRPr="00245037">
        <w:t xml:space="preserve"> teljesítés</w:t>
      </w:r>
    </w:p>
    <w:p w:rsidR="00AD26D7" w:rsidRPr="001032D2" w:rsidRDefault="00AD26D7" w:rsidP="00AD26D7">
      <w:pPr>
        <w:pStyle w:val="Szvegtrzs"/>
        <w:ind w:left="993"/>
      </w:pPr>
      <w:r>
        <w:t>A 2010-ben nyert, mozgássérültek segítésére irányuló (</w:t>
      </w:r>
      <w:proofErr w:type="spellStart"/>
      <w:r>
        <w:t>MEREK-kel</w:t>
      </w:r>
      <w:proofErr w:type="spellEnd"/>
      <w:r w:rsidRPr="00823603">
        <w:t xml:space="preserve"> partnerségben</w:t>
      </w:r>
      <w:r>
        <w:t xml:space="preserve"> végzett)</w:t>
      </w:r>
      <w:r w:rsidRPr="00823603">
        <w:t xml:space="preserve"> képzéssorozatból </w:t>
      </w:r>
      <w:r>
        <w:t xml:space="preserve">2011-ben 24.040 ezer </w:t>
      </w:r>
      <w:r w:rsidRPr="00AF30EC">
        <w:t>Ft</w:t>
      </w:r>
      <w:r>
        <w:t>-os árbevétel realizálódott, az évet ez a tender 3.041 ezer Ft nyereséggel zárta. Egyéb üzleti képzésekre kiadott árajánla</w:t>
      </w:r>
      <w:r>
        <w:t>t</w:t>
      </w:r>
      <w:r>
        <w:t xml:space="preserve">ok mindössze 30%-ára érkezett megrendelés, így ezekből a képzésekből az év során 832 ezer Ft árbevétel, 462 ezer Ft nyereség származott. </w:t>
      </w:r>
    </w:p>
    <w:p w:rsidR="00AD26D7" w:rsidRPr="00AF30EC" w:rsidRDefault="00AD26D7" w:rsidP="00AD26D7">
      <w:pPr>
        <w:pStyle w:val="Szvegtrzs"/>
        <w:ind w:left="993"/>
      </w:pPr>
      <w:r>
        <w:t xml:space="preserve">A </w:t>
      </w:r>
      <w:r w:rsidRPr="00AF30EC">
        <w:t>közfoglalkoztatás</w:t>
      </w:r>
      <w:r>
        <w:t xml:space="preserve"> átalakításával kapcsolatos szakértői bevételek az első félévben még jelentősek voltak, bár ezek a korábbi kirendeltségi feladatok lecsengései miatt megszűntek. Ezek bevételei 5.359 ezer Ft-ot tettek ki, s mivel a szakértések nagy r</w:t>
      </w:r>
      <w:r>
        <w:t>é</w:t>
      </w:r>
      <w:r>
        <w:t xml:space="preserve">szét az ügyvezető térítésmentesen látta el, így </w:t>
      </w:r>
      <w:r w:rsidRPr="00AF30EC">
        <w:t>2.627 ezer Ft nyereség képződött.</w:t>
      </w:r>
    </w:p>
    <w:p w:rsidR="00AD26D7" w:rsidRDefault="00AD26D7" w:rsidP="00AD26D7">
      <w:pPr>
        <w:pStyle w:val="Szvegtrzs"/>
        <w:ind w:left="993"/>
      </w:pPr>
      <w:r>
        <w:t xml:space="preserve">Egy </w:t>
      </w:r>
      <w:r w:rsidRPr="00AF30EC">
        <w:t>munkaerő közvetítői</w:t>
      </w:r>
      <w:r>
        <w:t xml:space="preserve"> megrendelés 741 </w:t>
      </w:r>
      <w:proofErr w:type="spellStart"/>
      <w:r>
        <w:t>eFt-tal</w:t>
      </w:r>
      <w:proofErr w:type="spellEnd"/>
      <w:r>
        <w:t xml:space="preserve"> növelte</w:t>
      </w:r>
      <w:r w:rsidRPr="00882402">
        <w:t xml:space="preserve"> az eredményt. </w:t>
      </w:r>
      <w:r w:rsidRPr="00AF30EC">
        <w:t xml:space="preserve">Egyéb </w:t>
      </w:r>
      <w:r w:rsidRPr="00AF30EC">
        <w:lastRenderedPageBreak/>
        <w:t>sza</w:t>
      </w:r>
      <w:r w:rsidRPr="00AF30EC">
        <w:t>k</w:t>
      </w:r>
      <w:r w:rsidRPr="00AF30EC">
        <w:t>értői szolgáltatásaink egyik része a munkahelyi</w:t>
      </w:r>
      <w:r>
        <w:t>-</w:t>
      </w:r>
      <w:r w:rsidRPr="00AF30EC">
        <w:t xml:space="preserve">, </w:t>
      </w:r>
      <w:r>
        <w:t xml:space="preserve">és </w:t>
      </w:r>
      <w:r w:rsidRPr="00AF30EC">
        <w:t>települési esélyegyenlőségi akci</w:t>
      </w:r>
      <w:r w:rsidRPr="00AF30EC">
        <w:t>ó</w:t>
      </w:r>
      <w:r w:rsidRPr="00AF30EC">
        <w:t>tervek, egyéb szakértői anyagok és a felelős munkáltatói helyzetfelmérés és tanácsadás témaköreihez kapcsolódnak. Teki</w:t>
      </w:r>
      <w:r>
        <w:t>ntve, hogy a 2011-ben indított f</w:t>
      </w:r>
      <w:r w:rsidRPr="00AF30EC">
        <w:t>ővá</w:t>
      </w:r>
      <w:r>
        <w:t>rosi e</w:t>
      </w:r>
      <w:r w:rsidRPr="00AF30EC">
        <w:t>sélyegye</w:t>
      </w:r>
      <w:r w:rsidRPr="00AF30EC">
        <w:t>n</w:t>
      </w:r>
      <w:r w:rsidRPr="00AF30EC">
        <w:t>lő</w:t>
      </w:r>
      <w:r>
        <w:t>ségi k</w:t>
      </w:r>
      <w:r w:rsidRPr="00AF30EC">
        <w:t>özfeladat ezt jellemzően lefedi, így az intézményi munkáltatók és a kerületi önkormányzatok e szolgáltatásokat térítésmentesen vették igénybe. Az elvétve me</w:t>
      </w:r>
      <w:r w:rsidRPr="00AF30EC">
        <w:t>g</w:t>
      </w:r>
      <w:r w:rsidRPr="00AF30EC">
        <w:t>nyert „piaci” résztvevők így is 160 ezer Ft nyereséget biztosítottak.</w:t>
      </w:r>
    </w:p>
    <w:p w:rsidR="00AD26D7" w:rsidRDefault="00AD26D7" w:rsidP="00AD26D7">
      <w:pPr>
        <w:pStyle w:val="Szvegtrzs"/>
        <w:ind w:left="993"/>
      </w:pPr>
      <w:r>
        <w:t xml:space="preserve">Összességében </w:t>
      </w:r>
      <w:proofErr w:type="gramStart"/>
      <w:r>
        <w:t>ezen</w:t>
      </w:r>
      <w:proofErr w:type="gramEnd"/>
      <w:r>
        <w:t xml:space="preserve"> szakértői szolgáltatások árbevétele 31.324 ezer Ft volt, mely 5.307 ezer Ft központi költséget viselt, s így is 1.725 ezer Ft nyereséget hozott. Ez csaknem tízszerese az előző évinek, azonban a feszített 2011. évi tervtől csaknem ö</w:t>
      </w:r>
      <w:r>
        <w:t>t</w:t>
      </w:r>
      <w:r>
        <w:t>millió forinttal marad el.</w:t>
      </w:r>
    </w:p>
    <w:p w:rsidR="00AD26D7" w:rsidRPr="00AF30EC" w:rsidRDefault="00AD26D7" w:rsidP="00AD26D7">
      <w:pPr>
        <w:pStyle w:val="Szvegtrzs"/>
        <w:ind w:left="993"/>
      </w:pPr>
    </w:p>
    <w:p w:rsidR="00AD26D7" w:rsidRPr="0000468E" w:rsidRDefault="00AD26D7" w:rsidP="00AD26D7">
      <w:pPr>
        <w:pStyle w:val="Szvegtrzs"/>
        <w:numPr>
          <w:ilvl w:val="0"/>
          <w:numId w:val="5"/>
        </w:numPr>
        <w:ind w:left="709" w:hanging="323"/>
      </w:pPr>
      <w:r w:rsidRPr="0000468E">
        <w:t xml:space="preserve">számú ábra: A </w:t>
      </w:r>
      <w:r>
        <w:t>szakértői szolgáltatások</w:t>
      </w:r>
      <w:r w:rsidRPr="0000468E">
        <w:t xml:space="preserve"> egyenlege</w:t>
      </w:r>
    </w:p>
    <w:tbl>
      <w:tblPr>
        <w:tblW w:w="8999" w:type="dxa"/>
        <w:tblInd w:w="496" w:type="dxa"/>
        <w:tblCellMar>
          <w:left w:w="70" w:type="dxa"/>
          <w:right w:w="70" w:type="dxa"/>
        </w:tblCellMar>
        <w:tblLook w:val="04A0"/>
      </w:tblPr>
      <w:tblGrid>
        <w:gridCol w:w="567"/>
        <w:gridCol w:w="3689"/>
        <w:gridCol w:w="1018"/>
        <w:gridCol w:w="1058"/>
        <w:gridCol w:w="1039"/>
        <w:gridCol w:w="850"/>
        <w:gridCol w:w="778"/>
      </w:tblGrid>
      <w:tr w:rsidR="00AD26D7" w:rsidRPr="0001732A" w:rsidTr="00A70C15">
        <w:trPr>
          <w:trHeight w:val="330"/>
        </w:trPr>
        <w:tc>
          <w:tcPr>
            <w:tcW w:w="567"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rsidR="00AD26D7" w:rsidRPr="0001732A" w:rsidRDefault="00AD26D7" w:rsidP="00A70C15">
            <w:pPr>
              <w:jc w:val="center"/>
              <w:rPr>
                <w:b/>
                <w:bCs/>
                <w:szCs w:val="24"/>
              </w:rPr>
            </w:pPr>
            <w:r w:rsidRPr="0001732A">
              <w:rPr>
                <w:b/>
                <w:bCs/>
                <w:szCs w:val="24"/>
              </w:rPr>
              <w:t>VII.</w:t>
            </w:r>
          </w:p>
        </w:tc>
        <w:tc>
          <w:tcPr>
            <w:tcW w:w="3689" w:type="dxa"/>
            <w:tcBorders>
              <w:top w:val="single" w:sz="8" w:space="0" w:color="auto"/>
              <w:left w:val="nil"/>
              <w:bottom w:val="single" w:sz="4" w:space="0" w:color="auto"/>
              <w:right w:val="single" w:sz="8" w:space="0" w:color="auto"/>
            </w:tcBorders>
            <w:shd w:val="clear" w:color="000000" w:fill="FCD5B4"/>
            <w:noWrap/>
            <w:vAlign w:val="bottom"/>
            <w:hideMark/>
          </w:tcPr>
          <w:p w:rsidR="00AD26D7" w:rsidRPr="0001732A" w:rsidRDefault="00AD26D7" w:rsidP="00A70C15">
            <w:pPr>
              <w:rPr>
                <w:b/>
                <w:bCs/>
                <w:szCs w:val="24"/>
              </w:rPr>
            </w:pPr>
            <w:r>
              <w:rPr>
                <w:b/>
                <w:bCs/>
                <w:szCs w:val="24"/>
              </w:rPr>
              <w:t xml:space="preserve">Szakértői </w:t>
            </w:r>
            <w:r w:rsidRPr="0001732A">
              <w:rPr>
                <w:b/>
                <w:bCs/>
                <w:szCs w:val="24"/>
              </w:rPr>
              <w:t>szolgáltatás</w:t>
            </w:r>
          </w:p>
        </w:tc>
        <w:tc>
          <w:tcPr>
            <w:tcW w:w="1018" w:type="dxa"/>
            <w:tcBorders>
              <w:top w:val="single" w:sz="8" w:space="0" w:color="auto"/>
              <w:left w:val="nil"/>
              <w:bottom w:val="single" w:sz="8" w:space="0" w:color="auto"/>
              <w:right w:val="single" w:sz="4" w:space="0" w:color="auto"/>
            </w:tcBorders>
            <w:shd w:val="clear" w:color="auto" w:fill="auto"/>
            <w:vAlign w:val="center"/>
            <w:hideMark/>
          </w:tcPr>
          <w:p w:rsidR="00AD26D7" w:rsidRPr="0001732A" w:rsidRDefault="00AD26D7" w:rsidP="00A70C15">
            <w:pPr>
              <w:jc w:val="center"/>
              <w:rPr>
                <w:color w:val="000000"/>
                <w:szCs w:val="24"/>
              </w:rPr>
            </w:pPr>
            <w:r w:rsidRPr="0001732A">
              <w:rPr>
                <w:color w:val="000000"/>
                <w:szCs w:val="24"/>
              </w:rPr>
              <w:t>2010. tény</w:t>
            </w:r>
          </w:p>
        </w:tc>
        <w:tc>
          <w:tcPr>
            <w:tcW w:w="1058" w:type="dxa"/>
            <w:tcBorders>
              <w:top w:val="single" w:sz="8" w:space="0" w:color="auto"/>
              <w:left w:val="nil"/>
              <w:bottom w:val="single" w:sz="8" w:space="0" w:color="auto"/>
              <w:right w:val="single" w:sz="4" w:space="0" w:color="auto"/>
            </w:tcBorders>
            <w:shd w:val="clear" w:color="auto" w:fill="auto"/>
            <w:vAlign w:val="center"/>
            <w:hideMark/>
          </w:tcPr>
          <w:p w:rsidR="00AD26D7" w:rsidRPr="0001732A" w:rsidRDefault="00AD26D7" w:rsidP="00A70C15">
            <w:pPr>
              <w:jc w:val="center"/>
              <w:rPr>
                <w:color w:val="000000"/>
                <w:szCs w:val="24"/>
              </w:rPr>
            </w:pPr>
            <w:r w:rsidRPr="0001732A">
              <w:rPr>
                <w:color w:val="000000"/>
                <w:szCs w:val="24"/>
              </w:rPr>
              <w:t>2011. terv</w:t>
            </w:r>
          </w:p>
        </w:tc>
        <w:tc>
          <w:tcPr>
            <w:tcW w:w="1039" w:type="dxa"/>
            <w:tcBorders>
              <w:top w:val="single" w:sz="8" w:space="0" w:color="auto"/>
              <w:left w:val="nil"/>
              <w:bottom w:val="single" w:sz="8" w:space="0" w:color="auto"/>
              <w:right w:val="single" w:sz="8" w:space="0" w:color="auto"/>
            </w:tcBorders>
            <w:shd w:val="clear" w:color="000000" w:fill="FFFF00"/>
            <w:vAlign w:val="center"/>
            <w:hideMark/>
          </w:tcPr>
          <w:p w:rsidR="00AD26D7" w:rsidRPr="0001732A" w:rsidRDefault="00AD26D7" w:rsidP="00A70C15">
            <w:pPr>
              <w:jc w:val="center"/>
              <w:rPr>
                <w:b/>
                <w:bCs/>
                <w:szCs w:val="24"/>
              </w:rPr>
            </w:pPr>
            <w:r w:rsidRPr="0001732A">
              <w:rPr>
                <w:b/>
                <w:bCs/>
                <w:szCs w:val="24"/>
              </w:rPr>
              <w:t>2011. tény</w:t>
            </w:r>
          </w:p>
        </w:tc>
        <w:tc>
          <w:tcPr>
            <w:tcW w:w="1628" w:type="dxa"/>
            <w:gridSpan w:val="2"/>
            <w:tcBorders>
              <w:top w:val="single" w:sz="8" w:space="0" w:color="auto"/>
              <w:left w:val="nil"/>
              <w:bottom w:val="single" w:sz="8" w:space="0" w:color="auto"/>
              <w:right w:val="single" w:sz="8" w:space="0" w:color="000000"/>
            </w:tcBorders>
            <w:shd w:val="clear" w:color="auto" w:fill="auto"/>
            <w:vAlign w:val="center"/>
            <w:hideMark/>
          </w:tcPr>
          <w:p w:rsidR="00AD26D7" w:rsidRPr="0001732A" w:rsidRDefault="00AD26D7" w:rsidP="00A70C15">
            <w:pPr>
              <w:jc w:val="center"/>
              <w:rPr>
                <w:color w:val="000000"/>
                <w:szCs w:val="24"/>
              </w:rPr>
            </w:pPr>
            <w:r w:rsidRPr="0001732A">
              <w:rPr>
                <w:color w:val="000000"/>
                <w:szCs w:val="24"/>
              </w:rPr>
              <w:t>2011 tény/ 2010 tény</w:t>
            </w:r>
          </w:p>
        </w:tc>
      </w:tr>
      <w:tr w:rsidR="00AD26D7" w:rsidRPr="0001732A" w:rsidTr="00A70C15">
        <w:trPr>
          <w:trHeight w:val="300"/>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AD26D7" w:rsidRPr="0001732A" w:rsidRDefault="00AD26D7" w:rsidP="00A70C15">
            <w:pPr>
              <w:rPr>
                <w:b/>
                <w:bCs/>
                <w:szCs w:val="24"/>
              </w:rPr>
            </w:pPr>
          </w:p>
        </w:tc>
        <w:tc>
          <w:tcPr>
            <w:tcW w:w="3689" w:type="dxa"/>
            <w:tcBorders>
              <w:top w:val="nil"/>
              <w:left w:val="nil"/>
              <w:bottom w:val="single" w:sz="8" w:space="0" w:color="auto"/>
              <w:right w:val="single" w:sz="8" w:space="0" w:color="auto"/>
            </w:tcBorders>
            <w:shd w:val="clear" w:color="000000" w:fill="FCD5B4"/>
            <w:noWrap/>
            <w:vAlign w:val="bottom"/>
            <w:hideMark/>
          </w:tcPr>
          <w:p w:rsidR="00AD26D7" w:rsidRPr="0001732A" w:rsidRDefault="00AD26D7" w:rsidP="00A70C15">
            <w:pPr>
              <w:jc w:val="center"/>
              <w:rPr>
                <w:b/>
                <w:bCs/>
                <w:color w:val="000000"/>
                <w:szCs w:val="24"/>
              </w:rPr>
            </w:pPr>
            <w:r w:rsidRPr="0001732A">
              <w:rPr>
                <w:b/>
                <w:bCs/>
                <w:color w:val="000000"/>
                <w:szCs w:val="24"/>
              </w:rPr>
              <w:t>Egyenleg</w:t>
            </w:r>
          </w:p>
        </w:tc>
        <w:tc>
          <w:tcPr>
            <w:tcW w:w="1018" w:type="dxa"/>
            <w:tcBorders>
              <w:top w:val="nil"/>
              <w:left w:val="nil"/>
              <w:bottom w:val="single" w:sz="4" w:space="0" w:color="auto"/>
              <w:right w:val="single" w:sz="4" w:space="0" w:color="auto"/>
            </w:tcBorders>
            <w:shd w:val="clear" w:color="000000" w:fill="FCD5B4"/>
            <w:noWrap/>
            <w:vAlign w:val="bottom"/>
            <w:hideMark/>
          </w:tcPr>
          <w:p w:rsidR="00AD26D7" w:rsidRPr="0001732A" w:rsidRDefault="00AD26D7" w:rsidP="00A70C15">
            <w:pPr>
              <w:jc w:val="right"/>
              <w:rPr>
                <w:color w:val="000000"/>
                <w:szCs w:val="24"/>
              </w:rPr>
            </w:pPr>
            <w:r w:rsidRPr="0001732A">
              <w:rPr>
                <w:color w:val="000000"/>
                <w:szCs w:val="24"/>
              </w:rPr>
              <w:t>190</w:t>
            </w:r>
          </w:p>
        </w:tc>
        <w:tc>
          <w:tcPr>
            <w:tcW w:w="1058" w:type="dxa"/>
            <w:tcBorders>
              <w:top w:val="nil"/>
              <w:left w:val="nil"/>
              <w:bottom w:val="single" w:sz="4" w:space="0" w:color="auto"/>
              <w:right w:val="single" w:sz="4" w:space="0" w:color="auto"/>
            </w:tcBorders>
            <w:shd w:val="clear" w:color="000000" w:fill="FCD5B4"/>
            <w:noWrap/>
            <w:vAlign w:val="bottom"/>
            <w:hideMark/>
          </w:tcPr>
          <w:p w:rsidR="00AD26D7" w:rsidRPr="0001732A" w:rsidRDefault="00AD26D7" w:rsidP="00A70C15">
            <w:pPr>
              <w:jc w:val="right"/>
              <w:rPr>
                <w:color w:val="000000"/>
                <w:szCs w:val="24"/>
              </w:rPr>
            </w:pPr>
            <w:r w:rsidRPr="0001732A">
              <w:rPr>
                <w:color w:val="000000"/>
                <w:szCs w:val="24"/>
              </w:rPr>
              <w:t>6 840</w:t>
            </w:r>
          </w:p>
        </w:tc>
        <w:tc>
          <w:tcPr>
            <w:tcW w:w="1039" w:type="dxa"/>
            <w:tcBorders>
              <w:top w:val="nil"/>
              <w:left w:val="nil"/>
              <w:bottom w:val="single" w:sz="4" w:space="0" w:color="auto"/>
              <w:right w:val="single" w:sz="4" w:space="0" w:color="auto"/>
            </w:tcBorders>
            <w:shd w:val="clear" w:color="000000" w:fill="FCD5B4"/>
            <w:noWrap/>
            <w:vAlign w:val="bottom"/>
            <w:hideMark/>
          </w:tcPr>
          <w:p w:rsidR="00AD26D7" w:rsidRPr="0001732A" w:rsidRDefault="00AD26D7" w:rsidP="00A70C15">
            <w:pPr>
              <w:jc w:val="right"/>
              <w:rPr>
                <w:color w:val="000000"/>
                <w:szCs w:val="24"/>
              </w:rPr>
            </w:pPr>
            <w:r w:rsidRPr="0001732A">
              <w:rPr>
                <w:color w:val="000000"/>
                <w:szCs w:val="24"/>
              </w:rPr>
              <w:t>1 725</w:t>
            </w:r>
          </w:p>
        </w:tc>
        <w:tc>
          <w:tcPr>
            <w:tcW w:w="850" w:type="dxa"/>
            <w:tcBorders>
              <w:top w:val="single" w:sz="4" w:space="0" w:color="auto"/>
              <w:left w:val="nil"/>
              <w:bottom w:val="single" w:sz="4" w:space="0" w:color="auto"/>
              <w:right w:val="single" w:sz="4" w:space="0" w:color="auto"/>
            </w:tcBorders>
            <w:shd w:val="clear" w:color="000000" w:fill="FCD5B4"/>
            <w:noWrap/>
            <w:vAlign w:val="center"/>
            <w:hideMark/>
          </w:tcPr>
          <w:p w:rsidR="00AD26D7" w:rsidRPr="0001732A" w:rsidRDefault="00AD26D7" w:rsidP="00A70C15">
            <w:pPr>
              <w:jc w:val="right"/>
              <w:rPr>
                <w:bCs/>
                <w:szCs w:val="24"/>
              </w:rPr>
            </w:pPr>
            <w:r w:rsidRPr="0001732A">
              <w:rPr>
                <w:bCs/>
                <w:szCs w:val="24"/>
              </w:rPr>
              <w:t>1 535</w:t>
            </w:r>
          </w:p>
        </w:tc>
        <w:tc>
          <w:tcPr>
            <w:tcW w:w="778" w:type="dxa"/>
            <w:tcBorders>
              <w:top w:val="single" w:sz="4" w:space="0" w:color="auto"/>
              <w:left w:val="nil"/>
              <w:bottom w:val="single" w:sz="4" w:space="0" w:color="auto"/>
              <w:right w:val="single" w:sz="8" w:space="0" w:color="auto"/>
            </w:tcBorders>
            <w:shd w:val="clear" w:color="000000" w:fill="FCD5B4"/>
            <w:noWrap/>
            <w:vAlign w:val="center"/>
            <w:hideMark/>
          </w:tcPr>
          <w:p w:rsidR="00AD26D7" w:rsidRPr="0001732A" w:rsidRDefault="00AD26D7" w:rsidP="00A70C15">
            <w:pPr>
              <w:jc w:val="center"/>
              <w:rPr>
                <w:bCs/>
                <w:szCs w:val="24"/>
              </w:rPr>
            </w:pPr>
            <w:r w:rsidRPr="0001732A">
              <w:rPr>
                <w:bCs/>
                <w:szCs w:val="24"/>
              </w:rPr>
              <w:t>908%</w:t>
            </w:r>
          </w:p>
        </w:tc>
      </w:tr>
      <w:tr w:rsidR="00AD26D7" w:rsidRPr="0001732A" w:rsidTr="00A70C15">
        <w:trPr>
          <w:trHeight w:val="30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AD26D7" w:rsidRPr="0001732A" w:rsidRDefault="00AD26D7" w:rsidP="00A70C15">
            <w:pPr>
              <w:rPr>
                <w:szCs w:val="24"/>
              </w:rPr>
            </w:pPr>
            <w:r w:rsidRPr="0001732A">
              <w:rPr>
                <w:szCs w:val="24"/>
              </w:rPr>
              <w:t>7.1</w:t>
            </w:r>
          </w:p>
        </w:tc>
        <w:tc>
          <w:tcPr>
            <w:tcW w:w="3689" w:type="dxa"/>
            <w:tcBorders>
              <w:top w:val="nil"/>
              <w:left w:val="nil"/>
              <w:bottom w:val="single" w:sz="4" w:space="0" w:color="auto"/>
              <w:right w:val="single" w:sz="4" w:space="0" w:color="auto"/>
            </w:tcBorders>
            <w:shd w:val="clear" w:color="auto" w:fill="auto"/>
            <w:noWrap/>
            <w:vAlign w:val="bottom"/>
            <w:hideMark/>
          </w:tcPr>
          <w:p w:rsidR="00AD26D7" w:rsidRPr="0001732A" w:rsidRDefault="00AD26D7" w:rsidP="00A70C15">
            <w:pPr>
              <w:rPr>
                <w:b/>
                <w:bCs/>
                <w:szCs w:val="24"/>
              </w:rPr>
            </w:pPr>
            <w:r w:rsidRPr="0001732A">
              <w:rPr>
                <w:b/>
                <w:bCs/>
                <w:szCs w:val="24"/>
              </w:rPr>
              <w:t>Költségek összesen:</w:t>
            </w:r>
          </w:p>
        </w:tc>
        <w:tc>
          <w:tcPr>
            <w:tcW w:w="1018" w:type="dxa"/>
            <w:tcBorders>
              <w:top w:val="nil"/>
              <w:left w:val="nil"/>
              <w:bottom w:val="single" w:sz="4" w:space="0" w:color="auto"/>
              <w:right w:val="single" w:sz="4" w:space="0" w:color="auto"/>
            </w:tcBorders>
            <w:shd w:val="clear" w:color="auto" w:fill="auto"/>
            <w:noWrap/>
            <w:vAlign w:val="bottom"/>
            <w:hideMark/>
          </w:tcPr>
          <w:p w:rsidR="00AD26D7" w:rsidRPr="0001732A" w:rsidRDefault="00AD26D7" w:rsidP="00A70C15">
            <w:pPr>
              <w:jc w:val="right"/>
              <w:rPr>
                <w:b/>
                <w:bCs/>
                <w:szCs w:val="24"/>
              </w:rPr>
            </w:pPr>
            <w:r w:rsidRPr="0001732A">
              <w:rPr>
                <w:b/>
                <w:bCs/>
                <w:szCs w:val="24"/>
              </w:rPr>
              <w:t>19 494</w:t>
            </w:r>
          </w:p>
        </w:tc>
        <w:tc>
          <w:tcPr>
            <w:tcW w:w="1058" w:type="dxa"/>
            <w:tcBorders>
              <w:top w:val="nil"/>
              <w:left w:val="nil"/>
              <w:bottom w:val="single" w:sz="4" w:space="0" w:color="auto"/>
              <w:right w:val="single" w:sz="4" w:space="0" w:color="auto"/>
            </w:tcBorders>
            <w:shd w:val="clear" w:color="auto" w:fill="auto"/>
            <w:noWrap/>
            <w:vAlign w:val="bottom"/>
            <w:hideMark/>
          </w:tcPr>
          <w:p w:rsidR="00AD26D7" w:rsidRPr="0001732A" w:rsidRDefault="00AD26D7" w:rsidP="00A70C15">
            <w:pPr>
              <w:jc w:val="right"/>
              <w:rPr>
                <w:b/>
                <w:bCs/>
                <w:szCs w:val="24"/>
              </w:rPr>
            </w:pPr>
            <w:r w:rsidRPr="0001732A">
              <w:rPr>
                <w:b/>
                <w:bCs/>
                <w:szCs w:val="24"/>
              </w:rPr>
              <w:t>27 575</w:t>
            </w:r>
          </w:p>
        </w:tc>
        <w:tc>
          <w:tcPr>
            <w:tcW w:w="1039" w:type="dxa"/>
            <w:tcBorders>
              <w:top w:val="nil"/>
              <w:left w:val="nil"/>
              <w:bottom w:val="single" w:sz="4" w:space="0" w:color="auto"/>
              <w:right w:val="single" w:sz="4" w:space="0" w:color="auto"/>
            </w:tcBorders>
            <w:shd w:val="clear" w:color="000000" w:fill="FFFF00"/>
            <w:noWrap/>
            <w:vAlign w:val="bottom"/>
            <w:hideMark/>
          </w:tcPr>
          <w:p w:rsidR="00AD26D7" w:rsidRPr="0001732A" w:rsidRDefault="00AD26D7" w:rsidP="00A70C15">
            <w:pPr>
              <w:jc w:val="right"/>
              <w:rPr>
                <w:b/>
                <w:bCs/>
                <w:szCs w:val="24"/>
              </w:rPr>
            </w:pPr>
            <w:r w:rsidRPr="0001732A">
              <w:rPr>
                <w:b/>
                <w:bCs/>
                <w:szCs w:val="24"/>
              </w:rPr>
              <w:t>29 599</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01732A" w:rsidRDefault="00AD26D7" w:rsidP="00A70C15">
            <w:pPr>
              <w:jc w:val="right"/>
              <w:rPr>
                <w:bCs/>
                <w:szCs w:val="24"/>
              </w:rPr>
            </w:pPr>
            <w:r w:rsidRPr="0001732A">
              <w:rPr>
                <w:bCs/>
                <w:szCs w:val="24"/>
              </w:rPr>
              <w:t>10 105</w:t>
            </w:r>
          </w:p>
        </w:tc>
        <w:tc>
          <w:tcPr>
            <w:tcW w:w="778" w:type="dxa"/>
            <w:tcBorders>
              <w:top w:val="nil"/>
              <w:left w:val="nil"/>
              <w:bottom w:val="single" w:sz="4" w:space="0" w:color="auto"/>
              <w:right w:val="single" w:sz="8" w:space="0" w:color="auto"/>
            </w:tcBorders>
            <w:shd w:val="clear" w:color="auto" w:fill="auto"/>
            <w:noWrap/>
            <w:vAlign w:val="center"/>
            <w:hideMark/>
          </w:tcPr>
          <w:p w:rsidR="00AD26D7" w:rsidRPr="0001732A" w:rsidRDefault="00AD26D7" w:rsidP="00A70C15">
            <w:pPr>
              <w:jc w:val="center"/>
              <w:rPr>
                <w:bCs/>
                <w:szCs w:val="24"/>
              </w:rPr>
            </w:pPr>
            <w:r w:rsidRPr="0001732A">
              <w:rPr>
                <w:bCs/>
                <w:szCs w:val="24"/>
              </w:rPr>
              <w:t>152%</w:t>
            </w:r>
          </w:p>
        </w:tc>
      </w:tr>
      <w:tr w:rsidR="00AD26D7" w:rsidRPr="0001732A" w:rsidTr="00A70C15">
        <w:trPr>
          <w:trHeight w:val="28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AD26D7" w:rsidRPr="0001732A" w:rsidRDefault="00AD26D7" w:rsidP="00A70C15">
            <w:pPr>
              <w:rPr>
                <w:szCs w:val="24"/>
              </w:rPr>
            </w:pPr>
            <w:r w:rsidRPr="0001732A">
              <w:rPr>
                <w:szCs w:val="24"/>
              </w:rPr>
              <w:t>7.2</w:t>
            </w:r>
          </w:p>
        </w:tc>
        <w:tc>
          <w:tcPr>
            <w:tcW w:w="3689" w:type="dxa"/>
            <w:tcBorders>
              <w:top w:val="nil"/>
              <w:left w:val="nil"/>
              <w:bottom w:val="single" w:sz="4" w:space="0" w:color="auto"/>
              <w:right w:val="single" w:sz="4" w:space="0" w:color="auto"/>
            </w:tcBorders>
            <w:shd w:val="clear" w:color="auto" w:fill="auto"/>
            <w:vAlign w:val="bottom"/>
            <w:hideMark/>
          </w:tcPr>
          <w:p w:rsidR="00AD26D7" w:rsidRPr="0001732A" w:rsidRDefault="00AD26D7" w:rsidP="00A70C15">
            <w:pPr>
              <w:rPr>
                <w:szCs w:val="24"/>
              </w:rPr>
            </w:pPr>
            <w:r w:rsidRPr="0001732A">
              <w:rPr>
                <w:szCs w:val="24"/>
              </w:rPr>
              <w:t>Közvetlen költség</w:t>
            </w:r>
          </w:p>
        </w:tc>
        <w:tc>
          <w:tcPr>
            <w:tcW w:w="1018" w:type="dxa"/>
            <w:tcBorders>
              <w:top w:val="nil"/>
              <w:left w:val="nil"/>
              <w:bottom w:val="single" w:sz="4" w:space="0" w:color="auto"/>
              <w:right w:val="single" w:sz="4" w:space="0" w:color="auto"/>
            </w:tcBorders>
            <w:shd w:val="clear" w:color="auto" w:fill="auto"/>
            <w:noWrap/>
            <w:vAlign w:val="center"/>
            <w:hideMark/>
          </w:tcPr>
          <w:p w:rsidR="00AD26D7" w:rsidRPr="0001732A" w:rsidRDefault="00AD26D7" w:rsidP="00A70C15">
            <w:pPr>
              <w:jc w:val="right"/>
              <w:rPr>
                <w:color w:val="000000"/>
                <w:szCs w:val="24"/>
              </w:rPr>
            </w:pPr>
            <w:r w:rsidRPr="0001732A">
              <w:rPr>
                <w:color w:val="000000"/>
                <w:szCs w:val="24"/>
              </w:rPr>
              <w:t>13 802</w:t>
            </w:r>
          </w:p>
        </w:tc>
        <w:tc>
          <w:tcPr>
            <w:tcW w:w="1058" w:type="dxa"/>
            <w:tcBorders>
              <w:top w:val="nil"/>
              <w:left w:val="nil"/>
              <w:bottom w:val="single" w:sz="4" w:space="0" w:color="auto"/>
              <w:right w:val="single" w:sz="4" w:space="0" w:color="auto"/>
            </w:tcBorders>
            <w:shd w:val="clear" w:color="auto" w:fill="auto"/>
            <w:noWrap/>
            <w:vAlign w:val="center"/>
            <w:hideMark/>
          </w:tcPr>
          <w:p w:rsidR="00AD26D7" w:rsidRPr="0001732A" w:rsidRDefault="00AD26D7" w:rsidP="00A70C15">
            <w:pPr>
              <w:jc w:val="right"/>
              <w:rPr>
                <w:color w:val="000000"/>
                <w:szCs w:val="24"/>
              </w:rPr>
            </w:pPr>
            <w:r w:rsidRPr="0001732A">
              <w:rPr>
                <w:color w:val="000000"/>
                <w:szCs w:val="24"/>
              </w:rPr>
              <w:t>22 562</w:t>
            </w:r>
          </w:p>
        </w:tc>
        <w:tc>
          <w:tcPr>
            <w:tcW w:w="1039" w:type="dxa"/>
            <w:tcBorders>
              <w:top w:val="nil"/>
              <w:left w:val="nil"/>
              <w:bottom w:val="single" w:sz="4" w:space="0" w:color="auto"/>
              <w:right w:val="single" w:sz="4" w:space="0" w:color="auto"/>
            </w:tcBorders>
            <w:shd w:val="clear" w:color="000000" w:fill="FFFF00"/>
            <w:noWrap/>
            <w:vAlign w:val="center"/>
            <w:hideMark/>
          </w:tcPr>
          <w:p w:rsidR="00AD26D7" w:rsidRPr="0001732A" w:rsidRDefault="00AD26D7" w:rsidP="00A70C15">
            <w:pPr>
              <w:jc w:val="right"/>
              <w:rPr>
                <w:color w:val="000000"/>
                <w:szCs w:val="24"/>
              </w:rPr>
            </w:pPr>
            <w:r w:rsidRPr="0001732A">
              <w:rPr>
                <w:color w:val="000000"/>
                <w:szCs w:val="24"/>
              </w:rPr>
              <w:t>24 292</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01732A" w:rsidRDefault="00AD26D7" w:rsidP="00A70C15">
            <w:pPr>
              <w:jc w:val="right"/>
              <w:rPr>
                <w:bCs/>
                <w:szCs w:val="24"/>
              </w:rPr>
            </w:pPr>
            <w:r w:rsidRPr="0001732A">
              <w:rPr>
                <w:bCs/>
                <w:szCs w:val="24"/>
              </w:rPr>
              <w:t>10 490</w:t>
            </w:r>
          </w:p>
        </w:tc>
        <w:tc>
          <w:tcPr>
            <w:tcW w:w="778" w:type="dxa"/>
            <w:tcBorders>
              <w:top w:val="nil"/>
              <w:left w:val="nil"/>
              <w:bottom w:val="single" w:sz="4" w:space="0" w:color="auto"/>
              <w:right w:val="single" w:sz="8" w:space="0" w:color="auto"/>
            </w:tcBorders>
            <w:shd w:val="clear" w:color="auto" w:fill="auto"/>
            <w:noWrap/>
            <w:vAlign w:val="center"/>
            <w:hideMark/>
          </w:tcPr>
          <w:p w:rsidR="00AD26D7" w:rsidRPr="0001732A" w:rsidRDefault="00AD26D7" w:rsidP="00A70C15">
            <w:pPr>
              <w:jc w:val="center"/>
              <w:rPr>
                <w:bCs/>
                <w:szCs w:val="24"/>
              </w:rPr>
            </w:pPr>
            <w:r w:rsidRPr="0001732A">
              <w:rPr>
                <w:bCs/>
                <w:szCs w:val="24"/>
              </w:rPr>
              <w:t>176%</w:t>
            </w:r>
          </w:p>
        </w:tc>
      </w:tr>
      <w:tr w:rsidR="00AD26D7" w:rsidRPr="0001732A" w:rsidTr="00A70C15">
        <w:trPr>
          <w:trHeight w:val="300"/>
        </w:trPr>
        <w:tc>
          <w:tcPr>
            <w:tcW w:w="567" w:type="dxa"/>
            <w:tcBorders>
              <w:top w:val="nil"/>
              <w:left w:val="single" w:sz="8" w:space="0" w:color="auto"/>
              <w:bottom w:val="single" w:sz="4" w:space="0" w:color="auto"/>
              <w:right w:val="single" w:sz="4" w:space="0" w:color="auto"/>
            </w:tcBorders>
            <w:shd w:val="clear" w:color="000000" w:fill="EAF1DD"/>
            <w:noWrap/>
            <w:vAlign w:val="bottom"/>
            <w:hideMark/>
          </w:tcPr>
          <w:p w:rsidR="00AD26D7" w:rsidRPr="0001732A" w:rsidRDefault="00AD26D7" w:rsidP="00A70C15">
            <w:pPr>
              <w:rPr>
                <w:color w:val="000000"/>
                <w:szCs w:val="24"/>
              </w:rPr>
            </w:pPr>
            <w:r w:rsidRPr="0001732A">
              <w:rPr>
                <w:color w:val="000000"/>
                <w:szCs w:val="24"/>
              </w:rPr>
              <w:t>7.3</w:t>
            </w:r>
          </w:p>
        </w:tc>
        <w:tc>
          <w:tcPr>
            <w:tcW w:w="3689" w:type="dxa"/>
            <w:tcBorders>
              <w:top w:val="nil"/>
              <w:left w:val="nil"/>
              <w:bottom w:val="single" w:sz="4" w:space="0" w:color="auto"/>
              <w:right w:val="single" w:sz="4" w:space="0" w:color="auto"/>
            </w:tcBorders>
            <w:shd w:val="clear" w:color="000000" w:fill="EAF1DD"/>
            <w:vAlign w:val="bottom"/>
            <w:hideMark/>
          </w:tcPr>
          <w:p w:rsidR="00AD26D7" w:rsidRPr="0001732A" w:rsidRDefault="00AD26D7" w:rsidP="00A70C15">
            <w:pPr>
              <w:rPr>
                <w:color w:val="000000"/>
                <w:szCs w:val="24"/>
              </w:rPr>
            </w:pPr>
            <w:r w:rsidRPr="0001732A">
              <w:rPr>
                <w:color w:val="000000"/>
                <w:szCs w:val="24"/>
              </w:rPr>
              <w:t>Felosztott központi általános költség</w:t>
            </w:r>
          </w:p>
        </w:tc>
        <w:tc>
          <w:tcPr>
            <w:tcW w:w="1018" w:type="dxa"/>
            <w:tcBorders>
              <w:top w:val="nil"/>
              <w:left w:val="nil"/>
              <w:bottom w:val="single" w:sz="4" w:space="0" w:color="auto"/>
              <w:right w:val="single" w:sz="4" w:space="0" w:color="auto"/>
            </w:tcBorders>
            <w:shd w:val="clear" w:color="000000" w:fill="EAF1DD"/>
            <w:noWrap/>
            <w:vAlign w:val="bottom"/>
            <w:hideMark/>
          </w:tcPr>
          <w:p w:rsidR="00AD26D7" w:rsidRPr="0001732A" w:rsidRDefault="00AD26D7" w:rsidP="00A70C15">
            <w:pPr>
              <w:jc w:val="right"/>
              <w:rPr>
                <w:color w:val="000000"/>
                <w:szCs w:val="24"/>
              </w:rPr>
            </w:pPr>
            <w:r w:rsidRPr="0001732A">
              <w:rPr>
                <w:color w:val="000000"/>
                <w:szCs w:val="24"/>
              </w:rPr>
              <w:t>5 692</w:t>
            </w:r>
          </w:p>
        </w:tc>
        <w:tc>
          <w:tcPr>
            <w:tcW w:w="1058" w:type="dxa"/>
            <w:tcBorders>
              <w:top w:val="nil"/>
              <w:left w:val="nil"/>
              <w:bottom w:val="single" w:sz="4" w:space="0" w:color="auto"/>
              <w:right w:val="single" w:sz="4" w:space="0" w:color="auto"/>
            </w:tcBorders>
            <w:shd w:val="clear" w:color="000000" w:fill="EAF1DD"/>
            <w:noWrap/>
            <w:vAlign w:val="bottom"/>
            <w:hideMark/>
          </w:tcPr>
          <w:p w:rsidR="00AD26D7" w:rsidRPr="0001732A" w:rsidRDefault="00AD26D7" w:rsidP="00A70C15">
            <w:pPr>
              <w:jc w:val="right"/>
              <w:rPr>
                <w:color w:val="000000"/>
                <w:szCs w:val="24"/>
              </w:rPr>
            </w:pPr>
            <w:r w:rsidRPr="0001732A">
              <w:rPr>
                <w:color w:val="000000"/>
                <w:szCs w:val="24"/>
              </w:rPr>
              <w:t>5 013</w:t>
            </w:r>
          </w:p>
        </w:tc>
        <w:tc>
          <w:tcPr>
            <w:tcW w:w="1039" w:type="dxa"/>
            <w:tcBorders>
              <w:top w:val="nil"/>
              <w:left w:val="nil"/>
              <w:bottom w:val="single" w:sz="4" w:space="0" w:color="auto"/>
              <w:right w:val="single" w:sz="4" w:space="0" w:color="auto"/>
            </w:tcBorders>
            <w:shd w:val="clear" w:color="000000" w:fill="FFFF00"/>
            <w:noWrap/>
            <w:vAlign w:val="center"/>
            <w:hideMark/>
          </w:tcPr>
          <w:p w:rsidR="00AD26D7" w:rsidRPr="0001732A" w:rsidRDefault="00AD26D7" w:rsidP="00A70C15">
            <w:pPr>
              <w:jc w:val="right"/>
              <w:rPr>
                <w:color w:val="000000"/>
                <w:szCs w:val="24"/>
              </w:rPr>
            </w:pPr>
            <w:r w:rsidRPr="0001732A">
              <w:rPr>
                <w:color w:val="000000"/>
                <w:szCs w:val="24"/>
              </w:rPr>
              <w:t>5 307</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01732A" w:rsidRDefault="00AD26D7" w:rsidP="00A70C15">
            <w:pPr>
              <w:jc w:val="right"/>
              <w:rPr>
                <w:bCs/>
                <w:szCs w:val="24"/>
              </w:rPr>
            </w:pPr>
            <w:r w:rsidRPr="0001732A">
              <w:rPr>
                <w:bCs/>
                <w:szCs w:val="24"/>
              </w:rPr>
              <w:t>-385</w:t>
            </w:r>
          </w:p>
        </w:tc>
        <w:tc>
          <w:tcPr>
            <w:tcW w:w="778" w:type="dxa"/>
            <w:tcBorders>
              <w:top w:val="nil"/>
              <w:left w:val="nil"/>
              <w:bottom w:val="single" w:sz="4" w:space="0" w:color="auto"/>
              <w:right w:val="single" w:sz="8" w:space="0" w:color="auto"/>
            </w:tcBorders>
            <w:shd w:val="clear" w:color="auto" w:fill="auto"/>
            <w:noWrap/>
            <w:vAlign w:val="center"/>
            <w:hideMark/>
          </w:tcPr>
          <w:p w:rsidR="00AD26D7" w:rsidRPr="0001732A" w:rsidRDefault="00AD26D7" w:rsidP="00A70C15">
            <w:pPr>
              <w:jc w:val="center"/>
              <w:rPr>
                <w:bCs/>
                <w:szCs w:val="24"/>
              </w:rPr>
            </w:pPr>
            <w:r w:rsidRPr="0001732A">
              <w:rPr>
                <w:bCs/>
                <w:szCs w:val="24"/>
              </w:rPr>
              <w:t>93%</w:t>
            </w:r>
          </w:p>
        </w:tc>
      </w:tr>
      <w:tr w:rsidR="00AD26D7" w:rsidRPr="0051071A" w:rsidTr="00A70C15">
        <w:trPr>
          <w:trHeight w:val="315"/>
        </w:trPr>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AD26D7" w:rsidRPr="0001732A" w:rsidRDefault="00AD26D7" w:rsidP="00A70C15">
            <w:pPr>
              <w:rPr>
                <w:szCs w:val="24"/>
              </w:rPr>
            </w:pPr>
            <w:r w:rsidRPr="0001732A">
              <w:rPr>
                <w:szCs w:val="24"/>
              </w:rPr>
              <w:t>7.4</w:t>
            </w:r>
          </w:p>
        </w:tc>
        <w:tc>
          <w:tcPr>
            <w:tcW w:w="368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6D7" w:rsidRPr="0001732A" w:rsidRDefault="00AD26D7" w:rsidP="00A70C15">
            <w:pPr>
              <w:rPr>
                <w:b/>
                <w:bCs/>
                <w:szCs w:val="24"/>
              </w:rPr>
            </w:pPr>
            <w:r w:rsidRPr="0001732A">
              <w:rPr>
                <w:b/>
                <w:bCs/>
                <w:szCs w:val="24"/>
              </w:rPr>
              <w:t>Árbevétel:</w:t>
            </w:r>
          </w:p>
        </w:tc>
        <w:tc>
          <w:tcPr>
            <w:tcW w:w="1018" w:type="dxa"/>
            <w:tcBorders>
              <w:top w:val="single" w:sz="8" w:space="0" w:color="auto"/>
              <w:left w:val="nil"/>
              <w:bottom w:val="single" w:sz="8" w:space="0" w:color="auto"/>
              <w:right w:val="single" w:sz="4" w:space="0" w:color="auto"/>
            </w:tcBorders>
            <w:shd w:val="clear" w:color="auto" w:fill="auto"/>
            <w:noWrap/>
            <w:vAlign w:val="bottom"/>
            <w:hideMark/>
          </w:tcPr>
          <w:p w:rsidR="00AD26D7" w:rsidRPr="0001732A" w:rsidRDefault="00AD26D7" w:rsidP="00A70C15">
            <w:pPr>
              <w:jc w:val="right"/>
              <w:rPr>
                <w:b/>
                <w:bCs/>
                <w:szCs w:val="24"/>
              </w:rPr>
            </w:pPr>
            <w:r w:rsidRPr="0001732A">
              <w:rPr>
                <w:b/>
                <w:bCs/>
                <w:szCs w:val="24"/>
              </w:rPr>
              <w:t>19 684</w:t>
            </w:r>
          </w:p>
        </w:tc>
        <w:tc>
          <w:tcPr>
            <w:tcW w:w="1058" w:type="dxa"/>
            <w:tcBorders>
              <w:top w:val="single" w:sz="8" w:space="0" w:color="auto"/>
              <w:left w:val="nil"/>
              <w:bottom w:val="single" w:sz="8" w:space="0" w:color="auto"/>
              <w:right w:val="single" w:sz="4" w:space="0" w:color="auto"/>
            </w:tcBorders>
            <w:shd w:val="clear" w:color="auto" w:fill="auto"/>
            <w:noWrap/>
            <w:vAlign w:val="bottom"/>
            <w:hideMark/>
          </w:tcPr>
          <w:p w:rsidR="00AD26D7" w:rsidRPr="0001732A" w:rsidRDefault="00AD26D7" w:rsidP="00A70C15">
            <w:pPr>
              <w:jc w:val="right"/>
              <w:rPr>
                <w:b/>
                <w:bCs/>
                <w:szCs w:val="24"/>
              </w:rPr>
            </w:pPr>
            <w:r w:rsidRPr="0001732A">
              <w:rPr>
                <w:b/>
                <w:bCs/>
                <w:szCs w:val="24"/>
              </w:rPr>
              <w:t>34 415</w:t>
            </w:r>
          </w:p>
        </w:tc>
        <w:tc>
          <w:tcPr>
            <w:tcW w:w="1039" w:type="dxa"/>
            <w:tcBorders>
              <w:top w:val="single" w:sz="8" w:space="0" w:color="auto"/>
              <w:left w:val="nil"/>
              <w:bottom w:val="single" w:sz="8" w:space="0" w:color="auto"/>
              <w:right w:val="single" w:sz="4" w:space="0" w:color="auto"/>
            </w:tcBorders>
            <w:shd w:val="clear" w:color="000000" w:fill="FFFF00"/>
            <w:noWrap/>
            <w:vAlign w:val="bottom"/>
            <w:hideMark/>
          </w:tcPr>
          <w:p w:rsidR="00AD26D7" w:rsidRPr="0001732A" w:rsidRDefault="00AD26D7" w:rsidP="00A70C15">
            <w:pPr>
              <w:jc w:val="right"/>
              <w:rPr>
                <w:b/>
                <w:bCs/>
                <w:szCs w:val="24"/>
              </w:rPr>
            </w:pPr>
            <w:r w:rsidRPr="0001732A">
              <w:rPr>
                <w:b/>
                <w:bCs/>
                <w:szCs w:val="24"/>
              </w:rPr>
              <w:t>31 324</w:t>
            </w:r>
          </w:p>
        </w:tc>
        <w:tc>
          <w:tcPr>
            <w:tcW w:w="850" w:type="dxa"/>
            <w:tcBorders>
              <w:top w:val="nil"/>
              <w:left w:val="nil"/>
              <w:bottom w:val="single" w:sz="8" w:space="0" w:color="auto"/>
              <w:right w:val="single" w:sz="4" w:space="0" w:color="auto"/>
            </w:tcBorders>
            <w:shd w:val="clear" w:color="auto" w:fill="auto"/>
            <w:noWrap/>
            <w:vAlign w:val="center"/>
            <w:hideMark/>
          </w:tcPr>
          <w:p w:rsidR="00AD26D7" w:rsidRPr="0001732A" w:rsidRDefault="00AD26D7" w:rsidP="00A70C15">
            <w:pPr>
              <w:jc w:val="right"/>
              <w:rPr>
                <w:bCs/>
                <w:szCs w:val="24"/>
              </w:rPr>
            </w:pPr>
            <w:r w:rsidRPr="0001732A">
              <w:rPr>
                <w:bCs/>
                <w:szCs w:val="24"/>
              </w:rPr>
              <w:t>11 640</w:t>
            </w:r>
          </w:p>
        </w:tc>
        <w:tc>
          <w:tcPr>
            <w:tcW w:w="778" w:type="dxa"/>
            <w:tcBorders>
              <w:top w:val="nil"/>
              <w:left w:val="nil"/>
              <w:bottom w:val="single" w:sz="8" w:space="0" w:color="auto"/>
              <w:right w:val="single" w:sz="8" w:space="0" w:color="auto"/>
            </w:tcBorders>
            <w:shd w:val="clear" w:color="auto" w:fill="auto"/>
            <w:noWrap/>
            <w:vAlign w:val="center"/>
            <w:hideMark/>
          </w:tcPr>
          <w:p w:rsidR="00AD26D7" w:rsidRPr="0001732A" w:rsidRDefault="00AD26D7" w:rsidP="00A70C15">
            <w:pPr>
              <w:jc w:val="center"/>
              <w:rPr>
                <w:bCs/>
                <w:szCs w:val="24"/>
              </w:rPr>
            </w:pPr>
            <w:r w:rsidRPr="0001732A">
              <w:rPr>
                <w:bCs/>
                <w:szCs w:val="24"/>
              </w:rPr>
              <w:t>159%</w:t>
            </w:r>
          </w:p>
        </w:tc>
      </w:tr>
    </w:tbl>
    <w:p w:rsidR="00AD26D7" w:rsidRPr="00255FF8" w:rsidRDefault="00AD26D7" w:rsidP="00AD26D7">
      <w:pPr>
        <w:pStyle w:val="StlusCmsor311pt"/>
      </w:pPr>
      <w:bookmarkStart w:id="127" w:name="_Toc320784670"/>
      <w:bookmarkStart w:id="128" w:name="_Toc270778892"/>
      <w:bookmarkStart w:id="129" w:name="_Toc278312344"/>
      <w:bookmarkStart w:id="130" w:name="_Toc289616996"/>
      <w:r w:rsidRPr="00255FF8">
        <w:t>Műszaki szolgáltatások</w:t>
      </w:r>
      <w:bookmarkEnd w:id="127"/>
      <w:r w:rsidRPr="00255FF8">
        <w:t xml:space="preserve"> </w:t>
      </w:r>
      <w:bookmarkEnd w:id="128"/>
      <w:bookmarkEnd w:id="129"/>
      <w:bookmarkEnd w:id="130"/>
    </w:p>
    <w:p w:rsidR="00AD26D7" w:rsidRPr="0001732A" w:rsidRDefault="00AD26D7" w:rsidP="00AD26D7">
      <w:pPr>
        <w:pStyle w:val="StlusCmsor4Egalizls14pt"/>
      </w:pPr>
      <w:r w:rsidRPr="0001732A">
        <w:t>Szakmai teljesítés</w:t>
      </w:r>
    </w:p>
    <w:p w:rsidR="00AD26D7" w:rsidRDefault="00AD26D7" w:rsidP="00AD26D7">
      <w:pPr>
        <w:pStyle w:val="Szvegtrzs"/>
        <w:ind w:left="993"/>
      </w:pPr>
      <w:r w:rsidRPr="00255FF8">
        <w:t>E tevékenység 2010-ben még a fővárosi megbízás esetében is üzleti tevékenységek r</w:t>
      </w:r>
      <w:r w:rsidRPr="00255FF8">
        <w:t>é</w:t>
      </w:r>
      <w:r w:rsidRPr="00255FF8">
        <w:t>szét képezte. A Fővárosi Önkormányzat erre is irányuló, unió konform Közszolgált</w:t>
      </w:r>
      <w:r w:rsidRPr="00255FF8">
        <w:t>a</w:t>
      </w:r>
      <w:r w:rsidRPr="00255FF8">
        <w:t>tási Keretszerződése már 2011-től hatályos. A</w:t>
      </w:r>
      <w:r w:rsidRPr="009B7568">
        <w:t xml:space="preserve"> 2009. évben kezdődő válsághelyzet k</w:t>
      </w:r>
      <w:r w:rsidRPr="009B7568">
        <w:t>ü</w:t>
      </w:r>
      <w:r w:rsidRPr="009B7568">
        <w:t>lönösen az önkormányzati és intézményi megrendelőket fogta vissza. Ez a piacon t</w:t>
      </w:r>
      <w:r w:rsidRPr="009B7568">
        <w:t>o</w:t>
      </w:r>
      <w:r w:rsidRPr="009B7568">
        <w:t>vább élesítette a versenyhelyzetet a kevéssé legális munkaerővel dolgozó ajánlatt</w:t>
      </w:r>
      <w:r w:rsidRPr="009B7568">
        <w:t>e</w:t>
      </w:r>
      <w:r w:rsidRPr="009B7568">
        <w:t>vőkkel szemben. Ezért inkább a kiadásokon tudtunk megtakarítani, mint erősített ma</w:t>
      </w:r>
      <w:r w:rsidRPr="009B7568">
        <w:t>r</w:t>
      </w:r>
      <w:r w:rsidRPr="009B7568">
        <w:t xml:space="preserve">keting munkával új megrendelőket felhajtani. </w:t>
      </w:r>
      <w:r>
        <w:t xml:space="preserve">Először </w:t>
      </w:r>
      <w:r w:rsidRPr="009B7568">
        <w:t>2010-ben a saját munkaerő k</w:t>
      </w:r>
      <w:r w:rsidRPr="009B7568">
        <w:t>a</w:t>
      </w:r>
      <w:r w:rsidRPr="009B7568">
        <w:t>pacitást 3 fővel (30%-kal) csökkentettük, továbbá nem pótoltuk az elbocsájtott műsz</w:t>
      </w:r>
      <w:r w:rsidRPr="009B7568">
        <w:t>a</w:t>
      </w:r>
      <w:r w:rsidRPr="009B7568">
        <w:t xml:space="preserve">ki vezetőt sem. A csökkentett létszám mellett, a művezető irányításával és a titkárság, illetve az ügyvezető koordinálásával folyik a szolgáltatás. </w:t>
      </w:r>
      <w:r>
        <w:t>Mind a technikai, mind a személyi infrastruktúra igen leépült. A műszaki vezető és három betanított munkás a</w:t>
      </w:r>
      <w:r>
        <w:t>k</w:t>
      </w:r>
      <w:r>
        <w:t>kor „szabad”, amikor a főváros nem igényli a közegészségügyi közszolgáltatásokat. A munkaidejüket személyenként, napi munkalapon vezetjük, s a költségeiket ennek ala</w:t>
      </w:r>
      <w:r>
        <w:t>p</w:t>
      </w:r>
      <w:r>
        <w:t>ján osztjuk meg. A csoport az erősen szezonális megrendelések bevételeiből alig tudja kitermelni saját költségeit. Állandó és felfutó tevékenység az utca- és egyéb inform</w:t>
      </w:r>
      <w:r>
        <w:t>á</w:t>
      </w:r>
      <w:r>
        <w:t xml:space="preserve">ciós táblák szerkezetének gyártása, felszerelése és tisztítása, melyből 2,9 millió forint bevételt értünk el. </w:t>
      </w:r>
      <w:r w:rsidRPr="009B7568">
        <w:t>Új, tartós megrendelést az Amerikai Nagykövetségnél tudtunk elé</w:t>
      </w:r>
      <w:r w:rsidRPr="009B7568">
        <w:t>r</w:t>
      </w:r>
      <w:r w:rsidRPr="009B7568">
        <w:t>ni, ahol figyelembe vették a társadalmi felelősségvállalási aktivitásainkat is.</w:t>
      </w:r>
    </w:p>
    <w:p w:rsidR="00AD26D7" w:rsidRPr="00245037" w:rsidRDefault="00AD26D7" w:rsidP="00AD26D7">
      <w:pPr>
        <w:pStyle w:val="StlusCmsor4Egalizls14pt"/>
        <w:ind w:left="1287" w:hanging="862"/>
      </w:pPr>
      <w:r>
        <w:t>Pénzügyi</w:t>
      </w:r>
      <w:r w:rsidRPr="00245037">
        <w:t xml:space="preserve"> teljesítés</w:t>
      </w:r>
    </w:p>
    <w:p w:rsidR="00AD26D7" w:rsidRPr="00C57E02" w:rsidRDefault="00AD26D7" w:rsidP="00AD26D7">
      <w:pPr>
        <w:pStyle w:val="Szvegtrzs2"/>
        <w:ind w:left="993"/>
      </w:pPr>
      <w:r w:rsidRPr="00C57E02">
        <w:t xml:space="preserve">Az éves tervben 16.000 ezer Ft-os bevétel mellett 1.052 ezer Ft </w:t>
      </w:r>
      <w:r>
        <w:t>pozitív eredményt</w:t>
      </w:r>
      <w:r w:rsidRPr="00C57E02">
        <w:t xml:space="preserve"> r</w:t>
      </w:r>
      <w:r w:rsidRPr="00C57E02">
        <w:t>e</w:t>
      </w:r>
      <w:r w:rsidRPr="00C57E02">
        <w:t xml:space="preserve">méltünk, azzal, hogy a szolgáltatás 4 millió forint központi általános költséget is képes lesz viselni. </w:t>
      </w:r>
      <w:r>
        <w:t>Az árbevétel az előző évinek mindössze 35%-</w:t>
      </w:r>
      <w:proofErr w:type="gramStart"/>
      <w:r>
        <w:t>a</w:t>
      </w:r>
      <w:proofErr w:type="gramEnd"/>
      <w:r>
        <w:t xml:space="preserve">, 6.750 ezer Ft mértékben. Bár a közvetlen </w:t>
      </w:r>
      <w:r w:rsidRPr="00C57E02">
        <w:t>(egyes munkaszámokhoz egyértelműen rendelhető</w:t>
      </w:r>
      <w:proofErr w:type="gramStart"/>
      <w:r w:rsidRPr="00C57E02">
        <w:t>)</w:t>
      </w:r>
      <w:r>
        <w:t>költségeket</w:t>
      </w:r>
      <w:proofErr w:type="gramEnd"/>
      <w:r>
        <w:t xml:space="preserve"> 20%-ra, s a közvetett költségeket is (a ráfordított munkaidő </w:t>
      </w:r>
      <w:r>
        <w:lastRenderedPageBreak/>
        <w:t>miatt) az előző évi 64%-ára tu</w:t>
      </w:r>
      <w:r>
        <w:t>d</w:t>
      </w:r>
      <w:r>
        <w:t>tuk csökkenteni, a tevékenység nem viseli el a rá vetített 2.825 ezer Ft általános köl</w:t>
      </w:r>
      <w:r>
        <w:t>t</w:t>
      </w:r>
      <w:r>
        <w:t>ség részt. Így e tevékenység egyenlege 4,120</w:t>
      </w:r>
      <w:r w:rsidRPr="002F5171">
        <w:t xml:space="preserve"> e</w:t>
      </w:r>
      <w:r>
        <w:t>zer</w:t>
      </w:r>
      <w:r w:rsidRPr="002F5171">
        <w:t xml:space="preserve"> Ft veszteséget mutatott.</w:t>
      </w:r>
    </w:p>
    <w:p w:rsidR="00AD26D7" w:rsidRPr="00255FF8" w:rsidRDefault="00AD26D7" w:rsidP="00AD26D7">
      <w:pPr>
        <w:pStyle w:val="Szvegtrzs"/>
        <w:ind w:left="993"/>
      </w:pPr>
    </w:p>
    <w:p w:rsidR="00AD26D7" w:rsidRDefault="00AD26D7" w:rsidP="00AD26D7">
      <w:r>
        <w:br w:type="page"/>
      </w:r>
    </w:p>
    <w:p w:rsidR="00AD26D7" w:rsidRPr="0000468E" w:rsidRDefault="00AD26D7" w:rsidP="00AD26D7">
      <w:pPr>
        <w:pStyle w:val="Szvegtrzs"/>
        <w:numPr>
          <w:ilvl w:val="0"/>
          <w:numId w:val="5"/>
        </w:numPr>
        <w:ind w:left="709" w:hanging="323"/>
      </w:pPr>
      <w:r w:rsidRPr="0000468E">
        <w:lastRenderedPageBreak/>
        <w:t xml:space="preserve">számú ábra: A </w:t>
      </w:r>
      <w:r>
        <w:t>műszaki szolgáltatások</w:t>
      </w:r>
      <w:r w:rsidRPr="0000468E">
        <w:t xml:space="preserve"> egyenlege</w:t>
      </w:r>
    </w:p>
    <w:tbl>
      <w:tblPr>
        <w:tblW w:w="8858" w:type="dxa"/>
        <w:tblInd w:w="637" w:type="dxa"/>
        <w:tblCellMar>
          <w:left w:w="70" w:type="dxa"/>
          <w:right w:w="70" w:type="dxa"/>
        </w:tblCellMar>
        <w:tblLook w:val="04A0"/>
      </w:tblPr>
      <w:tblGrid>
        <w:gridCol w:w="709"/>
        <w:gridCol w:w="3260"/>
        <w:gridCol w:w="993"/>
        <w:gridCol w:w="850"/>
        <w:gridCol w:w="1134"/>
        <w:gridCol w:w="992"/>
        <w:gridCol w:w="920"/>
      </w:tblGrid>
      <w:tr w:rsidR="00AD26D7" w:rsidRPr="00350FF9" w:rsidTr="00A70C15">
        <w:trPr>
          <w:trHeight w:val="330"/>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rsidR="00AD26D7" w:rsidRPr="00350FF9" w:rsidRDefault="00AD26D7" w:rsidP="00A70C15">
            <w:pPr>
              <w:jc w:val="center"/>
              <w:rPr>
                <w:b/>
                <w:bCs/>
                <w:szCs w:val="24"/>
              </w:rPr>
            </w:pPr>
            <w:r w:rsidRPr="00350FF9">
              <w:rPr>
                <w:b/>
                <w:bCs/>
                <w:szCs w:val="24"/>
              </w:rPr>
              <w:t>VIII</w:t>
            </w:r>
          </w:p>
        </w:tc>
        <w:tc>
          <w:tcPr>
            <w:tcW w:w="3260" w:type="dxa"/>
            <w:tcBorders>
              <w:top w:val="single" w:sz="8" w:space="0" w:color="auto"/>
              <w:left w:val="nil"/>
              <w:bottom w:val="single" w:sz="4" w:space="0" w:color="auto"/>
              <w:right w:val="single" w:sz="8" w:space="0" w:color="auto"/>
            </w:tcBorders>
            <w:shd w:val="clear" w:color="000000" w:fill="FCD5B4"/>
            <w:noWrap/>
            <w:vAlign w:val="bottom"/>
            <w:hideMark/>
          </w:tcPr>
          <w:p w:rsidR="00AD26D7" w:rsidRPr="00350FF9" w:rsidRDefault="00AD26D7" w:rsidP="00A70C15">
            <w:pPr>
              <w:rPr>
                <w:b/>
                <w:bCs/>
                <w:szCs w:val="24"/>
              </w:rPr>
            </w:pPr>
            <w:r w:rsidRPr="00350FF9">
              <w:rPr>
                <w:b/>
                <w:bCs/>
                <w:szCs w:val="24"/>
              </w:rPr>
              <w:t xml:space="preserve">Egyéb </w:t>
            </w:r>
            <w:proofErr w:type="spellStart"/>
            <w:r w:rsidRPr="00350FF9">
              <w:rPr>
                <w:b/>
                <w:bCs/>
                <w:szCs w:val="24"/>
              </w:rPr>
              <w:t>környezethigiénés</w:t>
            </w:r>
            <w:proofErr w:type="spellEnd"/>
            <w:r w:rsidRPr="00350FF9">
              <w:rPr>
                <w:b/>
                <w:bCs/>
                <w:szCs w:val="24"/>
              </w:rPr>
              <w:t xml:space="preserve"> </w:t>
            </w:r>
            <w:proofErr w:type="spellStart"/>
            <w:r w:rsidRPr="00350FF9">
              <w:rPr>
                <w:b/>
                <w:bCs/>
                <w:szCs w:val="24"/>
              </w:rPr>
              <w:t>szolg</w:t>
            </w:r>
            <w:proofErr w:type="spellEnd"/>
            <w:r w:rsidRPr="00350FF9">
              <w:rPr>
                <w:b/>
                <w:bCs/>
                <w:szCs w:val="24"/>
              </w:rPr>
              <w:t>.</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AD26D7" w:rsidRPr="00350FF9" w:rsidRDefault="00AD26D7" w:rsidP="00A70C15">
            <w:pPr>
              <w:jc w:val="center"/>
              <w:rPr>
                <w:color w:val="000000"/>
                <w:szCs w:val="24"/>
              </w:rPr>
            </w:pPr>
            <w:r w:rsidRPr="00350FF9">
              <w:rPr>
                <w:color w:val="000000"/>
                <w:szCs w:val="24"/>
              </w:rPr>
              <w:t>2010. tény</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D26D7" w:rsidRPr="00350FF9" w:rsidRDefault="00AD26D7" w:rsidP="00A70C15">
            <w:pPr>
              <w:jc w:val="center"/>
              <w:rPr>
                <w:color w:val="000000"/>
                <w:szCs w:val="24"/>
              </w:rPr>
            </w:pPr>
            <w:r w:rsidRPr="00350FF9">
              <w:rPr>
                <w:color w:val="000000"/>
                <w:szCs w:val="24"/>
              </w:rPr>
              <w:t>2011. terv</w:t>
            </w:r>
          </w:p>
        </w:tc>
        <w:tc>
          <w:tcPr>
            <w:tcW w:w="1134" w:type="dxa"/>
            <w:tcBorders>
              <w:top w:val="single" w:sz="8" w:space="0" w:color="auto"/>
              <w:left w:val="nil"/>
              <w:bottom w:val="single" w:sz="8" w:space="0" w:color="auto"/>
              <w:right w:val="single" w:sz="8" w:space="0" w:color="auto"/>
            </w:tcBorders>
            <w:shd w:val="clear" w:color="000000" w:fill="FFFF00"/>
            <w:vAlign w:val="center"/>
            <w:hideMark/>
          </w:tcPr>
          <w:p w:rsidR="00AD26D7" w:rsidRPr="00350FF9" w:rsidRDefault="00AD26D7" w:rsidP="00A70C15">
            <w:pPr>
              <w:jc w:val="center"/>
              <w:rPr>
                <w:b/>
                <w:bCs/>
                <w:szCs w:val="24"/>
              </w:rPr>
            </w:pPr>
            <w:r w:rsidRPr="00350FF9">
              <w:rPr>
                <w:b/>
                <w:bCs/>
                <w:szCs w:val="24"/>
              </w:rPr>
              <w:t>2011. tény</w:t>
            </w:r>
          </w:p>
        </w:tc>
        <w:tc>
          <w:tcPr>
            <w:tcW w:w="1912" w:type="dxa"/>
            <w:gridSpan w:val="2"/>
            <w:tcBorders>
              <w:top w:val="single" w:sz="8" w:space="0" w:color="auto"/>
              <w:left w:val="nil"/>
              <w:bottom w:val="single" w:sz="8" w:space="0" w:color="auto"/>
              <w:right w:val="single" w:sz="8" w:space="0" w:color="000000"/>
            </w:tcBorders>
            <w:shd w:val="clear" w:color="auto" w:fill="auto"/>
            <w:vAlign w:val="center"/>
            <w:hideMark/>
          </w:tcPr>
          <w:p w:rsidR="00AD26D7" w:rsidRPr="00350FF9" w:rsidRDefault="00AD26D7" w:rsidP="00A70C15">
            <w:pPr>
              <w:jc w:val="center"/>
              <w:rPr>
                <w:color w:val="000000"/>
                <w:szCs w:val="24"/>
              </w:rPr>
            </w:pPr>
            <w:r w:rsidRPr="00350FF9">
              <w:rPr>
                <w:color w:val="000000"/>
                <w:szCs w:val="24"/>
              </w:rPr>
              <w:t>2011 tény/ 2010 tény</w:t>
            </w:r>
          </w:p>
        </w:tc>
      </w:tr>
      <w:tr w:rsidR="00AD26D7" w:rsidRPr="00350FF9" w:rsidTr="00A70C15">
        <w:trPr>
          <w:trHeight w:val="300"/>
        </w:trPr>
        <w:tc>
          <w:tcPr>
            <w:tcW w:w="709" w:type="dxa"/>
            <w:vMerge/>
            <w:tcBorders>
              <w:top w:val="single" w:sz="8" w:space="0" w:color="auto"/>
              <w:left w:val="single" w:sz="8" w:space="0" w:color="auto"/>
              <w:bottom w:val="single" w:sz="8" w:space="0" w:color="000000"/>
              <w:right w:val="single" w:sz="4" w:space="0" w:color="auto"/>
            </w:tcBorders>
            <w:vAlign w:val="center"/>
            <w:hideMark/>
          </w:tcPr>
          <w:p w:rsidR="00AD26D7" w:rsidRPr="00350FF9" w:rsidRDefault="00AD26D7" w:rsidP="00A70C15">
            <w:pPr>
              <w:rPr>
                <w:b/>
                <w:bCs/>
                <w:szCs w:val="24"/>
              </w:rPr>
            </w:pPr>
          </w:p>
        </w:tc>
        <w:tc>
          <w:tcPr>
            <w:tcW w:w="3260" w:type="dxa"/>
            <w:tcBorders>
              <w:top w:val="nil"/>
              <w:left w:val="nil"/>
              <w:bottom w:val="single" w:sz="8" w:space="0" w:color="auto"/>
              <w:right w:val="single" w:sz="8" w:space="0" w:color="auto"/>
            </w:tcBorders>
            <w:shd w:val="clear" w:color="000000" w:fill="FCD5B4"/>
            <w:noWrap/>
            <w:vAlign w:val="bottom"/>
            <w:hideMark/>
          </w:tcPr>
          <w:p w:rsidR="00AD26D7" w:rsidRPr="00350FF9" w:rsidRDefault="00AD26D7" w:rsidP="00A70C15">
            <w:pPr>
              <w:jc w:val="center"/>
              <w:rPr>
                <w:b/>
                <w:bCs/>
                <w:color w:val="000000"/>
                <w:szCs w:val="24"/>
              </w:rPr>
            </w:pPr>
            <w:r w:rsidRPr="00350FF9">
              <w:rPr>
                <w:b/>
                <w:bCs/>
                <w:color w:val="000000"/>
                <w:szCs w:val="24"/>
              </w:rPr>
              <w:t>Egyenleg</w:t>
            </w:r>
          </w:p>
        </w:tc>
        <w:tc>
          <w:tcPr>
            <w:tcW w:w="993" w:type="dxa"/>
            <w:tcBorders>
              <w:top w:val="nil"/>
              <w:left w:val="nil"/>
              <w:bottom w:val="single" w:sz="4" w:space="0" w:color="auto"/>
              <w:right w:val="single" w:sz="4" w:space="0" w:color="auto"/>
            </w:tcBorders>
            <w:shd w:val="clear" w:color="000000" w:fill="FCD5B4"/>
            <w:noWrap/>
            <w:vAlign w:val="bottom"/>
            <w:hideMark/>
          </w:tcPr>
          <w:p w:rsidR="00AD26D7" w:rsidRPr="00350FF9" w:rsidRDefault="00AD26D7" w:rsidP="00A70C15">
            <w:pPr>
              <w:jc w:val="right"/>
              <w:rPr>
                <w:color w:val="000000"/>
                <w:szCs w:val="24"/>
              </w:rPr>
            </w:pPr>
            <w:r w:rsidRPr="00350FF9">
              <w:rPr>
                <w:color w:val="000000"/>
                <w:szCs w:val="24"/>
              </w:rPr>
              <w:t>-3 097</w:t>
            </w:r>
          </w:p>
        </w:tc>
        <w:tc>
          <w:tcPr>
            <w:tcW w:w="850" w:type="dxa"/>
            <w:tcBorders>
              <w:top w:val="nil"/>
              <w:left w:val="nil"/>
              <w:bottom w:val="single" w:sz="4" w:space="0" w:color="auto"/>
              <w:right w:val="single" w:sz="4" w:space="0" w:color="auto"/>
            </w:tcBorders>
            <w:shd w:val="clear" w:color="000000" w:fill="FCD5B4"/>
            <w:noWrap/>
            <w:vAlign w:val="bottom"/>
            <w:hideMark/>
          </w:tcPr>
          <w:p w:rsidR="00AD26D7" w:rsidRPr="00350FF9" w:rsidRDefault="00AD26D7" w:rsidP="00A70C15">
            <w:pPr>
              <w:jc w:val="right"/>
              <w:rPr>
                <w:color w:val="000000"/>
                <w:szCs w:val="24"/>
              </w:rPr>
            </w:pPr>
            <w:r w:rsidRPr="00350FF9">
              <w:rPr>
                <w:color w:val="000000"/>
                <w:szCs w:val="24"/>
              </w:rPr>
              <w:t>1 052</w:t>
            </w:r>
          </w:p>
        </w:tc>
        <w:tc>
          <w:tcPr>
            <w:tcW w:w="1134" w:type="dxa"/>
            <w:tcBorders>
              <w:top w:val="nil"/>
              <w:left w:val="nil"/>
              <w:bottom w:val="single" w:sz="4" w:space="0" w:color="auto"/>
              <w:right w:val="single" w:sz="4" w:space="0" w:color="auto"/>
            </w:tcBorders>
            <w:shd w:val="clear" w:color="000000" w:fill="FCD5B4"/>
            <w:noWrap/>
            <w:vAlign w:val="bottom"/>
            <w:hideMark/>
          </w:tcPr>
          <w:p w:rsidR="00AD26D7" w:rsidRPr="00350FF9" w:rsidRDefault="00AD26D7" w:rsidP="00A70C15">
            <w:pPr>
              <w:jc w:val="right"/>
              <w:rPr>
                <w:color w:val="000000"/>
                <w:szCs w:val="24"/>
              </w:rPr>
            </w:pPr>
            <w:r w:rsidRPr="00350FF9">
              <w:rPr>
                <w:color w:val="000000"/>
                <w:szCs w:val="24"/>
              </w:rPr>
              <w:t>-4 120</w:t>
            </w:r>
          </w:p>
        </w:tc>
        <w:tc>
          <w:tcPr>
            <w:tcW w:w="992" w:type="dxa"/>
            <w:tcBorders>
              <w:top w:val="single" w:sz="4" w:space="0" w:color="auto"/>
              <w:left w:val="nil"/>
              <w:bottom w:val="single" w:sz="4" w:space="0" w:color="auto"/>
              <w:right w:val="single" w:sz="4" w:space="0" w:color="auto"/>
            </w:tcBorders>
            <w:shd w:val="clear" w:color="000000" w:fill="FCD5B4"/>
            <w:noWrap/>
            <w:vAlign w:val="center"/>
            <w:hideMark/>
          </w:tcPr>
          <w:p w:rsidR="00AD26D7" w:rsidRPr="00350FF9" w:rsidRDefault="00AD26D7" w:rsidP="00A70C15">
            <w:pPr>
              <w:jc w:val="right"/>
              <w:rPr>
                <w:b/>
                <w:bCs/>
                <w:szCs w:val="24"/>
              </w:rPr>
            </w:pPr>
            <w:r w:rsidRPr="00350FF9">
              <w:rPr>
                <w:b/>
                <w:bCs/>
                <w:szCs w:val="24"/>
              </w:rPr>
              <w:t>-1 023</w:t>
            </w:r>
          </w:p>
        </w:tc>
        <w:tc>
          <w:tcPr>
            <w:tcW w:w="920" w:type="dxa"/>
            <w:tcBorders>
              <w:top w:val="single" w:sz="4" w:space="0" w:color="auto"/>
              <w:left w:val="nil"/>
              <w:bottom w:val="single" w:sz="4" w:space="0" w:color="auto"/>
              <w:right w:val="single" w:sz="8" w:space="0" w:color="auto"/>
            </w:tcBorders>
            <w:shd w:val="clear" w:color="000000" w:fill="FCD5B4"/>
            <w:noWrap/>
            <w:vAlign w:val="center"/>
            <w:hideMark/>
          </w:tcPr>
          <w:p w:rsidR="00AD26D7" w:rsidRPr="00350FF9" w:rsidRDefault="00AD26D7" w:rsidP="00A70C15">
            <w:pPr>
              <w:jc w:val="center"/>
              <w:rPr>
                <w:b/>
                <w:bCs/>
                <w:szCs w:val="24"/>
              </w:rPr>
            </w:pPr>
            <w:r w:rsidRPr="00350FF9">
              <w:rPr>
                <w:b/>
                <w:bCs/>
                <w:szCs w:val="24"/>
              </w:rPr>
              <w:t>133%</w:t>
            </w:r>
          </w:p>
        </w:tc>
      </w:tr>
      <w:tr w:rsidR="00AD26D7" w:rsidRPr="00350FF9" w:rsidTr="00A70C15">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D26D7" w:rsidRPr="00350FF9" w:rsidRDefault="00AD26D7" w:rsidP="00A70C15">
            <w:pPr>
              <w:rPr>
                <w:szCs w:val="24"/>
              </w:rPr>
            </w:pPr>
            <w:r w:rsidRPr="00350FF9">
              <w:rPr>
                <w:szCs w:val="24"/>
              </w:rPr>
              <w:t>8.1</w:t>
            </w:r>
          </w:p>
        </w:tc>
        <w:tc>
          <w:tcPr>
            <w:tcW w:w="3260" w:type="dxa"/>
            <w:tcBorders>
              <w:top w:val="nil"/>
              <w:left w:val="nil"/>
              <w:bottom w:val="single" w:sz="4" w:space="0" w:color="auto"/>
              <w:right w:val="single" w:sz="4" w:space="0" w:color="auto"/>
            </w:tcBorders>
            <w:shd w:val="clear" w:color="auto" w:fill="auto"/>
            <w:noWrap/>
            <w:vAlign w:val="bottom"/>
            <w:hideMark/>
          </w:tcPr>
          <w:p w:rsidR="00AD26D7" w:rsidRPr="00350FF9" w:rsidRDefault="00AD26D7" w:rsidP="00A70C15">
            <w:pPr>
              <w:rPr>
                <w:b/>
                <w:bCs/>
                <w:szCs w:val="24"/>
              </w:rPr>
            </w:pPr>
            <w:r w:rsidRPr="00350FF9">
              <w:rPr>
                <w:b/>
                <w:bCs/>
                <w:szCs w:val="24"/>
              </w:rPr>
              <w:t>Költségek összesen:</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AD26D7" w:rsidRPr="00350FF9" w:rsidRDefault="00AD26D7" w:rsidP="00A70C15">
            <w:pPr>
              <w:jc w:val="right"/>
              <w:rPr>
                <w:b/>
                <w:bCs/>
                <w:szCs w:val="24"/>
              </w:rPr>
            </w:pPr>
            <w:r w:rsidRPr="00350FF9">
              <w:rPr>
                <w:b/>
                <w:bCs/>
                <w:szCs w:val="24"/>
              </w:rPr>
              <w:t>22 572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AD26D7" w:rsidRPr="00350FF9" w:rsidRDefault="00AD26D7" w:rsidP="00A70C15">
            <w:pPr>
              <w:jc w:val="right"/>
              <w:rPr>
                <w:b/>
                <w:bCs/>
                <w:szCs w:val="24"/>
              </w:rPr>
            </w:pPr>
            <w:r w:rsidRPr="00350FF9">
              <w:rPr>
                <w:b/>
                <w:bCs/>
                <w:szCs w:val="24"/>
              </w:rPr>
              <w:t>14 948</w:t>
            </w:r>
          </w:p>
        </w:tc>
        <w:tc>
          <w:tcPr>
            <w:tcW w:w="1134" w:type="dxa"/>
            <w:tcBorders>
              <w:top w:val="single" w:sz="8" w:space="0" w:color="auto"/>
              <w:left w:val="nil"/>
              <w:bottom w:val="single" w:sz="4" w:space="0" w:color="auto"/>
              <w:right w:val="single" w:sz="4" w:space="0" w:color="auto"/>
            </w:tcBorders>
            <w:shd w:val="clear" w:color="000000" w:fill="FFFF00"/>
            <w:noWrap/>
            <w:vAlign w:val="bottom"/>
            <w:hideMark/>
          </w:tcPr>
          <w:p w:rsidR="00AD26D7" w:rsidRPr="00350FF9" w:rsidRDefault="00AD26D7" w:rsidP="00A70C15">
            <w:pPr>
              <w:jc w:val="right"/>
              <w:rPr>
                <w:b/>
                <w:bCs/>
                <w:szCs w:val="24"/>
              </w:rPr>
            </w:pPr>
            <w:r w:rsidRPr="00350FF9">
              <w:rPr>
                <w:b/>
                <w:bCs/>
                <w:szCs w:val="24"/>
              </w:rPr>
              <w:t>10 870</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AD26D7" w:rsidRPr="00350FF9" w:rsidRDefault="00AD26D7" w:rsidP="00A70C15">
            <w:pPr>
              <w:jc w:val="right"/>
              <w:rPr>
                <w:b/>
                <w:bCs/>
                <w:szCs w:val="24"/>
              </w:rPr>
            </w:pPr>
            <w:r w:rsidRPr="00350FF9">
              <w:rPr>
                <w:b/>
                <w:bCs/>
                <w:szCs w:val="24"/>
              </w:rPr>
              <w:t>-11 702</w:t>
            </w:r>
          </w:p>
        </w:tc>
        <w:tc>
          <w:tcPr>
            <w:tcW w:w="920" w:type="dxa"/>
            <w:tcBorders>
              <w:top w:val="single" w:sz="8" w:space="0" w:color="auto"/>
              <w:left w:val="nil"/>
              <w:bottom w:val="single" w:sz="4" w:space="0" w:color="auto"/>
              <w:right w:val="single" w:sz="8" w:space="0" w:color="auto"/>
            </w:tcBorders>
            <w:shd w:val="clear" w:color="auto" w:fill="auto"/>
            <w:noWrap/>
            <w:vAlign w:val="center"/>
            <w:hideMark/>
          </w:tcPr>
          <w:p w:rsidR="00AD26D7" w:rsidRPr="00350FF9" w:rsidRDefault="00AD26D7" w:rsidP="00A70C15">
            <w:pPr>
              <w:jc w:val="center"/>
              <w:rPr>
                <w:b/>
                <w:bCs/>
                <w:szCs w:val="24"/>
              </w:rPr>
            </w:pPr>
            <w:r w:rsidRPr="00350FF9">
              <w:rPr>
                <w:b/>
                <w:bCs/>
                <w:szCs w:val="24"/>
              </w:rPr>
              <w:t>48%</w:t>
            </w:r>
          </w:p>
        </w:tc>
      </w:tr>
      <w:tr w:rsidR="00AD26D7" w:rsidRPr="00350FF9" w:rsidTr="00A70C15">
        <w:trPr>
          <w:trHeight w:val="28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D26D7" w:rsidRPr="00350FF9" w:rsidRDefault="00AD26D7" w:rsidP="00A70C15">
            <w:pPr>
              <w:rPr>
                <w:szCs w:val="24"/>
              </w:rPr>
            </w:pPr>
            <w:r w:rsidRPr="00350FF9">
              <w:rPr>
                <w:szCs w:val="24"/>
              </w:rPr>
              <w:t>8.2</w:t>
            </w:r>
          </w:p>
        </w:tc>
        <w:tc>
          <w:tcPr>
            <w:tcW w:w="3260" w:type="dxa"/>
            <w:tcBorders>
              <w:top w:val="nil"/>
              <w:left w:val="nil"/>
              <w:bottom w:val="single" w:sz="4" w:space="0" w:color="auto"/>
              <w:right w:val="single" w:sz="4" w:space="0" w:color="auto"/>
            </w:tcBorders>
            <w:shd w:val="clear" w:color="auto" w:fill="auto"/>
            <w:vAlign w:val="bottom"/>
            <w:hideMark/>
          </w:tcPr>
          <w:p w:rsidR="00AD26D7" w:rsidRPr="00350FF9" w:rsidRDefault="00AD26D7" w:rsidP="00A70C15">
            <w:pPr>
              <w:rPr>
                <w:szCs w:val="24"/>
              </w:rPr>
            </w:pPr>
            <w:r w:rsidRPr="00350FF9">
              <w:rPr>
                <w:szCs w:val="24"/>
              </w:rPr>
              <w:t>Közvetlen költség</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350FF9" w:rsidRDefault="00AD26D7" w:rsidP="00A70C15">
            <w:pPr>
              <w:jc w:val="right"/>
              <w:rPr>
                <w:color w:val="000000"/>
                <w:szCs w:val="24"/>
              </w:rPr>
            </w:pPr>
            <w:r w:rsidRPr="00350FF9">
              <w:rPr>
                <w:color w:val="000000"/>
                <w:szCs w:val="24"/>
              </w:rPr>
              <w:t>9 877</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350FF9" w:rsidRDefault="00AD26D7" w:rsidP="00A70C15">
            <w:pPr>
              <w:jc w:val="right"/>
              <w:rPr>
                <w:color w:val="000000"/>
                <w:szCs w:val="24"/>
              </w:rPr>
            </w:pPr>
            <w:r w:rsidRPr="00350FF9">
              <w:rPr>
                <w:color w:val="000000"/>
                <w:szCs w:val="24"/>
              </w:rPr>
              <w:t>5 000</w:t>
            </w:r>
          </w:p>
        </w:tc>
        <w:tc>
          <w:tcPr>
            <w:tcW w:w="1134" w:type="dxa"/>
            <w:tcBorders>
              <w:top w:val="nil"/>
              <w:left w:val="nil"/>
              <w:bottom w:val="single" w:sz="4" w:space="0" w:color="auto"/>
              <w:right w:val="single" w:sz="4" w:space="0" w:color="auto"/>
            </w:tcBorders>
            <w:shd w:val="clear" w:color="000000" w:fill="FFFF00"/>
            <w:noWrap/>
            <w:vAlign w:val="center"/>
            <w:hideMark/>
          </w:tcPr>
          <w:p w:rsidR="00AD26D7" w:rsidRPr="00350FF9" w:rsidRDefault="00AD26D7" w:rsidP="00A70C15">
            <w:pPr>
              <w:jc w:val="right"/>
              <w:rPr>
                <w:color w:val="000000"/>
                <w:szCs w:val="24"/>
              </w:rPr>
            </w:pPr>
            <w:r w:rsidRPr="00350FF9">
              <w:rPr>
                <w:color w:val="000000"/>
                <w:szCs w:val="24"/>
              </w:rPr>
              <w:t>1 961</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350FF9" w:rsidRDefault="00AD26D7" w:rsidP="00A70C15">
            <w:pPr>
              <w:jc w:val="right"/>
              <w:rPr>
                <w:b/>
                <w:bCs/>
                <w:szCs w:val="24"/>
              </w:rPr>
            </w:pPr>
            <w:r w:rsidRPr="00350FF9">
              <w:rPr>
                <w:b/>
                <w:bCs/>
                <w:szCs w:val="24"/>
              </w:rPr>
              <w:t>-7 916</w:t>
            </w:r>
          </w:p>
        </w:tc>
        <w:tc>
          <w:tcPr>
            <w:tcW w:w="920" w:type="dxa"/>
            <w:tcBorders>
              <w:top w:val="nil"/>
              <w:left w:val="nil"/>
              <w:bottom w:val="single" w:sz="4" w:space="0" w:color="auto"/>
              <w:right w:val="single" w:sz="8" w:space="0" w:color="auto"/>
            </w:tcBorders>
            <w:shd w:val="clear" w:color="auto" w:fill="auto"/>
            <w:noWrap/>
            <w:vAlign w:val="center"/>
            <w:hideMark/>
          </w:tcPr>
          <w:p w:rsidR="00AD26D7" w:rsidRPr="00350FF9" w:rsidRDefault="00AD26D7" w:rsidP="00A70C15">
            <w:pPr>
              <w:jc w:val="center"/>
              <w:rPr>
                <w:b/>
                <w:bCs/>
                <w:szCs w:val="24"/>
              </w:rPr>
            </w:pPr>
            <w:r w:rsidRPr="00350FF9">
              <w:rPr>
                <w:b/>
                <w:bCs/>
                <w:szCs w:val="24"/>
              </w:rPr>
              <w:t>20%</w:t>
            </w:r>
          </w:p>
        </w:tc>
      </w:tr>
      <w:tr w:rsidR="00AD26D7" w:rsidRPr="00350FF9" w:rsidTr="00A70C15">
        <w:trPr>
          <w:trHeight w:val="28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D26D7" w:rsidRPr="00350FF9" w:rsidRDefault="00AD26D7" w:rsidP="00A70C15">
            <w:pPr>
              <w:rPr>
                <w:szCs w:val="24"/>
              </w:rPr>
            </w:pPr>
            <w:r w:rsidRPr="00350FF9">
              <w:rPr>
                <w:szCs w:val="24"/>
              </w:rPr>
              <w:t>8.3</w:t>
            </w:r>
          </w:p>
        </w:tc>
        <w:tc>
          <w:tcPr>
            <w:tcW w:w="3260" w:type="dxa"/>
            <w:tcBorders>
              <w:top w:val="nil"/>
              <w:left w:val="nil"/>
              <w:bottom w:val="single" w:sz="4" w:space="0" w:color="auto"/>
              <w:right w:val="single" w:sz="4" w:space="0" w:color="auto"/>
            </w:tcBorders>
            <w:shd w:val="clear" w:color="auto" w:fill="auto"/>
            <w:vAlign w:val="bottom"/>
            <w:hideMark/>
          </w:tcPr>
          <w:p w:rsidR="00AD26D7" w:rsidRPr="00350FF9" w:rsidRDefault="00AD26D7" w:rsidP="00A70C15">
            <w:pPr>
              <w:rPr>
                <w:szCs w:val="24"/>
              </w:rPr>
            </w:pPr>
            <w:r w:rsidRPr="00350FF9">
              <w:rPr>
                <w:szCs w:val="24"/>
              </w:rPr>
              <w:t>Közvetett költség</w:t>
            </w:r>
          </w:p>
        </w:tc>
        <w:tc>
          <w:tcPr>
            <w:tcW w:w="993" w:type="dxa"/>
            <w:tcBorders>
              <w:top w:val="nil"/>
              <w:left w:val="nil"/>
              <w:bottom w:val="single" w:sz="4" w:space="0" w:color="auto"/>
              <w:right w:val="single" w:sz="4" w:space="0" w:color="auto"/>
            </w:tcBorders>
            <w:shd w:val="clear" w:color="auto" w:fill="auto"/>
            <w:noWrap/>
            <w:vAlign w:val="center"/>
            <w:hideMark/>
          </w:tcPr>
          <w:p w:rsidR="00AD26D7" w:rsidRPr="00350FF9" w:rsidRDefault="00AD26D7" w:rsidP="00A70C15">
            <w:pPr>
              <w:jc w:val="right"/>
              <w:rPr>
                <w:szCs w:val="24"/>
              </w:rPr>
            </w:pPr>
            <w:r w:rsidRPr="00350FF9">
              <w:rPr>
                <w:szCs w:val="24"/>
              </w:rPr>
              <w:t>9 449</w:t>
            </w:r>
          </w:p>
        </w:tc>
        <w:tc>
          <w:tcPr>
            <w:tcW w:w="850" w:type="dxa"/>
            <w:tcBorders>
              <w:top w:val="nil"/>
              <w:left w:val="nil"/>
              <w:bottom w:val="single" w:sz="4" w:space="0" w:color="auto"/>
              <w:right w:val="single" w:sz="4" w:space="0" w:color="auto"/>
            </w:tcBorders>
            <w:shd w:val="clear" w:color="auto" w:fill="auto"/>
            <w:noWrap/>
            <w:vAlign w:val="center"/>
            <w:hideMark/>
          </w:tcPr>
          <w:p w:rsidR="00AD26D7" w:rsidRPr="00350FF9" w:rsidRDefault="00AD26D7" w:rsidP="00A70C15">
            <w:pPr>
              <w:jc w:val="right"/>
              <w:rPr>
                <w:szCs w:val="24"/>
              </w:rPr>
            </w:pPr>
            <w:r w:rsidRPr="00350FF9">
              <w:rPr>
                <w:szCs w:val="24"/>
              </w:rPr>
              <w:t>5 950</w:t>
            </w:r>
          </w:p>
        </w:tc>
        <w:tc>
          <w:tcPr>
            <w:tcW w:w="1134" w:type="dxa"/>
            <w:tcBorders>
              <w:top w:val="nil"/>
              <w:left w:val="nil"/>
              <w:bottom w:val="single" w:sz="4" w:space="0" w:color="auto"/>
              <w:right w:val="single" w:sz="4" w:space="0" w:color="auto"/>
            </w:tcBorders>
            <w:shd w:val="clear" w:color="000000" w:fill="FFFF00"/>
            <w:noWrap/>
            <w:vAlign w:val="center"/>
            <w:hideMark/>
          </w:tcPr>
          <w:p w:rsidR="00AD26D7" w:rsidRPr="00350FF9" w:rsidRDefault="00AD26D7" w:rsidP="00A70C15">
            <w:pPr>
              <w:jc w:val="right"/>
              <w:rPr>
                <w:szCs w:val="24"/>
              </w:rPr>
            </w:pPr>
            <w:r w:rsidRPr="00350FF9">
              <w:rPr>
                <w:szCs w:val="24"/>
              </w:rPr>
              <w:t>6 084</w:t>
            </w:r>
          </w:p>
        </w:tc>
        <w:tc>
          <w:tcPr>
            <w:tcW w:w="992" w:type="dxa"/>
            <w:tcBorders>
              <w:top w:val="nil"/>
              <w:left w:val="nil"/>
              <w:bottom w:val="single" w:sz="4" w:space="0" w:color="auto"/>
              <w:right w:val="single" w:sz="4" w:space="0" w:color="auto"/>
            </w:tcBorders>
            <w:shd w:val="clear" w:color="auto" w:fill="auto"/>
            <w:noWrap/>
            <w:vAlign w:val="center"/>
            <w:hideMark/>
          </w:tcPr>
          <w:p w:rsidR="00AD26D7" w:rsidRPr="00350FF9" w:rsidRDefault="00AD26D7" w:rsidP="00A70C15">
            <w:pPr>
              <w:jc w:val="right"/>
              <w:rPr>
                <w:b/>
                <w:bCs/>
                <w:szCs w:val="24"/>
              </w:rPr>
            </w:pPr>
            <w:r w:rsidRPr="00350FF9">
              <w:rPr>
                <w:b/>
                <w:bCs/>
                <w:szCs w:val="24"/>
              </w:rPr>
              <w:t>-3 365</w:t>
            </w:r>
          </w:p>
        </w:tc>
        <w:tc>
          <w:tcPr>
            <w:tcW w:w="920" w:type="dxa"/>
            <w:tcBorders>
              <w:top w:val="nil"/>
              <w:left w:val="nil"/>
              <w:bottom w:val="single" w:sz="4" w:space="0" w:color="auto"/>
              <w:right w:val="single" w:sz="8" w:space="0" w:color="auto"/>
            </w:tcBorders>
            <w:shd w:val="clear" w:color="auto" w:fill="auto"/>
            <w:noWrap/>
            <w:vAlign w:val="center"/>
            <w:hideMark/>
          </w:tcPr>
          <w:p w:rsidR="00AD26D7" w:rsidRPr="00350FF9" w:rsidRDefault="00AD26D7" w:rsidP="00A70C15">
            <w:pPr>
              <w:jc w:val="center"/>
              <w:rPr>
                <w:b/>
                <w:bCs/>
                <w:szCs w:val="24"/>
              </w:rPr>
            </w:pPr>
            <w:r w:rsidRPr="00350FF9">
              <w:rPr>
                <w:b/>
                <w:bCs/>
                <w:szCs w:val="24"/>
              </w:rPr>
              <w:t>64%</w:t>
            </w:r>
          </w:p>
        </w:tc>
      </w:tr>
      <w:tr w:rsidR="00AD26D7" w:rsidRPr="00350FF9" w:rsidTr="00A70C15">
        <w:trPr>
          <w:trHeight w:val="300"/>
        </w:trPr>
        <w:tc>
          <w:tcPr>
            <w:tcW w:w="709" w:type="dxa"/>
            <w:tcBorders>
              <w:top w:val="nil"/>
              <w:left w:val="single" w:sz="8" w:space="0" w:color="auto"/>
              <w:bottom w:val="single" w:sz="8" w:space="0" w:color="auto"/>
              <w:right w:val="single" w:sz="4" w:space="0" w:color="auto"/>
            </w:tcBorders>
            <w:shd w:val="clear" w:color="000000" w:fill="EAF1DD"/>
            <w:noWrap/>
            <w:vAlign w:val="bottom"/>
            <w:hideMark/>
          </w:tcPr>
          <w:p w:rsidR="00AD26D7" w:rsidRPr="00350FF9" w:rsidRDefault="00AD26D7" w:rsidP="00A70C15">
            <w:pPr>
              <w:rPr>
                <w:color w:val="000000"/>
                <w:szCs w:val="24"/>
              </w:rPr>
            </w:pPr>
            <w:r w:rsidRPr="00350FF9">
              <w:rPr>
                <w:color w:val="000000"/>
                <w:szCs w:val="24"/>
              </w:rPr>
              <w:t>8.4</w:t>
            </w:r>
          </w:p>
        </w:tc>
        <w:tc>
          <w:tcPr>
            <w:tcW w:w="3260" w:type="dxa"/>
            <w:tcBorders>
              <w:top w:val="nil"/>
              <w:left w:val="nil"/>
              <w:bottom w:val="single" w:sz="8" w:space="0" w:color="auto"/>
              <w:right w:val="single" w:sz="4" w:space="0" w:color="auto"/>
            </w:tcBorders>
            <w:shd w:val="clear" w:color="000000" w:fill="EAF1DD"/>
            <w:vAlign w:val="bottom"/>
            <w:hideMark/>
          </w:tcPr>
          <w:p w:rsidR="00AD26D7" w:rsidRPr="00350FF9" w:rsidRDefault="00AD26D7" w:rsidP="00A70C15">
            <w:pPr>
              <w:rPr>
                <w:color w:val="000000"/>
                <w:szCs w:val="24"/>
              </w:rPr>
            </w:pPr>
            <w:r w:rsidRPr="00350FF9">
              <w:rPr>
                <w:color w:val="000000"/>
                <w:szCs w:val="24"/>
              </w:rPr>
              <w:t>Felosztott központi általános költség</w:t>
            </w:r>
          </w:p>
        </w:tc>
        <w:tc>
          <w:tcPr>
            <w:tcW w:w="993" w:type="dxa"/>
            <w:tcBorders>
              <w:top w:val="nil"/>
              <w:left w:val="nil"/>
              <w:bottom w:val="single" w:sz="8" w:space="0" w:color="auto"/>
              <w:right w:val="single" w:sz="4" w:space="0" w:color="auto"/>
            </w:tcBorders>
            <w:shd w:val="clear" w:color="000000" w:fill="EAF1DD"/>
            <w:noWrap/>
            <w:vAlign w:val="bottom"/>
            <w:hideMark/>
          </w:tcPr>
          <w:p w:rsidR="00AD26D7" w:rsidRPr="00350FF9" w:rsidRDefault="00AD26D7" w:rsidP="00A70C15">
            <w:pPr>
              <w:jc w:val="right"/>
              <w:rPr>
                <w:color w:val="000000"/>
                <w:szCs w:val="24"/>
              </w:rPr>
            </w:pPr>
            <w:r w:rsidRPr="00350FF9">
              <w:rPr>
                <w:color w:val="000000"/>
                <w:szCs w:val="24"/>
              </w:rPr>
              <w:t>3 246</w:t>
            </w:r>
          </w:p>
        </w:tc>
        <w:tc>
          <w:tcPr>
            <w:tcW w:w="850" w:type="dxa"/>
            <w:tcBorders>
              <w:top w:val="nil"/>
              <w:left w:val="nil"/>
              <w:bottom w:val="single" w:sz="8" w:space="0" w:color="auto"/>
              <w:right w:val="single" w:sz="4" w:space="0" w:color="auto"/>
            </w:tcBorders>
            <w:shd w:val="clear" w:color="000000" w:fill="EAF1DD"/>
            <w:noWrap/>
            <w:vAlign w:val="bottom"/>
            <w:hideMark/>
          </w:tcPr>
          <w:p w:rsidR="00AD26D7" w:rsidRPr="00350FF9" w:rsidRDefault="00AD26D7" w:rsidP="00A70C15">
            <w:pPr>
              <w:jc w:val="right"/>
              <w:rPr>
                <w:color w:val="000000"/>
                <w:szCs w:val="24"/>
              </w:rPr>
            </w:pPr>
            <w:r w:rsidRPr="00350FF9">
              <w:rPr>
                <w:color w:val="000000"/>
                <w:szCs w:val="24"/>
              </w:rPr>
              <w:t>3 998</w:t>
            </w:r>
          </w:p>
        </w:tc>
        <w:tc>
          <w:tcPr>
            <w:tcW w:w="1134" w:type="dxa"/>
            <w:tcBorders>
              <w:top w:val="nil"/>
              <w:left w:val="nil"/>
              <w:bottom w:val="single" w:sz="8" w:space="0" w:color="auto"/>
              <w:right w:val="single" w:sz="4" w:space="0" w:color="auto"/>
            </w:tcBorders>
            <w:shd w:val="clear" w:color="000000" w:fill="FFFF00"/>
            <w:noWrap/>
            <w:vAlign w:val="bottom"/>
            <w:hideMark/>
          </w:tcPr>
          <w:p w:rsidR="00AD26D7" w:rsidRPr="00350FF9" w:rsidRDefault="00AD26D7" w:rsidP="00A70C15">
            <w:pPr>
              <w:jc w:val="right"/>
              <w:rPr>
                <w:color w:val="000000"/>
                <w:szCs w:val="24"/>
              </w:rPr>
            </w:pPr>
            <w:r w:rsidRPr="00350FF9">
              <w:rPr>
                <w:color w:val="000000"/>
                <w:szCs w:val="24"/>
              </w:rPr>
              <w:t>2 825</w:t>
            </w:r>
          </w:p>
        </w:tc>
        <w:tc>
          <w:tcPr>
            <w:tcW w:w="992" w:type="dxa"/>
            <w:tcBorders>
              <w:top w:val="nil"/>
              <w:left w:val="nil"/>
              <w:bottom w:val="single" w:sz="8" w:space="0" w:color="auto"/>
              <w:right w:val="single" w:sz="4" w:space="0" w:color="auto"/>
            </w:tcBorders>
            <w:shd w:val="clear" w:color="auto" w:fill="auto"/>
            <w:noWrap/>
            <w:vAlign w:val="center"/>
            <w:hideMark/>
          </w:tcPr>
          <w:p w:rsidR="00AD26D7" w:rsidRPr="00350FF9" w:rsidRDefault="00AD26D7" w:rsidP="00A70C15">
            <w:pPr>
              <w:jc w:val="right"/>
              <w:rPr>
                <w:b/>
                <w:bCs/>
                <w:szCs w:val="24"/>
              </w:rPr>
            </w:pPr>
            <w:r w:rsidRPr="00350FF9">
              <w:rPr>
                <w:b/>
                <w:bCs/>
                <w:szCs w:val="24"/>
              </w:rPr>
              <w:t>-421</w:t>
            </w:r>
          </w:p>
        </w:tc>
        <w:tc>
          <w:tcPr>
            <w:tcW w:w="920" w:type="dxa"/>
            <w:tcBorders>
              <w:top w:val="nil"/>
              <w:left w:val="nil"/>
              <w:bottom w:val="single" w:sz="8" w:space="0" w:color="auto"/>
              <w:right w:val="single" w:sz="8" w:space="0" w:color="auto"/>
            </w:tcBorders>
            <w:shd w:val="clear" w:color="auto" w:fill="auto"/>
            <w:noWrap/>
            <w:vAlign w:val="center"/>
            <w:hideMark/>
          </w:tcPr>
          <w:p w:rsidR="00AD26D7" w:rsidRPr="00350FF9" w:rsidRDefault="00AD26D7" w:rsidP="00A70C15">
            <w:pPr>
              <w:jc w:val="center"/>
              <w:rPr>
                <w:b/>
                <w:bCs/>
                <w:szCs w:val="24"/>
              </w:rPr>
            </w:pPr>
            <w:r w:rsidRPr="00350FF9">
              <w:rPr>
                <w:b/>
                <w:bCs/>
                <w:szCs w:val="24"/>
              </w:rPr>
              <w:t>87%</w:t>
            </w:r>
          </w:p>
        </w:tc>
      </w:tr>
      <w:tr w:rsidR="00AD26D7" w:rsidRPr="0051071A" w:rsidTr="00A70C15">
        <w:trPr>
          <w:trHeight w:val="31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AD26D7" w:rsidRPr="00350FF9" w:rsidRDefault="00AD26D7" w:rsidP="00A70C15">
            <w:pPr>
              <w:rPr>
                <w:szCs w:val="24"/>
              </w:rPr>
            </w:pPr>
            <w:r w:rsidRPr="00350FF9">
              <w:rPr>
                <w:szCs w:val="24"/>
              </w:rPr>
              <w:t>8.5</w:t>
            </w:r>
          </w:p>
        </w:tc>
        <w:tc>
          <w:tcPr>
            <w:tcW w:w="3260" w:type="dxa"/>
            <w:tcBorders>
              <w:top w:val="nil"/>
              <w:left w:val="nil"/>
              <w:bottom w:val="single" w:sz="8" w:space="0" w:color="auto"/>
              <w:right w:val="single" w:sz="4" w:space="0" w:color="auto"/>
            </w:tcBorders>
            <w:shd w:val="clear" w:color="auto" w:fill="auto"/>
            <w:noWrap/>
            <w:vAlign w:val="bottom"/>
            <w:hideMark/>
          </w:tcPr>
          <w:p w:rsidR="00AD26D7" w:rsidRPr="00350FF9" w:rsidRDefault="00AD26D7" w:rsidP="00A70C15">
            <w:pPr>
              <w:rPr>
                <w:b/>
                <w:bCs/>
                <w:szCs w:val="24"/>
              </w:rPr>
            </w:pPr>
            <w:r w:rsidRPr="00350FF9">
              <w:rPr>
                <w:b/>
                <w:bCs/>
                <w:szCs w:val="24"/>
              </w:rPr>
              <w:t>Árbevétel:</w:t>
            </w:r>
          </w:p>
        </w:tc>
        <w:tc>
          <w:tcPr>
            <w:tcW w:w="993" w:type="dxa"/>
            <w:tcBorders>
              <w:top w:val="nil"/>
              <w:left w:val="nil"/>
              <w:bottom w:val="single" w:sz="8" w:space="0" w:color="auto"/>
              <w:right w:val="single" w:sz="4" w:space="0" w:color="auto"/>
            </w:tcBorders>
            <w:shd w:val="clear" w:color="auto" w:fill="auto"/>
            <w:noWrap/>
            <w:vAlign w:val="bottom"/>
            <w:hideMark/>
          </w:tcPr>
          <w:p w:rsidR="00AD26D7" w:rsidRPr="00350FF9" w:rsidRDefault="00AD26D7" w:rsidP="00A70C15">
            <w:pPr>
              <w:jc w:val="right"/>
              <w:rPr>
                <w:b/>
                <w:bCs/>
                <w:szCs w:val="24"/>
              </w:rPr>
            </w:pPr>
            <w:r w:rsidRPr="00350FF9">
              <w:rPr>
                <w:b/>
                <w:bCs/>
                <w:szCs w:val="24"/>
              </w:rPr>
              <w:t>19 475</w:t>
            </w:r>
          </w:p>
        </w:tc>
        <w:tc>
          <w:tcPr>
            <w:tcW w:w="850" w:type="dxa"/>
            <w:tcBorders>
              <w:top w:val="nil"/>
              <w:left w:val="nil"/>
              <w:bottom w:val="single" w:sz="8" w:space="0" w:color="auto"/>
              <w:right w:val="single" w:sz="4" w:space="0" w:color="auto"/>
            </w:tcBorders>
            <w:shd w:val="clear" w:color="auto" w:fill="auto"/>
            <w:noWrap/>
            <w:vAlign w:val="bottom"/>
            <w:hideMark/>
          </w:tcPr>
          <w:p w:rsidR="00AD26D7" w:rsidRPr="00350FF9" w:rsidRDefault="00AD26D7" w:rsidP="00A70C15">
            <w:pPr>
              <w:jc w:val="right"/>
              <w:rPr>
                <w:b/>
                <w:bCs/>
                <w:szCs w:val="24"/>
              </w:rPr>
            </w:pPr>
            <w:r w:rsidRPr="00350FF9">
              <w:rPr>
                <w:b/>
                <w:bCs/>
                <w:szCs w:val="24"/>
              </w:rPr>
              <w:t>16 000</w:t>
            </w:r>
          </w:p>
        </w:tc>
        <w:tc>
          <w:tcPr>
            <w:tcW w:w="1134" w:type="dxa"/>
            <w:tcBorders>
              <w:top w:val="nil"/>
              <w:left w:val="nil"/>
              <w:bottom w:val="single" w:sz="8" w:space="0" w:color="auto"/>
              <w:right w:val="single" w:sz="4" w:space="0" w:color="auto"/>
            </w:tcBorders>
            <w:shd w:val="clear" w:color="000000" w:fill="FFFF00"/>
            <w:noWrap/>
            <w:vAlign w:val="bottom"/>
            <w:hideMark/>
          </w:tcPr>
          <w:p w:rsidR="00AD26D7" w:rsidRPr="00350FF9" w:rsidRDefault="00AD26D7" w:rsidP="00A70C15">
            <w:pPr>
              <w:jc w:val="right"/>
              <w:rPr>
                <w:b/>
                <w:bCs/>
                <w:szCs w:val="24"/>
              </w:rPr>
            </w:pPr>
            <w:r w:rsidRPr="00350FF9">
              <w:rPr>
                <w:b/>
                <w:bCs/>
                <w:szCs w:val="24"/>
              </w:rPr>
              <w:t>6 750</w:t>
            </w:r>
          </w:p>
        </w:tc>
        <w:tc>
          <w:tcPr>
            <w:tcW w:w="992" w:type="dxa"/>
            <w:tcBorders>
              <w:top w:val="nil"/>
              <w:left w:val="nil"/>
              <w:bottom w:val="single" w:sz="8" w:space="0" w:color="auto"/>
              <w:right w:val="single" w:sz="4" w:space="0" w:color="auto"/>
            </w:tcBorders>
            <w:shd w:val="clear" w:color="auto" w:fill="auto"/>
            <w:noWrap/>
            <w:vAlign w:val="center"/>
            <w:hideMark/>
          </w:tcPr>
          <w:p w:rsidR="00AD26D7" w:rsidRPr="00350FF9" w:rsidRDefault="00AD26D7" w:rsidP="00A70C15">
            <w:pPr>
              <w:jc w:val="right"/>
              <w:rPr>
                <w:b/>
                <w:bCs/>
                <w:szCs w:val="24"/>
              </w:rPr>
            </w:pPr>
            <w:r w:rsidRPr="00350FF9">
              <w:rPr>
                <w:b/>
                <w:bCs/>
                <w:szCs w:val="24"/>
              </w:rPr>
              <w:t>-12 725</w:t>
            </w:r>
          </w:p>
        </w:tc>
        <w:tc>
          <w:tcPr>
            <w:tcW w:w="920" w:type="dxa"/>
            <w:tcBorders>
              <w:top w:val="nil"/>
              <w:left w:val="nil"/>
              <w:bottom w:val="single" w:sz="8" w:space="0" w:color="auto"/>
              <w:right w:val="single" w:sz="8" w:space="0" w:color="auto"/>
            </w:tcBorders>
            <w:shd w:val="clear" w:color="auto" w:fill="auto"/>
            <w:noWrap/>
            <w:vAlign w:val="center"/>
            <w:hideMark/>
          </w:tcPr>
          <w:p w:rsidR="00AD26D7" w:rsidRPr="00350FF9" w:rsidRDefault="00AD26D7" w:rsidP="00A70C15">
            <w:pPr>
              <w:jc w:val="center"/>
              <w:rPr>
                <w:b/>
                <w:bCs/>
                <w:szCs w:val="24"/>
              </w:rPr>
            </w:pPr>
            <w:r w:rsidRPr="00350FF9">
              <w:rPr>
                <w:b/>
                <w:bCs/>
                <w:szCs w:val="24"/>
              </w:rPr>
              <w:t>35%</w:t>
            </w:r>
          </w:p>
        </w:tc>
      </w:tr>
    </w:tbl>
    <w:p w:rsidR="00AD26D7" w:rsidRDefault="00AD26D7" w:rsidP="00AD26D7">
      <w:pPr>
        <w:pStyle w:val="Szvegtrzs2"/>
        <w:rPr>
          <w:highlight w:val="yellow"/>
        </w:rPr>
      </w:pPr>
    </w:p>
    <w:p w:rsidR="00AD26D7" w:rsidRPr="00255FF8" w:rsidRDefault="00AD26D7" w:rsidP="00AD26D7">
      <w:pPr>
        <w:pStyle w:val="StlusCmsor311pt"/>
      </w:pPr>
      <w:bookmarkStart w:id="131" w:name="_Toc320784671"/>
      <w:r>
        <w:t>Üzleti</w:t>
      </w:r>
      <w:r w:rsidRPr="00255FF8">
        <w:t xml:space="preserve"> szolgáltatások </w:t>
      </w:r>
      <w:r>
        <w:t>összesen</w:t>
      </w:r>
      <w:bookmarkEnd w:id="131"/>
    </w:p>
    <w:p w:rsidR="00AD26D7" w:rsidRDefault="00AD26D7" w:rsidP="00AD26D7">
      <w:pPr>
        <w:pStyle w:val="Szvegtrzsbehzssal3"/>
        <w:ind w:left="142"/>
      </w:pPr>
      <w:r w:rsidRPr="003F3787">
        <w:rPr>
          <w:b/>
        </w:rPr>
        <w:t>Összességében</w:t>
      </w:r>
      <w:r w:rsidRPr="003F3787">
        <w:t xml:space="preserve"> a főváros által nem támogatott szolgáltatások, illetve üzleti szolgáltatások 4.235 ezer Ft nyereséget hoztak, úgy, hogy ezen túl 21.898 ezer Ft terhet viseltek a központi általános költségekből is. Bár az igen optimistán tervezett 13.953 ezer Ft-os nyereségtől ez jelentősen elmarad</w:t>
      </w:r>
      <w:r>
        <w:t>, a 2010. évi eredményt majdnem eléri.</w:t>
      </w:r>
      <w:r w:rsidRPr="003F3787">
        <w:t xml:space="preserve"> </w:t>
      </w:r>
      <w:bookmarkStart w:id="132" w:name="_Toc475002481"/>
      <w:bookmarkStart w:id="133" w:name="_Toc475002600"/>
      <w:bookmarkStart w:id="134" w:name="_Toc475161582"/>
    </w:p>
    <w:p w:rsidR="00AD26D7" w:rsidRPr="003F3787" w:rsidRDefault="00AD26D7" w:rsidP="00AD26D7">
      <w:pPr>
        <w:pStyle w:val="Szvegtrzsbehzssal3"/>
        <w:ind w:left="142"/>
      </w:pPr>
    </w:p>
    <w:p w:rsidR="00AD26D7" w:rsidRPr="003F3787" w:rsidRDefault="00AD26D7" w:rsidP="00AD26D7">
      <w:pPr>
        <w:pStyle w:val="Szvegtrzs"/>
        <w:numPr>
          <w:ilvl w:val="0"/>
          <w:numId w:val="5"/>
        </w:numPr>
        <w:ind w:left="709" w:hanging="323"/>
      </w:pPr>
      <w:r w:rsidRPr="003F3787">
        <w:t>számú ábra: A nem fővárosi támogatású (üzleti) szolgáltatások alakulása</w:t>
      </w:r>
    </w:p>
    <w:bookmarkEnd w:id="132"/>
    <w:bookmarkEnd w:id="133"/>
    <w:bookmarkEnd w:id="134"/>
    <w:p w:rsidR="00AD26D7" w:rsidRPr="0051071A" w:rsidRDefault="00AD26D7" w:rsidP="00AD26D7">
      <w:pPr>
        <w:rPr>
          <w:highlight w:val="yellow"/>
        </w:rPr>
      </w:pPr>
    </w:p>
    <w:tbl>
      <w:tblPr>
        <w:tblW w:w="9072" w:type="dxa"/>
        <w:tblInd w:w="496" w:type="dxa"/>
        <w:tblCellMar>
          <w:left w:w="70" w:type="dxa"/>
          <w:right w:w="70" w:type="dxa"/>
        </w:tblCellMar>
        <w:tblLook w:val="04A0"/>
      </w:tblPr>
      <w:tblGrid>
        <w:gridCol w:w="425"/>
        <w:gridCol w:w="3685"/>
        <w:gridCol w:w="993"/>
        <w:gridCol w:w="992"/>
        <w:gridCol w:w="992"/>
        <w:gridCol w:w="1134"/>
        <w:gridCol w:w="851"/>
      </w:tblGrid>
      <w:tr w:rsidR="00AD26D7" w:rsidRPr="003F3787" w:rsidTr="00A70C15">
        <w:trPr>
          <w:trHeight w:val="15"/>
        </w:trPr>
        <w:tc>
          <w:tcPr>
            <w:tcW w:w="425"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rsidR="00AD26D7" w:rsidRPr="003F3787" w:rsidRDefault="00AD26D7" w:rsidP="00A70C15">
            <w:pPr>
              <w:jc w:val="center"/>
              <w:rPr>
                <w:b/>
                <w:bCs/>
                <w:szCs w:val="24"/>
              </w:rPr>
            </w:pPr>
            <w:r w:rsidRPr="003F3787">
              <w:rPr>
                <w:b/>
                <w:bCs/>
                <w:szCs w:val="24"/>
              </w:rPr>
              <w:t> </w:t>
            </w:r>
          </w:p>
        </w:tc>
        <w:tc>
          <w:tcPr>
            <w:tcW w:w="3685" w:type="dxa"/>
            <w:tcBorders>
              <w:top w:val="single" w:sz="8" w:space="0" w:color="auto"/>
              <w:left w:val="nil"/>
              <w:bottom w:val="single" w:sz="4" w:space="0" w:color="auto"/>
              <w:right w:val="single" w:sz="8" w:space="0" w:color="auto"/>
            </w:tcBorders>
            <w:shd w:val="clear" w:color="000000" w:fill="FCD5B4"/>
            <w:noWrap/>
            <w:vAlign w:val="bottom"/>
            <w:hideMark/>
          </w:tcPr>
          <w:p w:rsidR="00AD26D7" w:rsidRPr="003F3787" w:rsidRDefault="00AD26D7" w:rsidP="00A70C15">
            <w:pPr>
              <w:rPr>
                <w:b/>
                <w:bCs/>
                <w:szCs w:val="24"/>
              </w:rPr>
            </w:pPr>
            <w:r w:rsidRPr="003F3787">
              <w:rPr>
                <w:b/>
                <w:bCs/>
                <w:szCs w:val="24"/>
              </w:rPr>
              <w:t>Nem fővárosi feladatok összesen</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AD26D7" w:rsidRPr="003F3787" w:rsidRDefault="00AD26D7" w:rsidP="00A70C15">
            <w:pPr>
              <w:jc w:val="center"/>
              <w:rPr>
                <w:color w:val="000000"/>
                <w:szCs w:val="24"/>
              </w:rPr>
            </w:pPr>
            <w:r w:rsidRPr="003F3787">
              <w:rPr>
                <w:color w:val="000000"/>
                <w:szCs w:val="24"/>
              </w:rPr>
              <w:t>2010. tény</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D26D7" w:rsidRPr="003F3787" w:rsidRDefault="00AD26D7" w:rsidP="00A70C15">
            <w:pPr>
              <w:jc w:val="center"/>
              <w:rPr>
                <w:color w:val="000000"/>
                <w:szCs w:val="24"/>
              </w:rPr>
            </w:pPr>
            <w:r w:rsidRPr="003F3787">
              <w:rPr>
                <w:color w:val="000000"/>
                <w:szCs w:val="24"/>
              </w:rPr>
              <w:t>2011. terv</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rsidR="00AD26D7" w:rsidRPr="003F3787" w:rsidRDefault="00AD26D7" w:rsidP="00A70C15">
            <w:pPr>
              <w:jc w:val="center"/>
              <w:rPr>
                <w:b/>
                <w:bCs/>
                <w:szCs w:val="24"/>
              </w:rPr>
            </w:pPr>
            <w:r w:rsidRPr="003F3787">
              <w:rPr>
                <w:b/>
                <w:bCs/>
                <w:szCs w:val="24"/>
              </w:rPr>
              <w:t>2011. tény</w:t>
            </w:r>
          </w:p>
        </w:tc>
        <w:tc>
          <w:tcPr>
            <w:tcW w:w="1985" w:type="dxa"/>
            <w:gridSpan w:val="2"/>
            <w:tcBorders>
              <w:top w:val="single" w:sz="8" w:space="0" w:color="auto"/>
              <w:left w:val="nil"/>
              <w:bottom w:val="single" w:sz="8" w:space="0" w:color="auto"/>
              <w:right w:val="single" w:sz="8" w:space="0" w:color="000000"/>
            </w:tcBorders>
            <w:shd w:val="clear" w:color="auto" w:fill="auto"/>
            <w:vAlign w:val="center"/>
            <w:hideMark/>
          </w:tcPr>
          <w:p w:rsidR="00AD26D7" w:rsidRPr="003F3787" w:rsidRDefault="00AD26D7" w:rsidP="00A70C15">
            <w:pPr>
              <w:jc w:val="center"/>
              <w:rPr>
                <w:color w:val="000000"/>
                <w:szCs w:val="24"/>
              </w:rPr>
            </w:pPr>
            <w:r w:rsidRPr="003F3787">
              <w:rPr>
                <w:color w:val="000000"/>
                <w:szCs w:val="24"/>
              </w:rPr>
              <w:t>2011 tény/ 2010 tény</w:t>
            </w:r>
          </w:p>
        </w:tc>
      </w:tr>
      <w:tr w:rsidR="00AD26D7" w:rsidRPr="003F3787" w:rsidTr="00A70C15">
        <w:trPr>
          <w:trHeight w:val="300"/>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AD26D7" w:rsidRPr="003F3787" w:rsidRDefault="00AD26D7" w:rsidP="00A70C15">
            <w:pPr>
              <w:rPr>
                <w:b/>
                <w:bCs/>
                <w:szCs w:val="24"/>
              </w:rPr>
            </w:pPr>
          </w:p>
        </w:tc>
        <w:tc>
          <w:tcPr>
            <w:tcW w:w="3685" w:type="dxa"/>
            <w:tcBorders>
              <w:top w:val="nil"/>
              <w:left w:val="nil"/>
              <w:bottom w:val="single" w:sz="8" w:space="0" w:color="auto"/>
              <w:right w:val="single" w:sz="8" w:space="0" w:color="auto"/>
            </w:tcBorders>
            <w:shd w:val="clear" w:color="000000" w:fill="FCD5B4"/>
            <w:noWrap/>
            <w:vAlign w:val="bottom"/>
            <w:hideMark/>
          </w:tcPr>
          <w:p w:rsidR="00AD26D7" w:rsidRPr="003F3787" w:rsidRDefault="00AD26D7" w:rsidP="00A70C15">
            <w:pPr>
              <w:jc w:val="center"/>
              <w:rPr>
                <w:b/>
                <w:bCs/>
                <w:color w:val="000000"/>
                <w:szCs w:val="24"/>
              </w:rPr>
            </w:pPr>
            <w:r w:rsidRPr="003F3787">
              <w:rPr>
                <w:b/>
                <w:bCs/>
                <w:color w:val="000000"/>
                <w:szCs w:val="24"/>
              </w:rPr>
              <w:t>Egyenleg</w:t>
            </w:r>
          </w:p>
        </w:tc>
        <w:tc>
          <w:tcPr>
            <w:tcW w:w="993" w:type="dxa"/>
            <w:tcBorders>
              <w:top w:val="nil"/>
              <w:left w:val="nil"/>
              <w:bottom w:val="single" w:sz="4" w:space="0" w:color="auto"/>
              <w:right w:val="single" w:sz="4" w:space="0" w:color="auto"/>
            </w:tcBorders>
            <w:shd w:val="clear" w:color="000000" w:fill="FCD5B4"/>
            <w:noWrap/>
            <w:vAlign w:val="bottom"/>
            <w:hideMark/>
          </w:tcPr>
          <w:p w:rsidR="00AD26D7" w:rsidRPr="003F3787" w:rsidRDefault="00AD26D7" w:rsidP="00A70C15">
            <w:pPr>
              <w:jc w:val="right"/>
              <w:rPr>
                <w:color w:val="000000"/>
                <w:szCs w:val="24"/>
              </w:rPr>
            </w:pPr>
            <w:r w:rsidRPr="003F3787">
              <w:rPr>
                <w:color w:val="000000"/>
                <w:szCs w:val="24"/>
              </w:rPr>
              <w:t>4 508</w:t>
            </w:r>
          </w:p>
        </w:tc>
        <w:tc>
          <w:tcPr>
            <w:tcW w:w="992" w:type="dxa"/>
            <w:tcBorders>
              <w:top w:val="nil"/>
              <w:left w:val="nil"/>
              <w:bottom w:val="single" w:sz="4" w:space="0" w:color="auto"/>
              <w:right w:val="single" w:sz="4" w:space="0" w:color="auto"/>
            </w:tcBorders>
            <w:shd w:val="clear" w:color="000000" w:fill="FCD5B4"/>
            <w:noWrap/>
            <w:vAlign w:val="bottom"/>
            <w:hideMark/>
          </w:tcPr>
          <w:p w:rsidR="00AD26D7" w:rsidRPr="003F3787" w:rsidRDefault="00AD26D7" w:rsidP="00A70C15">
            <w:pPr>
              <w:jc w:val="right"/>
              <w:rPr>
                <w:color w:val="000000"/>
                <w:szCs w:val="24"/>
              </w:rPr>
            </w:pPr>
            <w:r w:rsidRPr="003F3787">
              <w:rPr>
                <w:color w:val="000000"/>
                <w:szCs w:val="24"/>
              </w:rPr>
              <w:t>13 953</w:t>
            </w:r>
          </w:p>
        </w:tc>
        <w:tc>
          <w:tcPr>
            <w:tcW w:w="992" w:type="dxa"/>
            <w:tcBorders>
              <w:top w:val="nil"/>
              <w:left w:val="nil"/>
              <w:bottom w:val="single" w:sz="4" w:space="0" w:color="auto"/>
              <w:right w:val="single" w:sz="4" w:space="0" w:color="auto"/>
            </w:tcBorders>
            <w:shd w:val="clear" w:color="000000" w:fill="FCD5B4"/>
            <w:noWrap/>
            <w:vAlign w:val="bottom"/>
            <w:hideMark/>
          </w:tcPr>
          <w:p w:rsidR="00AD26D7" w:rsidRPr="003F3787" w:rsidRDefault="00AD26D7" w:rsidP="00A70C15">
            <w:pPr>
              <w:jc w:val="right"/>
              <w:rPr>
                <w:color w:val="000000"/>
                <w:szCs w:val="24"/>
              </w:rPr>
            </w:pPr>
            <w:r w:rsidRPr="003F3787">
              <w:rPr>
                <w:color w:val="000000"/>
                <w:szCs w:val="24"/>
              </w:rPr>
              <w:t>4 235</w:t>
            </w:r>
          </w:p>
        </w:tc>
        <w:tc>
          <w:tcPr>
            <w:tcW w:w="1134" w:type="dxa"/>
            <w:tcBorders>
              <w:top w:val="single" w:sz="4" w:space="0" w:color="auto"/>
              <w:left w:val="nil"/>
              <w:bottom w:val="single" w:sz="4" w:space="0" w:color="auto"/>
              <w:right w:val="single" w:sz="4" w:space="0" w:color="auto"/>
            </w:tcBorders>
            <w:shd w:val="clear" w:color="000000" w:fill="FCD5B4"/>
            <w:noWrap/>
            <w:vAlign w:val="center"/>
            <w:hideMark/>
          </w:tcPr>
          <w:p w:rsidR="00AD26D7" w:rsidRPr="003F3787" w:rsidRDefault="00AD26D7" w:rsidP="00A70C15">
            <w:pPr>
              <w:jc w:val="right"/>
              <w:rPr>
                <w:bCs/>
                <w:szCs w:val="24"/>
              </w:rPr>
            </w:pPr>
            <w:r w:rsidRPr="003F3787">
              <w:rPr>
                <w:bCs/>
                <w:szCs w:val="24"/>
              </w:rPr>
              <w:t>-273</w:t>
            </w:r>
          </w:p>
        </w:tc>
        <w:tc>
          <w:tcPr>
            <w:tcW w:w="851" w:type="dxa"/>
            <w:tcBorders>
              <w:top w:val="single" w:sz="4" w:space="0" w:color="auto"/>
              <w:left w:val="nil"/>
              <w:bottom w:val="single" w:sz="4" w:space="0" w:color="auto"/>
              <w:right w:val="single" w:sz="8" w:space="0" w:color="auto"/>
            </w:tcBorders>
            <w:shd w:val="clear" w:color="000000" w:fill="FCD5B4"/>
            <w:noWrap/>
            <w:vAlign w:val="center"/>
            <w:hideMark/>
          </w:tcPr>
          <w:p w:rsidR="00AD26D7" w:rsidRPr="003F3787" w:rsidRDefault="00AD26D7" w:rsidP="00A70C15">
            <w:pPr>
              <w:jc w:val="center"/>
              <w:rPr>
                <w:bCs/>
                <w:szCs w:val="24"/>
              </w:rPr>
            </w:pPr>
            <w:r w:rsidRPr="003F3787">
              <w:rPr>
                <w:bCs/>
                <w:szCs w:val="24"/>
              </w:rPr>
              <w:t>94%</w:t>
            </w:r>
          </w:p>
        </w:tc>
      </w:tr>
      <w:tr w:rsidR="00AD26D7" w:rsidRPr="003F3787" w:rsidTr="00A70C15">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AD26D7" w:rsidRPr="003F3787" w:rsidRDefault="00AD26D7" w:rsidP="00A70C15">
            <w:pPr>
              <w:jc w:val="right"/>
              <w:rPr>
                <w:szCs w:val="24"/>
              </w:rPr>
            </w:pPr>
            <w:r w:rsidRPr="003F3787">
              <w:rPr>
                <w:szCs w:val="24"/>
              </w:rPr>
              <w:t>1</w:t>
            </w:r>
          </w:p>
        </w:tc>
        <w:tc>
          <w:tcPr>
            <w:tcW w:w="3685" w:type="dxa"/>
            <w:tcBorders>
              <w:top w:val="nil"/>
              <w:left w:val="nil"/>
              <w:bottom w:val="single" w:sz="4" w:space="0" w:color="auto"/>
              <w:right w:val="single" w:sz="4" w:space="0" w:color="auto"/>
            </w:tcBorders>
            <w:shd w:val="clear" w:color="auto" w:fill="auto"/>
            <w:noWrap/>
            <w:vAlign w:val="bottom"/>
            <w:hideMark/>
          </w:tcPr>
          <w:p w:rsidR="00AD26D7" w:rsidRPr="003F3787" w:rsidRDefault="00AD26D7" w:rsidP="00A70C15">
            <w:pPr>
              <w:rPr>
                <w:b/>
                <w:bCs/>
                <w:szCs w:val="24"/>
              </w:rPr>
            </w:pPr>
            <w:r w:rsidRPr="003F3787">
              <w:rPr>
                <w:b/>
                <w:bCs/>
                <w:szCs w:val="24"/>
              </w:rPr>
              <w:t>Költségek összesen:</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AD26D7" w:rsidRPr="003F3787" w:rsidRDefault="00AD26D7" w:rsidP="00A70C15">
            <w:pPr>
              <w:jc w:val="right"/>
              <w:rPr>
                <w:b/>
                <w:bCs/>
                <w:szCs w:val="24"/>
              </w:rPr>
            </w:pPr>
            <w:r w:rsidRPr="003F3787">
              <w:rPr>
                <w:b/>
                <w:bCs/>
                <w:szCs w:val="24"/>
              </w:rPr>
              <w:t>791 359</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AD26D7" w:rsidRPr="003F3787" w:rsidRDefault="00AD26D7" w:rsidP="00A70C15">
            <w:pPr>
              <w:jc w:val="right"/>
              <w:rPr>
                <w:b/>
                <w:bCs/>
                <w:szCs w:val="24"/>
              </w:rPr>
            </w:pPr>
            <w:r w:rsidRPr="003F3787">
              <w:rPr>
                <w:b/>
                <w:bCs/>
                <w:szCs w:val="24"/>
              </w:rPr>
              <w:t>182 266</w:t>
            </w:r>
          </w:p>
        </w:tc>
        <w:tc>
          <w:tcPr>
            <w:tcW w:w="992" w:type="dxa"/>
            <w:tcBorders>
              <w:top w:val="single" w:sz="8" w:space="0" w:color="auto"/>
              <w:left w:val="nil"/>
              <w:bottom w:val="single" w:sz="4" w:space="0" w:color="auto"/>
              <w:right w:val="single" w:sz="8" w:space="0" w:color="auto"/>
            </w:tcBorders>
            <w:shd w:val="clear" w:color="000000" w:fill="FFFF00"/>
            <w:noWrap/>
            <w:vAlign w:val="bottom"/>
            <w:hideMark/>
          </w:tcPr>
          <w:p w:rsidR="00AD26D7" w:rsidRPr="003F3787" w:rsidRDefault="00AD26D7" w:rsidP="00A70C15">
            <w:pPr>
              <w:jc w:val="right"/>
              <w:rPr>
                <w:b/>
                <w:bCs/>
                <w:szCs w:val="24"/>
              </w:rPr>
            </w:pPr>
            <w:r w:rsidRPr="003F3787">
              <w:rPr>
                <w:b/>
                <w:bCs/>
                <w:szCs w:val="24"/>
              </w:rPr>
              <w:t>142 070</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D26D7" w:rsidRPr="003F3787" w:rsidRDefault="00AD26D7" w:rsidP="00A70C15">
            <w:pPr>
              <w:jc w:val="right"/>
              <w:rPr>
                <w:bCs/>
                <w:szCs w:val="24"/>
              </w:rPr>
            </w:pPr>
            <w:r w:rsidRPr="003F3787">
              <w:rPr>
                <w:bCs/>
                <w:szCs w:val="24"/>
              </w:rPr>
              <w:t>-649 289</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AD26D7" w:rsidRPr="003F3787" w:rsidRDefault="00AD26D7" w:rsidP="00A70C15">
            <w:pPr>
              <w:jc w:val="center"/>
              <w:rPr>
                <w:bCs/>
                <w:szCs w:val="24"/>
              </w:rPr>
            </w:pPr>
            <w:r w:rsidRPr="003F3787">
              <w:rPr>
                <w:bCs/>
                <w:szCs w:val="24"/>
              </w:rPr>
              <w:t>18%</w:t>
            </w:r>
          </w:p>
        </w:tc>
      </w:tr>
      <w:tr w:rsidR="00AD26D7" w:rsidRPr="003F3787" w:rsidTr="00A70C15">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AD26D7" w:rsidRPr="003F3787" w:rsidRDefault="00AD26D7" w:rsidP="00A70C15">
            <w:pPr>
              <w:jc w:val="right"/>
              <w:rPr>
                <w:szCs w:val="24"/>
              </w:rPr>
            </w:pPr>
            <w:r w:rsidRPr="003F3787">
              <w:rPr>
                <w:szCs w:val="24"/>
              </w:rPr>
              <w:t>2</w:t>
            </w:r>
          </w:p>
        </w:tc>
        <w:tc>
          <w:tcPr>
            <w:tcW w:w="3685" w:type="dxa"/>
            <w:tcBorders>
              <w:top w:val="nil"/>
              <w:left w:val="nil"/>
              <w:bottom w:val="single" w:sz="4" w:space="0" w:color="auto"/>
              <w:right w:val="single" w:sz="4" w:space="0" w:color="auto"/>
            </w:tcBorders>
            <w:shd w:val="clear" w:color="auto" w:fill="auto"/>
            <w:vAlign w:val="bottom"/>
            <w:hideMark/>
          </w:tcPr>
          <w:p w:rsidR="00AD26D7" w:rsidRPr="003F3787" w:rsidRDefault="00AD26D7" w:rsidP="00A70C15">
            <w:pPr>
              <w:rPr>
                <w:szCs w:val="24"/>
              </w:rPr>
            </w:pPr>
            <w:r w:rsidRPr="003F3787">
              <w:rPr>
                <w:szCs w:val="24"/>
              </w:rPr>
              <w:t>Közvetlen költség</w:t>
            </w:r>
          </w:p>
        </w:tc>
        <w:tc>
          <w:tcPr>
            <w:tcW w:w="993" w:type="dxa"/>
            <w:tcBorders>
              <w:top w:val="nil"/>
              <w:left w:val="nil"/>
              <w:bottom w:val="single" w:sz="4" w:space="0" w:color="auto"/>
              <w:right w:val="single" w:sz="4" w:space="0" w:color="auto"/>
            </w:tcBorders>
            <w:shd w:val="clear" w:color="auto" w:fill="auto"/>
            <w:noWrap/>
            <w:vAlign w:val="bottom"/>
            <w:hideMark/>
          </w:tcPr>
          <w:p w:rsidR="00AD26D7" w:rsidRPr="003F3787" w:rsidRDefault="00AD26D7" w:rsidP="00A70C15">
            <w:pPr>
              <w:jc w:val="right"/>
              <w:rPr>
                <w:szCs w:val="24"/>
              </w:rPr>
            </w:pPr>
            <w:r w:rsidRPr="003F3787">
              <w:rPr>
                <w:szCs w:val="24"/>
              </w:rPr>
              <w:t>710 487</w:t>
            </w:r>
          </w:p>
        </w:tc>
        <w:tc>
          <w:tcPr>
            <w:tcW w:w="992" w:type="dxa"/>
            <w:tcBorders>
              <w:top w:val="nil"/>
              <w:left w:val="nil"/>
              <w:bottom w:val="single" w:sz="4" w:space="0" w:color="auto"/>
              <w:right w:val="single" w:sz="4" w:space="0" w:color="auto"/>
            </w:tcBorders>
            <w:shd w:val="clear" w:color="auto" w:fill="auto"/>
            <w:noWrap/>
            <w:vAlign w:val="bottom"/>
            <w:hideMark/>
          </w:tcPr>
          <w:p w:rsidR="00AD26D7" w:rsidRPr="003F3787" w:rsidRDefault="00AD26D7" w:rsidP="00A70C15">
            <w:pPr>
              <w:jc w:val="right"/>
              <w:rPr>
                <w:szCs w:val="24"/>
              </w:rPr>
            </w:pPr>
            <w:r w:rsidRPr="003F3787">
              <w:rPr>
                <w:szCs w:val="24"/>
              </w:rPr>
              <w:t>122 382</w:t>
            </w:r>
          </w:p>
        </w:tc>
        <w:tc>
          <w:tcPr>
            <w:tcW w:w="992" w:type="dxa"/>
            <w:tcBorders>
              <w:top w:val="nil"/>
              <w:left w:val="nil"/>
              <w:bottom w:val="single" w:sz="4" w:space="0" w:color="auto"/>
              <w:right w:val="single" w:sz="8" w:space="0" w:color="auto"/>
            </w:tcBorders>
            <w:shd w:val="clear" w:color="000000" w:fill="FFFF00"/>
            <w:noWrap/>
            <w:vAlign w:val="bottom"/>
            <w:hideMark/>
          </w:tcPr>
          <w:p w:rsidR="00AD26D7" w:rsidRPr="003F3787" w:rsidRDefault="00AD26D7" w:rsidP="00A70C15">
            <w:pPr>
              <w:jc w:val="right"/>
              <w:rPr>
                <w:b/>
                <w:bCs/>
                <w:szCs w:val="24"/>
              </w:rPr>
            </w:pPr>
            <w:r w:rsidRPr="003F3787">
              <w:rPr>
                <w:b/>
                <w:bCs/>
                <w:szCs w:val="24"/>
              </w:rPr>
              <w:t>85 294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26D7" w:rsidRPr="003F3787" w:rsidRDefault="00AD26D7" w:rsidP="00A70C15">
            <w:pPr>
              <w:jc w:val="right"/>
              <w:rPr>
                <w:bCs/>
                <w:szCs w:val="24"/>
              </w:rPr>
            </w:pPr>
            <w:r w:rsidRPr="003F3787">
              <w:rPr>
                <w:bCs/>
                <w:szCs w:val="24"/>
              </w:rPr>
              <w:t>-625 193</w:t>
            </w:r>
          </w:p>
        </w:tc>
        <w:tc>
          <w:tcPr>
            <w:tcW w:w="851" w:type="dxa"/>
            <w:tcBorders>
              <w:top w:val="nil"/>
              <w:left w:val="nil"/>
              <w:bottom w:val="single" w:sz="4" w:space="0" w:color="auto"/>
              <w:right w:val="single" w:sz="8" w:space="0" w:color="auto"/>
            </w:tcBorders>
            <w:shd w:val="clear" w:color="auto" w:fill="auto"/>
            <w:noWrap/>
            <w:vAlign w:val="center"/>
            <w:hideMark/>
          </w:tcPr>
          <w:p w:rsidR="00AD26D7" w:rsidRPr="003F3787" w:rsidRDefault="00AD26D7" w:rsidP="00A70C15">
            <w:pPr>
              <w:jc w:val="center"/>
              <w:rPr>
                <w:bCs/>
                <w:szCs w:val="24"/>
              </w:rPr>
            </w:pPr>
            <w:r w:rsidRPr="003F3787">
              <w:rPr>
                <w:bCs/>
                <w:szCs w:val="24"/>
              </w:rPr>
              <w:t>12%</w:t>
            </w:r>
          </w:p>
        </w:tc>
      </w:tr>
      <w:tr w:rsidR="00AD26D7" w:rsidRPr="003F3787" w:rsidTr="00A70C15">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AD26D7" w:rsidRPr="003F3787" w:rsidRDefault="00AD26D7" w:rsidP="00A70C15">
            <w:pPr>
              <w:jc w:val="right"/>
              <w:rPr>
                <w:szCs w:val="24"/>
              </w:rPr>
            </w:pPr>
            <w:r w:rsidRPr="003F3787">
              <w:rPr>
                <w:szCs w:val="24"/>
              </w:rPr>
              <w:t>3</w:t>
            </w:r>
          </w:p>
        </w:tc>
        <w:tc>
          <w:tcPr>
            <w:tcW w:w="3685" w:type="dxa"/>
            <w:tcBorders>
              <w:top w:val="nil"/>
              <w:left w:val="nil"/>
              <w:bottom w:val="single" w:sz="4" w:space="0" w:color="auto"/>
              <w:right w:val="single" w:sz="4" w:space="0" w:color="auto"/>
            </w:tcBorders>
            <w:shd w:val="clear" w:color="auto" w:fill="auto"/>
            <w:vAlign w:val="bottom"/>
            <w:hideMark/>
          </w:tcPr>
          <w:p w:rsidR="00AD26D7" w:rsidRPr="003F3787" w:rsidRDefault="00AD26D7" w:rsidP="00A70C15">
            <w:pPr>
              <w:rPr>
                <w:szCs w:val="24"/>
              </w:rPr>
            </w:pPr>
            <w:r w:rsidRPr="003F3787">
              <w:rPr>
                <w:szCs w:val="24"/>
              </w:rPr>
              <w:t>Közvetett költség</w:t>
            </w:r>
          </w:p>
        </w:tc>
        <w:tc>
          <w:tcPr>
            <w:tcW w:w="993" w:type="dxa"/>
            <w:tcBorders>
              <w:top w:val="nil"/>
              <w:left w:val="nil"/>
              <w:bottom w:val="single" w:sz="4" w:space="0" w:color="auto"/>
              <w:right w:val="single" w:sz="4" w:space="0" w:color="auto"/>
            </w:tcBorders>
            <w:shd w:val="clear" w:color="auto" w:fill="auto"/>
            <w:noWrap/>
            <w:vAlign w:val="bottom"/>
            <w:hideMark/>
          </w:tcPr>
          <w:p w:rsidR="00AD26D7" w:rsidRPr="003F3787" w:rsidRDefault="00AD26D7" w:rsidP="00A70C15">
            <w:pPr>
              <w:jc w:val="right"/>
              <w:rPr>
                <w:szCs w:val="24"/>
              </w:rPr>
            </w:pPr>
            <w:r w:rsidRPr="003F3787">
              <w:rPr>
                <w:szCs w:val="24"/>
              </w:rPr>
              <w:t>49 108</w:t>
            </w:r>
          </w:p>
        </w:tc>
        <w:tc>
          <w:tcPr>
            <w:tcW w:w="992" w:type="dxa"/>
            <w:tcBorders>
              <w:top w:val="nil"/>
              <w:left w:val="nil"/>
              <w:bottom w:val="single" w:sz="4" w:space="0" w:color="auto"/>
              <w:right w:val="single" w:sz="4" w:space="0" w:color="auto"/>
            </w:tcBorders>
            <w:shd w:val="clear" w:color="auto" w:fill="auto"/>
            <w:noWrap/>
            <w:vAlign w:val="bottom"/>
            <w:hideMark/>
          </w:tcPr>
          <w:p w:rsidR="00AD26D7" w:rsidRPr="003F3787" w:rsidRDefault="00AD26D7" w:rsidP="00A70C15">
            <w:pPr>
              <w:jc w:val="right"/>
              <w:rPr>
                <w:szCs w:val="24"/>
              </w:rPr>
            </w:pPr>
            <w:r w:rsidRPr="003F3787">
              <w:rPr>
                <w:szCs w:val="24"/>
              </w:rPr>
              <w:t>34 957</w:t>
            </w:r>
          </w:p>
        </w:tc>
        <w:tc>
          <w:tcPr>
            <w:tcW w:w="992" w:type="dxa"/>
            <w:tcBorders>
              <w:top w:val="nil"/>
              <w:left w:val="nil"/>
              <w:bottom w:val="single" w:sz="4" w:space="0" w:color="auto"/>
              <w:right w:val="single" w:sz="8" w:space="0" w:color="auto"/>
            </w:tcBorders>
            <w:shd w:val="clear" w:color="000000" w:fill="FFFF00"/>
            <w:noWrap/>
            <w:vAlign w:val="bottom"/>
            <w:hideMark/>
          </w:tcPr>
          <w:p w:rsidR="00AD26D7" w:rsidRPr="003F3787" w:rsidRDefault="00AD26D7" w:rsidP="00A70C15">
            <w:pPr>
              <w:jc w:val="right"/>
              <w:rPr>
                <w:b/>
                <w:bCs/>
                <w:szCs w:val="24"/>
              </w:rPr>
            </w:pPr>
            <w:r w:rsidRPr="003F3787">
              <w:rPr>
                <w:b/>
                <w:bCs/>
                <w:szCs w:val="24"/>
              </w:rPr>
              <w:t>34 878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26D7" w:rsidRPr="003F3787" w:rsidRDefault="00AD26D7" w:rsidP="00A70C15">
            <w:pPr>
              <w:jc w:val="right"/>
              <w:rPr>
                <w:bCs/>
                <w:szCs w:val="24"/>
              </w:rPr>
            </w:pPr>
            <w:r w:rsidRPr="003F3787">
              <w:rPr>
                <w:bCs/>
                <w:szCs w:val="24"/>
              </w:rPr>
              <w:t>-14 230</w:t>
            </w:r>
          </w:p>
        </w:tc>
        <w:tc>
          <w:tcPr>
            <w:tcW w:w="851" w:type="dxa"/>
            <w:tcBorders>
              <w:top w:val="nil"/>
              <w:left w:val="nil"/>
              <w:bottom w:val="single" w:sz="4" w:space="0" w:color="auto"/>
              <w:right w:val="single" w:sz="8" w:space="0" w:color="auto"/>
            </w:tcBorders>
            <w:shd w:val="clear" w:color="auto" w:fill="auto"/>
            <w:noWrap/>
            <w:vAlign w:val="center"/>
            <w:hideMark/>
          </w:tcPr>
          <w:p w:rsidR="00AD26D7" w:rsidRPr="003F3787" w:rsidRDefault="00AD26D7" w:rsidP="00A70C15">
            <w:pPr>
              <w:jc w:val="center"/>
              <w:rPr>
                <w:bCs/>
                <w:szCs w:val="24"/>
              </w:rPr>
            </w:pPr>
            <w:r w:rsidRPr="003F3787">
              <w:rPr>
                <w:bCs/>
                <w:szCs w:val="24"/>
              </w:rPr>
              <w:t>71%</w:t>
            </w:r>
          </w:p>
        </w:tc>
      </w:tr>
      <w:tr w:rsidR="00AD26D7" w:rsidRPr="003F3787" w:rsidTr="00A70C15">
        <w:trPr>
          <w:trHeight w:val="315"/>
        </w:trPr>
        <w:tc>
          <w:tcPr>
            <w:tcW w:w="425" w:type="dxa"/>
            <w:tcBorders>
              <w:top w:val="nil"/>
              <w:left w:val="single" w:sz="8" w:space="0" w:color="auto"/>
              <w:bottom w:val="single" w:sz="8" w:space="0" w:color="auto"/>
              <w:right w:val="single" w:sz="4" w:space="0" w:color="auto"/>
            </w:tcBorders>
            <w:shd w:val="clear" w:color="000000" w:fill="EAF1DD"/>
            <w:noWrap/>
            <w:vAlign w:val="bottom"/>
            <w:hideMark/>
          </w:tcPr>
          <w:p w:rsidR="00AD26D7" w:rsidRPr="003F3787" w:rsidRDefault="00AD26D7" w:rsidP="00A70C15">
            <w:pPr>
              <w:jc w:val="right"/>
              <w:rPr>
                <w:color w:val="000000"/>
                <w:szCs w:val="24"/>
              </w:rPr>
            </w:pPr>
            <w:r w:rsidRPr="003F3787">
              <w:rPr>
                <w:color w:val="000000"/>
                <w:szCs w:val="24"/>
              </w:rPr>
              <w:t>4</w:t>
            </w:r>
          </w:p>
        </w:tc>
        <w:tc>
          <w:tcPr>
            <w:tcW w:w="3685" w:type="dxa"/>
            <w:tcBorders>
              <w:top w:val="nil"/>
              <w:left w:val="nil"/>
              <w:bottom w:val="single" w:sz="8" w:space="0" w:color="auto"/>
              <w:right w:val="single" w:sz="4" w:space="0" w:color="auto"/>
            </w:tcBorders>
            <w:shd w:val="clear" w:color="000000" w:fill="EAF1DD"/>
            <w:vAlign w:val="bottom"/>
            <w:hideMark/>
          </w:tcPr>
          <w:p w:rsidR="00AD26D7" w:rsidRPr="003F3787" w:rsidRDefault="00AD26D7" w:rsidP="00A70C15">
            <w:pPr>
              <w:rPr>
                <w:color w:val="000000"/>
                <w:szCs w:val="24"/>
              </w:rPr>
            </w:pPr>
            <w:r w:rsidRPr="003F3787">
              <w:rPr>
                <w:color w:val="000000"/>
                <w:szCs w:val="24"/>
              </w:rPr>
              <w:t>Felosztott központi általános költség</w:t>
            </w:r>
          </w:p>
        </w:tc>
        <w:tc>
          <w:tcPr>
            <w:tcW w:w="993" w:type="dxa"/>
            <w:tcBorders>
              <w:top w:val="nil"/>
              <w:left w:val="nil"/>
              <w:bottom w:val="single" w:sz="8" w:space="0" w:color="auto"/>
              <w:right w:val="single" w:sz="4" w:space="0" w:color="auto"/>
            </w:tcBorders>
            <w:shd w:val="clear" w:color="000000" w:fill="EAF1DD"/>
            <w:noWrap/>
            <w:vAlign w:val="bottom"/>
            <w:hideMark/>
          </w:tcPr>
          <w:p w:rsidR="00AD26D7" w:rsidRPr="003F3787" w:rsidRDefault="00AD26D7" w:rsidP="00A70C15">
            <w:pPr>
              <w:jc w:val="right"/>
              <w:rPr>
                <w:color w:val="000000"/>
                <w:szCs w:val="24"/>
              </w:rPr>
            </w:pPr>
            <w:r w:rsidRPr="003F3787">
              <w:rPr>
                <w:color w:val="000000"/>
                <w:szCs w:val="24"/>
              </w:rPr>
              <w:t>31 764</w:t>
            </w:r>
          </w:p>
        </w:tc>
        <w:tc>
          <w:tcPr>
            <w:tcW w:w="992" w:type="dxa"/>
            <w:tcBorders>
              <w:top w:val="nil"/>
              <w:left w:val="nil"/>
              <w:bottom w:val="single" w:sz="8" w:space="0" w:color="auto"/>
              <w:right w:val="single" w:sz="4" w:space="0" w:color="auto"/>
            </w:tcBorders>
            <w:shd w:val="clear" w:color="000000" w:fill="EAF1DD"/>
            <w:noWrap/>
            <w:vAlign w:val="bottom"/>
            <w:hideMark/>
          </w:tcPr>
          <w:p w:rsidR="00AD26D7" w:rsidRPr="003F3787" w:rsidRDefault="00AD26D7" w:rsidP="00A70C15">
            <w:pPr>
              <w:jc w:val="right"/>
              <w:rPr>
                <w:color w:val="000000"/>
                <w:szCs w:val="24"/>
              </w:rPr>
            </w:pPr>
            <w:r w:rsidRPr="003F3787">
              <w:rPr>
                <w:color w:val="000000"/>
                <w:szCs w:val="24"/>
              </w:rPr>
              <w:t>24 927</w:t>
            </w:r>
          </w:p>
        </w:tc>
        <w:tc>
          <w:tcPr>
            <w:tcW w:w="992" w:type="dxa"/>
            <w:tcBorders>
              <w:top w:val="nil"/>
              <w:left w:val="nil"/>
              <w:bottom w:val="single" w:sz="8" w:space="0" w:color="auto"/>
              <w:right w:val="single" w:sz="8" w:space="0" w:color="auto"/>
            </w:tcBorders>
            <w:shd w:val="clear" w:color="000000" w:fill="FFFF00"/>
            <w:noWrap/>
            <w:vAlign w:val="bottom"/>
            <w:hideMark/>
          </w:tcPr>
          <w:p w:rsidR="00AD26D7" w:rsidRPr="003F3787" w:rsidRDefault="00AD26D7" w:rsidP="00A70C15">
            <w:pPr>
              <w:jc w:val="right"/>
              <w:rPr>
                <w:b/>
                <w:bCs/>
                <w:color w:val="000000"/>
                <w:szCs w:val="24"/>
              </w:rPr>
            </w:pPr>
            <w:r w:rsidRPr="003F3787">
              <w:rPr>
                <w:b/>
                <w:bCs/>
                <w:color w:val="000000"/>
                <w:szCs w:val="24"/>
              </w:rPr>
              <w:t>21 898</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AD26D7" w:rsidRPr="003F3787" w:rsidRDefault="00AD26D7" w:rsidP="00A70C15">
            <w:pPr>
              <w:jc w:val="right"/>
              <w:rPr>
                <w:bCs/>
                <w:szCs w:val="24"/>
              </w:rPr>
            </w:pPr>
            <w:r w:rsidRPr="003F3787">
              <w:rPr>
                <w:bCs/>
                <w:szCs w:val="24"/>
              </w:rPr>
              <w:t>-9 866</w:t>
            </w:r>
          </w:p>
        </w:tc>
        <w:tc>
          <w:tcPr>
            <w:tcW w:w="851" w:type="dxa"/>
            <w:tcBorders>
              <w:top w:val="nil"/>
              <w:left w:val="nil"/>
              <w:bottom w:val="single" w:sz="8" w:space="0" w:color="auto"/>
              <w:right w:val="single" w:sz="8" w:space="0" w:color="auto"/>
            </w:tcBorders>
            <w:shd w:val="clear" w:color="auto" w:fill="auto"/>
            <w:noWrap/>
            <w:vAlign w:val="center"/>
            <w:hideMark/>
          </w:tcPr>
          <w:p w:rsidR="00AD26D7" w:rsidRPr="003F3787" w:rsidRDefault="00AD26D7" w:rsidP="00A70C15">
            <w:pPr>
              <w:jc w:val="center"/>
              <w:rPr>
                <w:bCs/>
                <w:szCs w:val="24"/>
              </w:rPr>
            </w:pPr>
            <w:r w:rsidRPr="003F3787">
              <w:rPr>
                <w:bCs/>
                <w:szCs w:val="24"/>
              </w:rPr>
              <w:t>69%</w:t>
            </w:r>
          </w:p>
        </w:tc>
      </w:tr>
      <w:tr w:rsidR="00AD26D7" w:rsidRPr="003F3787" w:rsidTr="00A70C15">
        <w:trPr>
          <w:trHeight w:val="315"/>
        </w:trPr>
        <w:tc>
          <w:tcPr>
            <w:tcW w:w="425" w:type="dxa"/>
            <w:tcBorders>
              <w:top w:val="nil"/>
              <w:left w:val="single" w:sz="8" w:space="0" w:color="auto"/>
              <w:bottom w:val="single" w:sz="8" w:space="0" w:color="auto"/>
              <w:right w:val="single" w:sz="4" w:space="0" w:color="auto"/>
            </w:tcBorders>
            <w:shd w:val="clear" w:color="auto" w:fill="auto"/>
            <w:noWrap/>
            <w:vAlign w:val="bottom"/>
            <w:hideMark/>
          </w:tcPr>
          <w:p w:rsidR="00AD26D7" w:rsidRPr="003F3787" w:rsidRDefault="00AD26D7" w:rsidP="00A70C15">
            <w:pPr>
              <w:jc w:val="right"/>
              <w:rPr>
                <w:szCs w:val="24"/>
              </w:rPr>
            </w:pPr>
            <w:r w:rsidRPr="003F3787">
              <w:rPr>
                <w:szCs w:val="24"/>
              </w:rPr>
              <w:t>5</w:t>
            </w:r>
          </w:p>
        </w:tc>
        <w:tc>
          <w:tcPr>
            <w:tcW w:w="3685" w:type="dxa"/>
            <w:tcBorders>
              <w:top w:val="nil"/>
              <w:left w:val="nil"/>
              <w:bottom w:val="single" w:sz="8" w:space="0" w:color="auto"/>
              <w:right w:val="single" w:sz="4" w:space="0" w:color="auto"/>
            </w:tcBorders>
            <w:shd w:val="clear" w:color="auto" w:fill="auto"/>
            <w:noWrap/>
            <w:vAlign w:val="bottom"/>
            <w:hideMark/>
          </w:tcPr>
          <w:p w:rsidR="00AD26D7" w:rsidRPr="003F3787" w:rsidRDefault="00AD26D7" w:rsidP="00A70C15">
            <w:pPr>
              <w:rPr>
                <w:b/>
                <w:bCs/>
                <w:szCs w:val="24"/>
              </w:rPr>
            </w:pPr>
            <w:r w:rsidRPr="003F3787">
              <w:rPr>
                <w:b/>
                <w:bCs/>
                <w:szCs w:val="24"/>
              </w:rPr>
              <w:t>Bevételek összesen:</w:t>
            </w:r>
          </w:p>
        </w:tc>
        <w:tc>
          <w:tcPr>
            <w:tcW w:w="993" w:type="dxa"/>
            <w:tcBorders>
              <w:top w:val="nil"/>
              <w:left w:val="nil"/>
              <w:bottom w:val="single" w:sz="8" w:space="0" w:color="auto"/>
              <w:right w:val="single" w:sz="4" w:space="0" w:color="auto"/>
            </w:tcBorders>
            <w:shd w:val="clear" w:color="auto" w:fill="auto"/>
            <w:noWrap/>
            <w:vAlign w:val="bottom"/>
            <w:hideMark/>
          </w:tcPr>
          <w:p w:rsidR="00AD26D7" w:rsidRPr="003F3787" w:rsidRDefault="00AD26D7" w:rsidP="00A70C15">
            <w:pPr>
              <w:jc w:val="right"/>
              <w:rPr>
                <w:b/>
                <w:bCs/>
                <w:szCs w:val="24"/>
              </w:rPr>
            </w:pPr>
            <w:r w:rsidRPr="003F3787">
              <w:rPr>
                <w:b/>
                <w:bCs/>
                <w:szCs w:val="24"/>
              </w:rPr>
              <w:t>795 867</w:t>
            </w:r>
          </w:p>
        </w:tc>
        <w:tc>
          <w:tcPr>
            <w:tcW w:w="992" w:type="dxa"/>
            <w:tcBorders>
              <w:top w:val="nil"/>
              <w:left w:val="nil"/>
              <w:bottom w:val="single" w:sz="8" w:space="0" w:color="auto"/>
              <w:right w:val="single" w:sz="4" w:space="0" w:color="auto"/>
            </w:tcBorders>
            <w:shd w:val="clear" w:color="auto" w:fill="auto"/>
            <w:noWrap/>
            <w:vAlign w:val="bottom"/>
            <w:hideMark/>
          </w:tcPr>
          <w:p w:rsidR="00AD26D7" w:rsidRPr="003F3787" w:rsidRDefault="00AD26D7" w:rsidP="00A70C15">
            <w:pPr>
              <w:jc w:val="right"/>
              <w:rPr>
                <w:b/>
                <w:bCs/>
                <w:szCs w:val="24"/>
              </w:rPr>
            </w:pPr>
            <w:r w:rsidRPr="003F3787">
              <w:rPr>
                <w:b/>
                <w:bCs/>
                <w:szCs w:val="24"/>
              </w:rPr>
              <w:t>196 220</w:t>
            </w:r>
          </w:p>
        </w:tc>
        <w:tc>
          <w:tcPr>
            <w:tcW w:w="992" w:type="dxa"/>
            <w:tcBorders>
              <w:top w:val="nil"/>
              <w:left w:val="nil"/>
              <w:bottom w:val="single" w:sz="8" w:space="0" w:color="auto"/>
              <w:right w:val="single" w:sz="8" w:space="0" w:color="auto"/>
            </w:tcBorders>
            <w:shd w:val="clear" w:color="000000" w:fill="FFFF00"/>
            <w:noWrap/>
            <w:vAlign w:val="bottom"/>
            <w:hideMark/>
          </w:tcPr>
          <w:p w:rsidR="00AD26D7" w:rsidRPr="003F3787" w:rsidRDefault="00AD26D7" w:rsidP="00A70C15">
            <w:pPr>
              <w:jc w:val="right"/>
              <w:rPr>
                <w:b/>
                <w:bCs/>
                <w:szCs w:val="24"/>
              </w:rPr>
            </w:pPr>
            <w:r w:rsidRPr="003F3787">
              <w:rPr>
                <w:b/>
                <w:bCs/>
                <w:szCs w:val="24"/>
              </w:rPr>
              <w:t>146 305</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AD26D7" w:rsidRPr="003F3787" w:rsidRDefault="00AD26D7" w:rsidP="00A70C15">
            <w:pPr>
              <w:jc w:val="right"/>
              <w:rPr>
                <w:bCs/>
                <w:szCs w:val="24"/>
              </w:rPr>
            </w:pPr>
            <w:r w:rsidRPr="003F3787">
              <w:rPr>
                <w:bCs/>
                <w:szCs w:val="24"/>
              </w:rPr>
              <w:t>-649 562</w:t>
            </w:r>
          </w:p>
        </w:tc>
        <w:tc>
          <w:tcPr>
            <w:tcW w:w="851" w:type="dxa"/>
            <w:tcBorders>
              <w:top w:val="nil"/>
              <w:left w:val="nil"/>
              <w:bottom w:val="single" w:sz="8" w:space="0" w:color="auto"/>
              <w:right w:val="single" w:sz="8" w:space="0" w:color="auto"/>
            </w:tcBorders>
            <w:shd w:val="clear" w:color="auto" w:fill="auto"/>
            <w:noWrap/>
            <w:vAlign w:val="center"/>
            <w:hideMark/>
          </w:tcPr>
          <w:p w:rsidR="00AD26D7" w:rsidRPr="003F3787" w:rsidRDefault="00AD26D7" w:rsidP="00A70C15">
            <w:pPr>
              <w:jc w:val="center"/>
              <w:rPr>
                <w:bCs/>
                <w:szCs w:val="24"/>
              </w:rPr>
            </w:pPr>
            <w:r w:rsidRPr="003F3787">
              <w:rPr>
                <w:bCs/>
                <w:szCs w:val="24"/>
              </w:rPr>
              <w:t>18%</w:t>
            </w:r>
          </w:p>
        </w:tc>
      </w:tr>
      <w:tr w:rsidR="00AD26D7" w:rsidRPr="00CD083E" w:rsidTr="00A70C15">
        <w:trPr>
          <w:trHeight w:val="300"/>
        </w:trPr>
        <w:tc>
          <w:tcPr>
            <w:tcW w:w="425" w:type="dxa"/>
            <w:tcBorders>
              <w:top w:val="nil"/>
              <w:left w:val="nil"/>
              <w:bottom w:val="nil"/>
              <w:right w:val="nil"/>
            </w:tcBorders>
            <w:shd w:val="clear" w:color="auto" w:fill="auto"/>
            <w:noWrap/>
            <w:vAlign w:val="bottom"/>
            <w:hideMark/>
          </w:tcPr>
          <w:p w:rsidR="00AD26D7" w:rsidRPr="003F3787" w:rsidRDefault="00AD26D7" w:rsidP="00A70C15">
            <w:pPr>
              <w:rPr>
                <w:rFonts w:ascii="Arial" w:hAnsi="Arial" w:cs="Arial"/>
                <w:color w:val="000000"/>
                <w:sz w:val="20"/>
              </w:rPr>
            </w:pPr>
          </w:p>
        </w:tc>
        <w:tc>
          <w:tcPr>
            <w:tcW w:w="8647" w:type="dxa"/>
            <w:gridSpan w:val="6"/>
            <w:tcBorders>
              <w:top w:val="nil"/>
              <w:left w:val="nil"/>
              <w:bottom w:val="nil"/>
              <w:right w:val="nil"/>
            </w:tcBorders>
            <w:shd w:val="clear" w:color="auto" w:fill="auto"/>
            <w:noWrap/>
            <w:vAlign w:val="bottom"/>
            <w:hideMark/>
          </w:tcPr>
          <w:p w:rsidR="00AD26D7" w:rsidRPr="00CD083E" w:rsidRDefault="00AD26D7" w:rsidP="00A70C15">
            <w:pPr>
              <w:rPr>
                <w:rFonts w:ascii="Arial" w:hAnsi="Arial" w:cs="Arial"/>
                <w:color w:val="000000"/>
                <w:sz w:val="20"/>
              </w:rPr>
            </w:pPr>
            <w:r>
              <w:rPr>
                <w:rFonts w:ascii="Arial" w:hAnsi="Arial" w:cs="Arial"/>
                <w:color w:val="000000"/>
                <w:sz w:val="20"/>
              </w:rPr>
              <w:t>2010. évi f</w:t>
            </w:r>
            <w:r w:rsidRPr="003F3787">
              <w:rPr>
                <w:rFonts w:ascii="Arial" w:hAnsi="Arial" w:cs="Arial"/>
                <w:color w:val="000000"/>
                <w:sz w:val="20"/>
              </w:rPr>
              <w:t>ővárosi közegészségügyi közszolgáltatás és Roma Net nélkül</w:t>
            </w:r>
          </w:p>
        </w:tc>
      </w:tr>
    </w:tbl>
    <w:p w:rsidR="009B08F0" w:rsidRPr="00AD26D7" w:rsidRDefault="009B08F0">
      <w:pPr>
        <w:rPr>
          <w:rFonts w:ascii="Arial" w:hAnsi="Arial"/>
          <w:b/>
          <w:sz w:val="28"/>
        </w:rPr>
      </w:pPr>
    </w:p>
    <w:sectPr w:rsidR="009B08F0" w:rsidRPr="00AD26D7" w:rsidSect="009B08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CE2"/>
    <w:multiLevelType w:val="multilevel"/>
    <w:tmpl w:val="5CDE19E4"/>
    <w:lvl w:ilvl="0">
      <w:start w:val="1"/>
      <w:numFmt w:val="decimal"/>
      <w:pStyle w:val="Cmsor1"/>
      <w:lvlText w:val="%1"/>
      <w:lvlJc w:val="left"/>
      <w:pPr>
        <w:tabs>
          <w:tab w:val="num" w:pos="2984"/>
        </w:tabs>
        <w:ind w:left="2984" w:hanging="432"/>
      </w:pPr>
    </w:lvl>
    <w:lvl w:ilvl="1">
      <w:start w:val="1"/>
      <w:numFmt w:val="decimal"/>
      <w:pStyle w:val="Cmsor2"/>
      <w:lvlText w:val="%1.%2"/>
      <w:lvlJc w:val="left"/>
      <w:pPr>
        <w:tabs>
          <w:tab w:val="num" w:pos="1002"/>
        </w:tabs>
        <w:ind w:left="1002"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1715"/>
        </w:tabs>
        <w:ind w:left="1715"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nsid w:val="03113F45"/>
    <w:multiLevelType w:val="hybridMultilevel"/>
    <w:tmpl w:val="E28E0020"/>
    <w:lvl w:ilvl="0" w:tplc="8D822966">
      <w:start w:val="1"/>
      <w:numFmt w:val="bullet"/>
      <w:lvlText w:val=""/>
      <w:lvlJc w:val="left"/>
      <w:pPr>
        <w:tabs>
          <w:tab w:val="num" w:pos="900"/>
        </w:tabs>
        <w:ind w:left="900" w:hanging="360"/>
      </w:pPr>
      <w:rPr>
        <w:rFonts w:ascii="Symbol" w:hAnsi="Symbol" w:hint="default"/>
      </w:rPr>
    </w:lvl>
    <w:lvl w:ilvl="1" w:tplc="9FB4573A">
      <w:start w:val="1"/>
      <w:numFmt w:val="decimal"/>
      <w:lvlText w:val="%2."/>
      <w:lvlJc w:val="left"/>
      <w:pPr>
        <w:tabs>
          <w:tab w:val="num" w:pos="1440"/>
        </w:tabs>
        <w:ind w:left="1440" w:hanging="360"/>
      </w:pPr>
      <w:rPr>
        <w:rFonts w:hint="default"/>
      </w:rPr>
    </w:lvl>
    <w:lvl w:ilvl="2" w:tplc="A392CB04" w:tentative="1">
      <w:start w:val="1"/>
      <w:numFmt w:val="lowerRoman"/>
      <w:lvlText w:val="%3."/>
      <w:lvlJc w:val="right"/>
      <w:pPr>
        <w:tabs>
          <w:tab w:val="num" w:pos="2160"/>
        </w:tabs>
        <w:ind w:left="2160" w:hanging="180"/>
      </w:pPr>
    </w:lvl>
    <w:lvl w:ilvl="3" w:tplc="055E274C" w:tentative="1">
      <w:start w:val="1"/>
      <w:numFmt w:val="decimal"/>
      <w:lvlText w:val="%4."/>
      <w:lvlJc w:val="left"/>
      <w:pPr>
        <w:tabs>
          <w:tab w:val="num" w:pos="2880"/>
        </w:tabs>
        <w:ind w:left="2880" w:hanging="360"/>
      </w:pPr>
    </w:lvl>
    <w:lvl w:ilvl="4" w:tplc="F0D23D90" w:tentative="1">
      <w:start w:val="1"/>
      <w:numFmt w:val="lowerLetter"/>
      <w:lvlText w:val="%5."/>
      <w:lvlJc w:val="left"/>
      <w:pPr>
        <w:tabs>
          <w:tab w:val="num" w:pos="3600"/>
        </w:tabs>
        <w:ind w:left="3600" w:hanging="360"/>
      </w:pPr>
    </w:lvl>
    <w:lvl w:ilvl="5" w:tplc="1742907A" w:tentative="1">
      <w:start w:val="1"/>
      <w:numFmt w:val="lowerRoman"/>
      <w:lvlText w:val="%6."/>
      <w:lvlJc w:val="right"/>
      <w:pPr>
        <w:tabs>
          <w:tab w:val="num" w:pos="4320"/>
        </w:tabs>
        <w:ind w:left="4320" w:hanging="180"/>
      </w:pPr>
    </w:lvl>
    <w:lvl w:ilvl="6" w:tplc="FEBE6EBC" w:tentative="1">
      <w:start w:val="1"/>
      <w:numFmt w:val="decimal"/>
      <w:lvlText w:val="%7."/>
      <w:lvlJc w:val="left"/>
      <w:pPr>
        <w:tabs>
          <w:tab w:val="num" w:pos="5040"/>
        </w:tabs>
        <w:ind w:left="5040" w:hanging="360"/>
      </w:pPr>
    </w:lvl>
    <w:lvl w:ilvl="7" w:tplc="994ED650" w:tentative="1">
      <w:start w:val="1"/>
      <w:numFmt w:val="lowerLetter"/>
      <w:lvlText w:val="%8."/>
      <w:lvlJc w:val="left"/>
      <w:pPr>
        <w:tabs>
          <w:tab w:val="num" w:pos="5760"/>
        </w:tabs>
        <w:ind w:left="5760" w:hanging="360"/>
      </w:pPr>
    </w:lvl>
    <w:lvl w:ilvl="8" w:tplc="3DD6A944" w:tentative="1">
      <w:start w:val="1"/>
      <w:numFmt w:val="lowerRoman"/>
      <w:lvlText w:val="%9."/>
      <w:lvlJc w:val="right"/>
      <w:pPr>
        <w:tabs>
          <w:tab w:val="num" w:pos="6480"/>
        </w:tabs>
        <w:ind w:left="6480" w:hanging="180"/>
      </w:pPr>
    </w:lvl>
  </w:abstractNum>
  <w:abstractNum w:abstractNumId="2">
    <w:nsid w:val="0FDF115C"/>
    <w:multiLevelType w:val="hybridMultilevel"/>
    <w:tmpl w:val="14F44E2C"/>
    <w:lvl w:ilvl="0" w:tplc="E102A9E4">
      <w:start w:val="1"/>
      <w:numFmt w:val="bullet"/>
      <w:pStyle w:val="Felsorols"/>
      <w:lvlText w:val=""/>
      <w:lvlJc w:val="left"/>
      <w:pPr>
        <w:tabs>
          <w:tab w:val="num" w:pos="1352"/>
        </w:tabs>
        <w:ind w:left="1276" w:hanging="284"/>
      </w:pPr>
      <w:rPr>
        <w:rFonts w:ascii="Symbol" w:hAnsi="Symbol" w:cs="Times New Roman" w:hint="default"/>
        <w:b w:val="0"/>
        <w:i w:val="0"/>
        <w:caps w:val="0"/>
        <w:strike w:val="0"/>
        <w:dstrike w:val="0"/>
        <w:vanish w:val="0"/>
        <w:color w:val="000000"/>
        <w:sz w:val="24"/>
        <w:vertAlign w:val="baseline"/>
      </w:rPr>
    </w:lvl>
    <w:lvl w:ilvl="1" w:tplc="040E0019">
      <w:start w:val="1"/>
      <w:numFmt w:val="bullet"/>
      <w:lvlText w:val="o"/>
      <w:lvlJc w:val="left"/>
      <w:pPr>
        <w:tabs>
          <w:tab w:val="num" w:pos="1865"/>
        </w:tabs>
        <w:ind w:left="1865" w:hanging="360"/>
      </w:pPr>
      <w:rPr>
        <w:rFonts w:ascii="Courier New" w:hAnsi="Courier New" w:hint="default"/>
      </w:rPr>
    </w:lvl>
    <w:lvl w:ilvl="2" w:tplc="040E001B">
      <w:start w:val="1"/>
      <w:numFmt w:val="bullet"/>
      <w:lvlText w:val=""/>
      <w:lvlJc w:val="left"/>
      <w:pPr>
        <w:tabs>
          <w:tab w:val="num" w:pos="2585"/>
        </w:tabs>
        <w:ind w:left="2585" w:hanging="360"/>
      </w:pPr>
      <w:rPr>
        <w:rFonts w:ascii="Wingdings" w:hAnsi="Wingdings" w:hint="default"/>
      </w:rPr>
    </w:lvl>
    <w:lvl w:ilvl="3" w:tplc="040E000F" w:tentative="1">
      <w:start w:val="1"/>
      <w:numFmt w:val="bullet"/>
      <w:lvlText w:val=""/>
      <w:lvlJc w:val="left"/>
      <w:pPr>
        <w:tabs>
          <w:tab w:val="num" w:pos="3305"/>
        </w:tabs>
        <w:ind w:left="3305" w:hanging="360"/>
      </w:pPr>
      <w:rPr>
        <w:rFonts w:ascii="Symbol" w:hAnsi="Symbol" w:hint="default"/>
      </w:rPr>
    </w:lvl>
    <w:lvl w:ilvl="4" w:tplc="040E0019" w:tentative="1">
      <w:start w:val="1"/>
      <w:numFmt w:val="bullet"/>
      <w:lvlText w:val="o"/>
      <w:lvlJc w:val="left"/>
      <w:pPr>
        <w:tabs>
          <w:tab w:val="num" w:pos="4025"/>
        </w:tabs>
        <w:ind w:left="4025" w:hanging="360"/>
      </w:pPr>
      <w:rPr>
        <w:rFonts w:ascii="Courier New" w:hAnsi="Courier New" w:hint="default"/>
      </w:rPr>
    </w:lvl>
    <w:lvl w:ilvl="5" w:tplc="040E001B" w:tentative="1">
      <w:start w:val="1"/>
      <w:numFmt w:val="bullet"/>
      <w:lvlText w:val=""/>
      <w:lvlJc w:val="left"/>
      <w:pPr>
        <w:tabs>
          <w:tab w:val="num" w:pos="4745"/>
        </w:tabs>
        <w:ind w:left="4745" w:hanging="360"/>
      </w:pPr>
      <w:rPr>
        <w:rFonts w:ascii="Wingdings" w:hAnsi="Wingdings" w:hint="default"/>
      </w:rPr>
    </w:lvl>
    <w:lvl w:ilvl="6" w:tplc="040E000F" w:tentative="1">
      <w:start w:val="1"/>
      <w:numFmt w:val="bullet"/>
      <w:lvlText w:val=""/>
      <w:lvlJc w:val="left"/>
      <w:pPr>
        <w:tabs>
          <w:tab w:val="num" w:pos="5465"/>
        </w:tabs>
        <w:ind w:left="5465" w:hanging="360"/>
      </w:pPr>
      <w:rPr>
        <w:rFonts w:ascii="Symbol" w:hAnsi="Symbol" w:hint="default"/>
      </w:rPr>
    </w:lvl>
    <w:lvl w:ilvl="7" w:tplc="040E0019" w:tentative="1">
      <w:start w:val="1"/>
      <w:numFmt w:val="bullet"/>
      <w:lvlText w:val="o"/>
      <w:lvlJc w:val="left"/>
      <w:pPr>
        <w:tabs>
          <w:tab w:val="num" w:pos="6185"/>
        </w:tabs>
        <w:ind w:left="6185" w:hanging="360"/>
      </w:pPr>
      <w:rPr>
        <w:rFonts w:ascii="Courier New" w:hAnsi="Courier New" w:hint="default"/>
      </w:rPr>
    </w:lvl>
    <w:lvl w:ilvl="8" w:tplc="040E001B" w:tentative="1">
      <w:start w:val="1"/>
      <w:numFmt w:val="bullet"/>
      <w:lvlText w:val=""/>
      <w:lvlJc w:val="left"/>
      <w:pPr>
        <w:tabs>
          <w:tab w:val="num" w:pos="6905"/>
        </w:tabs>
        <w:ind w:left="6905" w:hanging="360"/>
      </w:pPr>
      <w:rPr>
        <w:rFonts w:ascii="Wingdings" w:hAnsi="Wingdings" w:hint="default"/>
      </w:rPr>
    </w:lvl>
  </w:abstractNum>
  <w:abstractNum w:abstractNumId="3">
    <w:nsid w:val="11436220"/>
    <w:multiLevelType w:val="hybridMultilevel"/>
    <w:tmpl w:val="7CF06B0A"/>
    <w:lvl w:ilvl="0" w:tplc="040E0001">
      <w:start w:val="1"/>
      <w:numFmt w:val="bullet"/>
      <w:lvlText w:val=""/>
      <w:lvlJc w:val="left"/>
      <w:pPr>
        <w:ind w:left="1353" w:hanging="360"/>
      </w:pPr>
      <w:rPr>
        <w:rFonts w:ascii="Symbol" w:hAnsi="Symbo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4">
    <w:nsid w:val="13777BD7"/>
    <w:multiLevelType w:val="multilevel"/>
    <w:tmpl w:val="B7A4A9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7D29B2"/>
    <w:multiLevelType w:val="hybridMultilevel"/>
    <w:tmpl w:val="FDEE60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1D1142"/>
    <w:multiLevelType w:val="hybridMultilevel"/>
    <w:tmpl w:val="88CA16A2"/>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7">
    <w:nsid w:val="22AE2ECA"/>
    <w:multiLevelType w:val="multilevel"/>
    <w:tmpl w:val="B7A4A9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A76C98"/>
    <w:multiLevelType w:val="hybridMultilevel"/>
    <w:tmpl w:val="970C3DA8"/>
    <w:lvl w:ilvl="0" w:tplc="040E0017">
      <w:start w:val="1"/>
      <w:numFmt w:val="lowerLetter"/>
      <w:lvlText w:val="%1)"/>
      <w:lvlJc w:val="left"/>
      <w:pPr>
        <w:ind w:left="720" w:hanging="360"/>
      </w:pPr>
      <w:rPr>
        <w:rFonts w:hint="default"/>
        <w:color w:val="000000"/>
        <w:sz w:val="24"/>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nsid w:val="29235186"/>
    <w:multiLevelType w:val="hybridMultilevel"/>
    <w:tmpl w:val="716A558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0">
    <w:nsid w:val="3C68290D"/>
    <w:multiLevelType w:val="hybridMultilevel"/>
    <w:tmpl w:val="E10AE512"/>
    <w:lvl w:ilvl="0" w:tplc="EA64A00E">
      <w:start w:val="5"/>
      <w:numFmt w:val="lowerLetter"/>
      <w:lvlText w:val="%1)"/>
      <w:lvlJc w:val="left"/>
      <w:pPr>
        <w:tabs>
          <w:tab w:val="num" w:pos="644"/>
        </w:tabs>
        <w:ind w:left="644" w:hanging="360"/>
      </w:pPr>
    </w:lvl>
    <w:lvl w:ilvl="1" w:tplc="040E0019">
      <w:start w:val="1"/>
      <w:numFmt w:val="lowerLetter"/>
      <w:lvlText w:val="%2."/>
      <w:lvlJc w:val="left"/>
      <w:pPr>
        <w:tabs>
          <w:tab w:val="num" w:pos="1364"/>
        </w:tabs>
        <w:ind w:left="1364" w:hanging="360"/>
      </w:pPr>
    </w:lvl>
    <w:lvl w:ilvl="2" w:tplc="040E001B">
      <w:start w:val="1"/>
      <w:numFmt w:val="lowerRoman"/>
      <w:lvlText w:val="%3."/>
      <w:lvlJc w:val="right"/>
      <w:pPr>
        <w:tabs>
          <w:tab w:val="num" w:pos="2084"/>
        </w:tabs>
        <w:ind w:left="2084" w:hanging="180"/>
      </w:pPr>
    </w:lvl>
    <w:lvl w:ilvl="3" w:tplc="040E000F">
      <w:start w:val="1"/>
      <w:numFmt w:val="decimal"/>
      <w:lvlText w:val="%4."/>
      <w:lvlJc w:val="left"/>
      <w:pPr>
        <w:tabs>
          <w:tab w:val="num" w:pos="2804"/>
        </w:tabs>
        <w:ind w:left="2804" w:hanging="360"/>
      </w:pPr>
    </w:lvl>
    <w:lvl w:ilvl="4" w:tplc="040E0019">
      <w:start w:val="1"/>
      <w:numFmt w:val="lowerLetter"/>
      <w:lvlText w:val="%5."/>
      <w:lvlJc w:val="left"/>
      <w:pPr>
        <w:tabs>
          <w:tab w:val="num" w:pos="3524"/>
        </w:tabs>
        <w:ind w:left="3524" w:hanging="360"/>
      </w:pPr>
    </w:lvl>
    <w:lvl w:ilvl="5" w:tplc="040E001B">
      <w:start w:val="1"/>
      <w:numFmt w:val="lowerRoman"/>
      <w:lvlText w:val="%6."/>
      <w:lvlJc w:val="right"/>
      <w:pPr>
        <w:tabs>
          <w:tab w:val="num" w:pos="4244"/>
        </w:tabs>
        <w:ind w:left="4244" w:hanging="180"/>
      </w:pPr>
    </w:lvl>
    <w:lvl w:ilvl="6" w:tplc="040E000F">
      <w:start w:val="1"/>
      <w:numFmt w:val="decimal"/>
      <w:lvlText w:val="%7."/>
      <w:lvlJc w:val="left"/>
      <w:pPr>
        <w:tabs>
          <w:tab w:val="num" w:pos="4964"/>
        </w:tabs>
        <w:ind w:left="4964" w:hanging="360"/>
      </w:pPr>
    </w:lvl>
    <w:lvl w:ilvl="7" w:tplc="040E0019">
      <w:start w:val="1"/>
      <w:numFmt w:val="lowerLetter"/>
      <w:lvlText w:val="%8."/>
      <w:lvlJc w:val="left"/>
      <w:pPr>
        <w:tabs>
          <w:tab w:val="num" w:pos="5684"/>
        </w:tabs>
        <w:ind w:left="5684" w:hanging="360"/>
      </w:pPr>
    </w:lvl>
    <w:lvl w:ilvl="8" w:tplc="040E001B">
      <w:start w:val="1"/>
      <w:numFmt w:val="lowerRoman"/>
      <w:lvlText w:val="%9."/>
      <w:lvlJc w:val="right"/>
      <w:pPr>
        <w:tabs>
          <w:tab w:val="num" w:pos="6404"/>
        </w:tabs>
        <w:ind w:left="6404" w:hanging="180"/>
      </w:pPr>
    </w:lvl>
  </w:abstractNum>
  <w:abstractNum w:abstractNumId="11">
    <w:nsid w:val="3DA350B9"/>
    <w:multiLevelType w:val="hybridMultilevel"/>
    <w:tmpl w:val="1CCCFFD6"/>
    <w:lvl w:ilvl="0" w:tplc="F5F435DE">
      <w:start w:val="1"/>
      <w:numFmt w:val="bullet"/>
      <w:lvlText w:val=""/>
      <w:lvlJc w:val="left"/>
      <w:pPr>
        <w:ind w:left="720" w:hanging="360"/>
      </w:pPr>
      <w:rPr>
        <w:rFonts w:ascii="Wingdings" w:hAnsi="Wingdings"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2">
    <w:nsid w:val="405C46F3"/>
    <w:multiLevelType w:val="multilevel"/>
    <w:tmpl w:val="B7A4A9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D52E33"/>
    <w:multiLevelType w:val="hybridMultilevel"/>
    <w:tmpl w:val="3BC6A9FA"/>
    <w:lvl w:ilvl="0" w:tplc="7FC8BEE4">
      <w:start w:val="1"/>
      <w:numFmt w:val="lowerLetter"/>
      <w:lvlText w:val="%1)"/>
      <w:lvlJc w:val="left"/>
      <w:pPr>
        <w:ind w:left="1353" w:hanging="360"/>
      </w:pPr>
      <w:rPr>
        <w:rFonts w:hint="default"/>
      </w:rPr>
    </w:lvl>
    <w:lvl w:ilvl="1" w:tplc="A4421BC0">
      <w:start w:val="1"/>
      <w:numFmt w:val="bullet"/>
      <w:lvlText w:val=""/>
      <w:lvlJc w:val="left"/>
      <w:pPr>
        <w:ind w:left="1637" w:hanging="360"/>
      </w:pPr>
      <w:rPr>
        <w:rFonts w:ascii="Symbol" w:hAnsi="Symbol" w:hint="default"/>
      </w:rPr>
    </w:lvl>
    <w:lvl w:ilvl="2" w:tplc="0AB66D28" w:tentative="1">
      <w:start w:val="1"/>
      <w:numFmt w:val="lowerRoman"/>
      <w:lvlText w:val="%3."/>
      <w:lvlJc w:val="right"/>
      <w:pPr>
        <w:ind w:left="2793" w:hanging="180"/>
      </w:pPr>
    </w:lvl>
    <w:lvl w:ilvl="3" w:tplc="1E4A56CA" w:tentative="1">
      <w:start w:val="1"/>
      <w:numFmt w:val="decimal"/>
      <w:lvlText w:val="%4."/>
      <w:lvlJc w:val="left"/>
      <w:pPr>
        <w:ind w:left="3513" w:hanging="360"/>
      </w:pPr>
    </w:lvl>
    <w:lvl w:ilvl="4" w:tplc="FD1E22B4" w:tentative="1">
      <w:start w:val="1"/>
      <w:numFmt w:val="lowerLetter"/>
      <w:lvlText w:val="%5."/>
      <w:lvlJc w:val="left"/>
      <w:pPr>
        <w:ind w:left="4233" w:hanging="360"/>
      </w:pPr>
    </w:lvl>
    <w:lvl w:ilvl="5" w:tplc="BE206B4C" w:tentative="1">
      <w:start w:val="1"/>
      <w:numFmt w:val="lowerRoman"/>
      <w:lvlText w:val="%6."/>
      <w:lvlJc w:val="right"/>
      <w:pPr>
        <w:ind w:left="4953" w:hanging="180"/>
      </w:pPr>
    </w:lvl>
    <w:lvl w:ilvl="6" w:tplc="B956BF66" w:tentative="1">
      <w:start w:val="1"/>
      <w:numFmt w:val="decimal"/>
      <w:lvlText w:val="%7."/>
      <w:lvlJc w:val="left"/>
      <w:pPr>
        <w:ind w:left="5673" w:hanging="360"/>
      </w:pPr>
    </w:lvl>
    <w:lvl w:ilvl="7" w:tplc="262608C4" w:tentative="1">
      <w:start w:val="1"/>
      <w:numFmt w:val="lowerLetter"/>
      <w:lvlText w:val="%8."/>
      <w:lvlJc w:val="left"/>
      <w:pPr>
        <w:ind w:left="6393" w:hanging="360"/>
      </w:pPr>
    </w:lvl>
    <w:lvl w:ilvl="8" w:tplc="9CE2EFD8" w:tentative="1">
      <w:start w:val="1"/>
      <w:numFmt w:val="lowerRoman"/>
      <w:lvlText w:val="%9."/>
      <w:lvlJc w:val="right"/>
      <w:pPr>
        <w:ind w:left="7113" w:hanging="180"/>
      </w:pPr>
    </w:lvl>
  </w:abstractNum>
  <w:abstractNum w:abstractNumId="14">
    <w:nsid w:val="462C4F10"/>
    <w:multiLevelType w:val="hybridMultilevel"/>
    <w:tmpl w:val="9EE41222"/>
    <w:lvl w:ilvl="0" w:tplc="A732BCD2">
      <w:start w:val="1"/>
      <w:numFmt w:val="bullet"/>
      <w:lvlText w:val=""/>
      <w:lvlJc w:val="left"/>
      <w:pPr>
        <w:ind w:left="1146" w:hanging="360"/>
      </w:pPr>
      <w:rPr>
        <w:rFonts w:ascii="Symbol" w:hAnsi="Symbol" w:hint="default"/>
      </w:rPr>
    </w:lvl>
    <w:lvl w:ilvl="1" w:tplc="54B87FBA" w:tentative="1">
      <w:start w:val="1"/>
      <w:numFmt w:val="bullet"/>
      <w:lvlText w:val="o"/>
      <w:lvlJc w:val="left"/>
      <w:pPr>
        <w:ind w:left="1866" w:hanging="360"/>
      </w:pPr>
      <w:rPr>
        <w:rFonts w:ascii="Courier New" w:hAnsi="Courier New" w:cs="Courier New" w:hint="default"/>
      </w:rPr>
    </w:lvl>
    <w:lvl w:ilvl="2" w:tplc="60003386" w:tentative="1">
      <w:start w:val="1"/>
      <w:numFmt w:val="bullet"/>
      <w:lvlText w:val=""/>
      <w:lvlJc w:val="left"/>
      <w:pPr>
        <w:ind w:left="2586" w:hanging="360"/>
      </w:pPr>
      <w:rPr>
        <w:rFonts w:ascii="Wingdings" w:hAnsi="Wingdings" w:hint="default"/>
      </w:rPr>
    </w:lvl>
    <w:lvl w:ilvl="3" w:tplc="219A9AF6" w:tentative="1">
      <w:start w:val="1"/>
      <w:numFmt w:val="bullet"/>
      <w:lvlText w:val=""/>
      <w:lvlJc w:val="left"/>
      <w:pPr>
        <w:ind w:left="3306" w:hanging="360"/>
      </w:pPr>
      <w:rPr>
        <w:rFonts w:ascii="Symbol" w:hAnsi="Symbol" w:hint="default"/>
      </w:rPr>
    </w:lvl>
    <w:lvl w:ilvl="4" w:tplc="3D8C84F8" w:tentative="1">
      <w:start w:val="1"/>
      <w:numFmt w:val="bullet"/>
      <w:lvlText w:val="o"/>
      <w:lvlJc w:val="left"/>
      <w:pPr>
        <w:ind w:left="4026" w:hanging="360"/>
      </w:pPr>
      <w:rPr>
        <w:rFonts w:ascii="Courier New" w:hAnsi="Courier New" w:cs="Courier New" w:hint="default"/>
      </w:rPr>
    </w:lvl>
    <w:lvl w:ilvl="5" w:tplc="89F858E6" w:tentative="1">
      <w:start w:val="1"/>
      <w:numFmt w:val="bullet"/>
      <w:lvlText w:val=""/>
      <w:lvlJc w:val="left"/>
      <w:pPr>
        <w:ind w:left="4746" w:hanging="360"/>
      </w:pPr>
      <w:rPr>
        <w:rFonts w:ascii="Wingdings" w:hAnsi="Wingdings" w:hint="default"/>
      </w:rPr>
    </w:lvl>
    <w:lvl w:ilvl="6" w:tplc="C62E4B7E" w:tentative="1">
      <w:start w:val="1"/>
      <w:numFmt w:val="bullet"/>
      <w:lvlText w:val=""/>
      <w:lvlJc w:val="left"/>
      <w:pPr>
        <w:ind w:left="5466" w:hanging="360"/>
      </w:pPr>
      <w:rPr>
        <w:rFonts w:ascii="Symbol" w:hAnsi="Symbol" w:hint="default"/>
      </w:rPr>
    </w:lvl>
    <w:lvl w:ilvl="7" w:tplc="80A23100" w:tentative="1">
      <w:start w:val="1"/>
      <w:numFmt w:val="bullet"/>
      <w:lvlText w:val="o"/>
      <w:lvlJc w:val="left"/>
      <w:pPr>
        <w:ind w:left="6186" w:hanging="360"/>
      </w:pPr>
      <w:rPr>
        <w:rFonts w:ascii="Courier New" w:hAnsi="Courier New" w:cs="Courier New" w:hint="default"/>
      </w:rPr>
    </w:lvl>
    <w:lvl w:ilvl="8" w:tplc="293C2FDA" w:tentative="1">
      <w:start w:val="1"/>
      <w:numFmt w:val="bullet"/>
      <w:lvlText w:val=""/>
      <w:lvlJc w:val="left"/>
      <w:pPr>
        <w:ind w:left="6906" w:hanging="360"/>
      </w:pPr>
      <w:rPr>
        <w:rFonts w:ascii="Wingdings" w:hAnsi="Wingdings" w:hint="default"/>
      </w:rPr>
    </w:lvl>
  </w:abstractNum>
  <w:abstractNum w:abstractNumId="15">
    <w:nsid w:val="4B397F59"/>
    <w:multiLevelType w:val="hybridMultilevel"/>
    <w:tmpl w:val="9198EFD8"/>
    <w:lvl w:ilvl="0" w:tplc="82E28450">
      <w:start w:val="1"/>
      <w:numFmt w:val="decimal"/>
      <w:lvlText w:val="%1."/>
      <w:lvlJc w:val="left"/>
      <w:pPr>
        <w:ind w:left="720" w:hanging="360"/>
      </w:pPr>
      <w:rPr>
        <w:rFonts w:ascii="Tahoma" w:hAnsi="Tahoma" w:cs="Tahoma" w:hint="default"/>
        <w:color w:val="auto"/>
        <w:sz w:val="20"/>
      </w:rPr>
    </w:lvl>
    <w:lvl w:ilvl="1" w:tplc="7660D3FA">
      <w:start w:val="1"/>
      <w:numFmt w:val="decimal"/>
      <w:lvlText w:val="%2."/>
      <w:lvlJc w:val="left"/>
      <w:pPr>
        <w:tabs>
          <w:tab w:val="num" w:pos="1440"/>
        </w:tabs>
        <w:ind w:left="1440" w:hanging="360"/>
      </w:pPr>
    </w:lvl>
    <w:lvl w:ilvl="2" w:tplc="BFA491AA">
      <w:start w:val="1"/>
      <w:numFmt w:val="decimal"/>
      <w:lvlText w:val="%3."/>
      <w:lvlJc w:val="left"/>
      <w:pPr>
        <w:tabs>
          <w:tab w:val="num" w:pos="2160"/>
        </w:tabs>
        <w:ind w:left="2160" w:hanging="360"/>
      </w:pPr>
    </w:lvl>
    <w:lvl w:ilvl="3" w:tplc="9B9654D8">
      <w:start w:val="1"/>
      <w:numFmt w:val="decimal"/>
      <w:lvlText w:val="%4."/>
      <w:lvlJc w:val="left"/>
      <w:pPr>
        <w:tabs>
          <w:tab w:val="num" w:pos="2880"/>
        </w:tabs>
        <w:ind w:left="2880" w:hanging="360"/>
      </w:pPr>
    </w:lvl>
    <w:lvl w:ilvl="4" w:tplc="5FD023E6">
      <w:start w:val="1"/>
      <w:numFmt w:val="decimal"/>
      <w:lvlText w:val="%5."/>
      <w:lvlJc w:val="left"/>
      <w:pPr>
        <w:tabs>
          <w:tab w:val="num" w:pos="3600"/>
        </w:tabs>
        <w:ind w:left="3600" w:hanging="360"/>
      </w:pPr>
    </w:lvl>
    <w:lvl w:ilvl="5" w:tplc="A5043A10">
      <w:start w:val="1"/>
      <w:numFmt w:val="decimal"/>
      <w:lvlText w:val="%6."/>
      <w:lvlJc w:val="left"/>
      <w:pPr>
        <w:tabs>
          <w:tab w:val="num" w:pos="4320"/>
        </w:tabs>
        <w:ind w:left="4320" w:hanging="360"/>
      </w:pPr>
    </w:lvl>
    <w:lvl w:ilvl="6" w:tplc="F16C43F6">
      <w:start w:val="1"/>
      <w:numFmt w:val="decimal"/>
      <w:lvlText w:val="%7."/>
      <w:lvlJc w:val="left"/>
      <w:pPr>
        <w:tabs>
          <w:tab w:val="num" w:pos="5040"/>
        </w:tabs>
        <w:ind w:left="5040" w:hanging="360"/>
      </w:pPr>
    </w:lvl>
    <w:lvl w:ilvl="7" w:tplc="B36EFDF4">
      <w:start w:val="1"/>
      <w:numFmt w:val="decimal"/>
      <w:lvlText w:val="%8."/>
      <w:lvlJc w:val="left"/>
      <w:pPr>
        <w:tabs>
          <w:tab w:val="num" w:pos="5760"/>
        </w:tabs>
        <w:ind w:left="5760" w:hanging="360"/>
      </w:pPr>
    </w:lvl>
    <w:lvl w:ilvl="8" w:tplc="FBE65EEA">
      <w:start w:val="1"/>
      <w:numFmt w:val="decimal"/>
      <w:lvlText w:val="%9."/>
      <w:lvlJc w:val="left"/>
      <w:pPr>
        <w:tabs>
          <w:tab w:val="num" w:pos="6480"/>
        </w:tabs>
        <w:ind w:left="6480" w:hanging="360"/>
      </w:pPr>
    </w:lvl>
  </w:abstractNum>
  <w:abstractNum w:abstractNumId="16">
    <w:nsid w:val="4E7E781E"/>
    <w:multiLevelType w:val="multilevel"/>
    <w:tmpl w:val="ABF08296"/>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9C3672"/>
    <w:multiLevelType w:val="hybridMultilevel"/>
    <w:tmpl w:val="ADECEAD8"/>
    <w:lvl w:ilvl="0" w:tplc="7680A630">
      <w:start w:val="1"/>
      <w:numFmt w:val="lowerLetter"/>
      <w:lvlText w:val="%1)"/>
      <w:lvlJc w:val="left"/>
      <w:pPr>
        <w:ind w:left="786" w:hanging="360"/>
      </w:pPr>
      <w:rPr>
        <w:rFonts w:hint="default"/>
      </w:rPr>
    </w:lvl>
    <w:lvl w:ilvl="1" w:tplc="F4D07324" w:tentative="1">
      <w:start w:val="1"/>
      <w:numFmt w:val="lowerLetter"/>
      <w:lvlText w:val="%2."/>
      <w:lvlJc w:val="left"/>
      <w:pPr>
        <w:ind w:left="1506" w:hanging="360"/>
      </w:pPr>
    </w:lvl>
    <w:lvl w:ilvl="2" w:tplc="D092F46C" w:tentative="1">
      <w:start w:val="1"/>
      <w:numFmt w:val="lowerRoman"/>
      <w:lvlText w:val="%3."/>
      <w:lvlJc w:val="right"/>
      <w:pPr>
        <w:ind w:left="2226" w:hanging="180"/>
      </w:pPr>
    </w:lvl>
    <w:lvl w:ilvl="3" w:tplc="6DDE6E52" w:tentative="1">
      <w:start w:val="1"/>
      <w:numFmt w:val="decimal"/>
      <w:lvlText w:val="%4."/>
      <w:lvlJc w:val="left"/>
      <w:pPr>
        <w:ind w:left="2946" w:hanging="360"/>
      </w:pPr>
    </w:lvl>
    <w:lvl w:ilvl="4" w:tplc="C024CCA0" w:tentative="1">
      <w:start w:val="1"/>
      <w:numFmt w:val="lowerLetter"/>
      <w:lvlText w:val="%5."/>
      <w:lvlJc w:val="left"/>
      <w:pPr>
        <w:ind w:left="3666" w:hanging="360"/>
      </w:pPr>
    </w:lvl>
    <w:lvl w:ilvl="5" w:tplc="8B9E9CB6" w:tentative="1">
      <w:start w:val="1"/>
      <w:numFmt w:val="lowerRoman"/>
      <w:lvlText w:val="%6."/>
      <w:lvlJc w:val="right"/>
      <w:pPr>
        <w:ind w:left="4386" w:hanging="180"/>
      </w:pPr>
    </w:lvl>
    <w:lvl w:ilvl="6" w:tplc="71461342" w:tentative="1">
      <w:start w:val="1"/>
      <w:numFmt w:val="decimal"/>
      <w:lvlText w:val="%7."/>
      <w:lvlJc w:val="left"/>
      <w:pPr>
        <w:ind w:left="5106" w:hanging="360"/>
      </w:pPr>
    </w:lvl>
    <w:lvl w:ilvl="7" w:tplc="0858586C" w:tentative="1">
      <w:start w:val="1"/>
      <w:numFmt w:val="lowerLetter"/>
      <w:lvlText w:val="%8."/>
      <w:lvlJc w:val="left"/>
      <w:pPr>
        <w:ind w:left="5826" w:hanging="360"/>
      </w:pPr>
    </w:lvl>
    <w:lvl w:ilvl="8" w:tplc="B0227C52" w:tentative="1">
      <w:start w:val="1"/>
      <w:numFmt w:val="lowerRoman"/>
      <w:lvlText w:val="%9."/>
      <w:lvlJc w:val="right"/>
      <w:pPr>
        <w:ind w:left="6546" w:hanging="180"/>
      </w:pPr>
    </w:lvl>
  </w:abstractNum>
  <w:abstractNum w:abstractNumId="18">
    <w:nsid w:val="662C7F5F"/>
    <w:multiLevelType w:val="hybridMultilevel"/>
    <w:tmpl w:val="82A69CCE"/>
    <w:lvl w:ilvl="0" w:tplc="0958B08C">
      <w:start w:val="1"/>
      <w:numFmt w:val="bullet"/>
      <w:lvlText w:val=""/>
      <w:lvlJc w:val="left"/>
      <w:pPr>
        <w:ind w:left="644" w:hanging="360"/>
      </w:pPr>
      <w:rPr>
        <w:rFonts w:ascii="Symbol" w:hAnsi="Symbol" w:hint="default"/>
      </w:rPr>
    </w:lvl>
    <w:lvl w:ilvl="1" w:tplc="040E0019" w:tentative="1">
      <w:start w:val="1"/>
      <w:numFmt w:val="bullet"/>
      <w:lvlText w:val="o"/>
      <w:lvlJc w:val="left"/>
      <w:pPr>
        <w:ind w:left="2007" w:hanging="360"/>
      </w:pPr>
      <w:rPr>
        <w:rFonts w:ascii="Courier New" w:hAnsi="Courier New" w:cs="Courier New" w:hint="default"/>
      </w:rPr>
    </w:lvl>
    <w:lvl w:ilvl="2" w:tplc="040E001B" w:tentative="1">
      <w:start w:val="1"/>
      <w:numFmt w:val="bullet"/>
      <w:lvlText w:val=""/>
      <w:lvlJc w:val="left"/>
      <w:pPr>
        <w:ind w:left="2727" w:hanging="360"/>
      </w:pPr>
      <w:rPr>
        <w:rFonts w:ascii="Wingdings" w:hAnsi="Wingdings" w:hint="default"/>
      </w:rPr>
    </w:lvl>
    <w:lvl w:ilvl="3" w:tplc="040E000F" w:tentative="1">
      <w:start w:val="1"/>
      <w:numFmt w:val="bullet"/>
      <w:lvlText w:val=""/>
      <w:lvlJc w:val="left"/>
      <w:pPr>
        <w:ind w:left="3447" w:hanging="360"/>
      </w:pPr>
      <w:rPr>
        <w:rFonts w:ascii="Symbol" w:hAnsi="Symbol" w:hint="default"/>
      </w:rPr>
    </w:lvl>
    <w:lvl w:ilvl="4" w:tplc="040E0019" w:tentative="1">
      <w:start w:val="1"/>
      <w:numFmt w:val="bullet"/>
      <w:lvlText w:val="o"/>
      <w:lvlJc w:val="left"/>
      <w:pPr>
        <w:ind w:left="4167" w:hanging="360"/>
      </w:pPr>
      <w:rPr>
        <w:rFonts w:ascii="Courier New" w:hAnsi="Courier New" w:cs="Courier New" w:hint="default"/>
      </w:rPr>
    </w:lvl>
    <w:lvl w:ilvl="5" w:tplc="040E001B" w:tentative="1">
      <w:start w:val="1"/>
      <w:numFmt w:val="bullet"/>
      <w:lvlText w:val=""/>
      <w:lvlJc w:val="left"/>
      <w:pPr>
        <w:ind w:left="4887" w:hanging="360"/>
      </w:pPr>
      <w:rPr>
        <w:rFonts w:ascii="Wingdings" w:hAnsi="Wingdings" w:hint="default"/>
      </w:rPr>
    </w:lvl>
    <w:lvl w:ilvl="6" w:tplc="040E000F" w:tentative="1">
      <w:start w:val="1"/>
      <w:numFmt w:val="bullet"/>
      <w:lvlText w:val=""/>
      <w:lvlJc w:val="left"/>
      <w:pPr>
        <w:ind w:left="5607" w:hanging="360"/>
      </w:pPr>
      <w:rPr>
        <w:rFonts w:ascii="Symbol" w:hAnsi="Symbol" w:hint="default"/>
      </w:rPr>
    </w:lvl>
    <w:lvl w:ilvl="7" w:tplc="040E0019" w:tentative="1">
      <w:start w:val="1"/>
      <w:numFmt w:val="bullet"/>
      <w:lvlText w:val="o"/>
      <w:lvlJc w:val="left"/>
      <w:pPr>
        <w:ind w:left="6327" w:hanging="360"/>
      </w:pPr>
      <w:rPr>
        <w:rFonts w:ascii="Courier New" w:hAnsi="Courier New" w:cs="Courier New" w:hint="default"/>
      </w:rPr>
    </w:lvl>
    <w:lvl w:ilvl="8" w:tplc="040E001B" w:tentative="1">
      <w:start w:val="1"/>
      <w:numFmt w:val="bullet"/>
      <w:lvlText w:val=""/>
      <w:lvlJc w:val="left"/>
      <w:pPr>
        <w:ind w:left="7047" w:hanging="360"/>
      </w:pPr>
      <w:rPr>
        <w:rFonts w:ascii="Wingdings" w:hAnsi="Wingdings" w:hint="default"/>
      </w:rPr>
    </w:lvl>
  </w:abstractNum>
  <w:abstractNum w:abstractNumId="19">
    <w:nsid w:val="69775A5A"/>
    <w:multiLevelType w:val="hybridMultilevel"/>
    <w:tmpl w:val="8F4A7682"/>
    <w:lvl w:ilvl="0" w:tplc="7444C8F6">
      <w:start w:val="1"/>
      <w:numFmt w:val="bullet"/>
      <w:lvlText w:val=""/>
      <w:lvlJc w:val="left"/>
      <w:pPr>
        <w:ind w:left="927" w:hanging="360"/>
      </w:pPr>
      <w:rPr>
        <w:rFonts w:ascii="Symbol" w:hAnsi="Symbol" w:hint="default"/>
      </w:rPr>
    </w:lvl>
    <w:lvl w:ilvl="1" w:tplc="405427E0">
      <w:numFmt w:val="bullet"/>
      <w:lvlText w:val="-"/>
      <w:lvlJc w:val="left"/>
      <w:pPr>
        <w:ind w:left="1647" w:hanging="360"/>
      </w:pPr>
      <w:rPr>
        <w:rFonts w:ascii="Arial" w:eastAsia="Calibri" w:hAnsi="Arial" w:hint="default"/>
      </w:rPr>
    </w:lvl>
    <w:lvl w:ilvl="2" w:tplc="46BAE140" w:tentative="1">
      <w:start w:val="1"/>
      <w:numFmt w:val="lowerRoman"/>
      <w:lvlText w:val="%3."/>
      <w:lvlJc w:val="right"/>
      <w:pPr>
        <w:ind w:left="2367" w:hanging="180"/>
      </w:pPr>
    </w:lvl>
    <w:lvl w:ilvl="3" w:tplc="FD5C4C8A" w:tentative="1">
      <w:start w:val="1"/>
      <w:numFmt w:val="decimal"/>
      <w:lvlText w:val="%4."/>
      <w:lvlJc w:val="left"/>
      <w:pPr>
        <w:ind w:left="3087" w:hanging="360"/>
      </w:pPr>
    </w:lvl>
    <w:lvl w:ilvl="4" w:tplc="C246754C" w:tentative="1">
      <w:start w:val="1"/>
      <w:numFmt w:val="lowerLetter"/>
      <w:lvlText w:val="%5."/>
      <w:lvlJc w:val="left"/>
      <w:pPr>
        <w:ind w:left="3807" w:hanging="360"/>
      </w:pPr>
    </w:lvl>
    <w:lvl w:ilvl="5" w:tplc="4D588D8C" w:tentative="1">
      <w:start w:val="1"/>
      <w:numFmt w:val="lowerRoman"/>
      <w:lvlText w:val="%6."/>
      <w:lvlJc w:val="right"/>
      <w:pPr>
        <w:ind w:left="4527" w:hanging="180"/>
      </w:pPr>
    </w:lvl>
    <w:lvl w:ilvl="6" w:tplc="9B2ED7DA" w:tentative="1">
      <w:start w:val="1"/>
      <w:numFmt w:val="decimal"/>
      <w:lvlText w:val="%7."/>
      <w:lvlJc w:val="left"/>
      <w:pPr>
        <w:ind w:left="5247" w:hanging="360"/>
      </w:pPr>
    </w:lvl>
    <w:lvl w:ilvl="7" w:tplc="6528445E" w:tentative="1">
      <w:start w:val="1"/>
      <w:numFmt w:val="lowerLetter"/>
      <w:lvlText w:val="%8."/>
      <w:lvlJc w:val="left"/>
      <w:pPr>
        <w:ind w:left="5967" w:hanging="360"/>
      </w:pPr>
    </w:lvl>
    <w:lvl w:ilvl="8" w:tplc="470C0EBE" w:tentative="1">
      <w:start w:val="1"/>
      <w:numFmt w:val="lowerRoman"/>
      <w:lvlText w:val="%9."/>
      <w:lvlJc w:val="right"/>
      <w:pPr>
        <w:ind w:left="6687" w:hanging="180"/>
      </w:pPr>
    </w:lvl>
  </w:abstractNum>
  <w:abstractNum w:abstractNumId="20">
    <w:nsid w:val="706D66EC"/>
    <w:multiLevelType w:val="multilevel"/>
    <w:tmpl w:val="7DF0FC4E"/>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F5686A"/>
    <w:multiLevelType w:val="hybridMultilevel"/>
    <w:tmpl w:val="033C983E"/>
    <w:lvl w:ilvl="0" w:tplc="5860C260">
      <w:start w:val="1"/>
      <w:numFmt w:val="bullet"/>
      <w:pStyle w:val="Lista2"/>
      <w:lvlText w:val=""/>
      <w:lvlJc w:val="left"/>
      <w:pPr>
        <w:tabs>
          <w:tab w:val="num" w:pos="720"/>
        </w:tabs>
        <w:ind w:left="720" w:hanging="360"/>
      </w:pPr>
      <w:rPr>
        <w:rFonts w:ascii="Symbol" w:hAnsi="Symbol" w:hint="default"/>
      </w:rPr>
    </w:lvl>
    <w:lvl w:ilvl="1" w:tplc="4F6A2496" w:tentative="1">
      <w:start w:val="1"/>
      <w:numFmt w:val="bullet"/>
      <w:lvlText w:val="o"/>
      <w:lvlJc w:val="left"/>
      <w:pPr>
        <w:tabs>
          <w:tab w:val="num" w:pos="1440"/>
        </w:tabs>
        <w:ind w:left="1440" w:hanging="360"/>
      </w:pPr>
      <w:rPr>
        <w:rFonts w:ascii="Courier New" w:hAnsi="Courier New" w:hint="default"/>
      </w:rPr>
    </w:lvl>
    <w:lvl w:ilvl="2" w:tplc="02D89980" w:tentative="1">
      <w:start w:val="1"/>
      <w:numFmt w:val="bullet"/>
      <w:lvlText w:val=""/>
      <w:lvlJc w:val="left"/>
      <w:pPr>
        <w:tabs>
          <w:tab w:val="num" w:pos="2160"/>
        </w:tabs>
        <w:ind w:left="2160" w:hanging="360"/>
      </w:pPr>
      <w:rPr>
        <w:rFonts w:ascii="Wingdings" w:hAnsi="Wingdings" w:hint="default"/>
      </w:rPr>
    </w:lvl>
    <w:lvl w:ilvl="3" w:tplc="68922996" w:tentative="1">
      <w:start w:val="1"/>
      <w:numFmt w:val="bullet"/>
      <w:lvlText w:val=""/>
      <w:lvlJc w:val="left"/>
      <w:pPr>
        <w:tabs>
          <w:tab w:val="num" w:pos="2880"/>
        </w:tabs>
        <w:ind w:left="2880" w:hanging="360"/>
      </w:pPr>
      <w:rPr>
        <w:rFonts w:ascii="Symbol" w:hAnsi="Symbol" w:hint="default"/>
      </w:rPr>
    </w:lvl>
    <w:lvl w:ilvl="4" w:tplc="DE1ECBEA" w:tentative="1">
      <w:start w:val="1"/>
      <w:numFmt w:val="bullet"/>
      <w:lvlText w:val="o"/>
      <w:lvlJc w:val="left"/>
      <w:pPr>
        <w:tabs>
          <w:tab w:val="num" w:pos="3600"/>
        </w:tabs>
        <w:ind w:left="3600" w:hanging="360"/>
      </w:pPr>
      <w:rPr>
        <w:rFonts w:ascii="Courier New" w:hAnsi="Courier New" w:hint="default"/>
      </w:rPr>
    </w:lvl>
    <w:lvl w:ilvl="5" w:tplc="8EE8DB36" w:tentative="1">
      <w:start w:val="1"/>
      <w:numFmt w:val="bullet"/>
      <w:lvlText w:val=""/>
      <w:lvlJc w:val="left"/>
      <w:pPr>
        <w:tabs>
          <w:tab w:val="num" w:pos="4320"/>
        </w:tabs>
        <w:ind w:left="4320" w:hanging="360"/>
      </w:pPr>
      <w:rPr>
        <w:rFonts w:ascii="Wingdings" w:hAnsi="Wingdings" w:hint="default"/>
      </w:rPr>
    </w:lvl>
    <w:lvl w:ilvl="6" w:tplc="4FE8EBC8" w:tentative="1">
      <w:start w:val="1"/>
      <w:numFmt w:val="bullet"/>
      <w:lvlText w:val=""/>
      <w:lvlJc w:val="left"/>
      <w:pPr>
        <w:tabs>
          <w:tab w:val="num" w:pos="5040"/>
        </w:tabs>
        <w:ind w:left="5040" w:hanging="360"/>
      </w:pPr>
      <w:rPr>
        <w:rFonts w:ascii="Symbol" w:hAnsi="Symbol" w:hint="default"/>
      </w:rPr>
    </w:lvl>
    <w:lvl w:ilvl="7" w:tplc="0B26FB6C" w:tentative="1">
      <w:start w:val="1"/>
      <w:numFmt w:val="bullet"/>
      <w:lvlText w:val="o"/>
      <w:lvlJc w:val="left"/>
      <w:pPr>
        <w:tabs>
          <w:tab w:val="num" w:pos="5760"/>
        </w:tabs>
        <w:ind w:left="5760" w:hanging="360"/>
      </w:pPr>
      <w:rPr>
        <w:rFonts w:ascii="Courier New" w:hAnsi="Courier New" w:hint="default"/>
      </w:rPr>
    </w:lvl>
    <w:lvl w:ilvl="8" w:tplc="0B66C8A0" w:tentative="1">
      <w:start w:val="1"/>
      <w:numFmt w:val="bullet"/>
      <w:lvlText w:val=""/>
      <w:lvlJc w:val="left"/>
      <w:pPr>
        <w:tabs>
          <w:tab w:val="num" w:pos="6480"/>
        </w:tabs>
        <w:ind w:left="6480" w:hanging="360"/>
      </w:pPr>
      <w:rPr>
        <w:rFonts w:ascii="Wingdings" w:hAnsi="Wingdings" w:hint="default"/>
      </w:rPr>
    </w:lvl>
  </w:abstractNum>
  <w:abstractNum w:abstractNumId="22">
    <w:nsid w:val="75F34ABE"/>
    <w:multiLevelType w:val="multilevel"/>
    <w:tmpl w:val="FC2A6492"/>
    <w:lvl w:ilvl="0">
      <w:start w:val="1"/>
      <w:numFmt w:val="upperRoman"/>
      <w:lvlText w:val="%1."/>
      <w:lvlJc w:val="left"/>
      <w:pPr>
        <w:ind w:left="1080" w:hanging="720"/>
      </w:pPr>
      <w:rPr>
        <w:rFonts w:cs="Arial" w:hint="default"/>
      </w:rPr>
    </w:lvl>
    <w:lvl w:ilvl="1">
      <w:start w:val="1"/>
      <w:numFmt w:val="decimal"/>
      <w:isLgl/>
      <w:lvlText w:val="%1.%2."/>
      <w:lvlJc w:val="left"/>
      <w:pPr>
        <w:ind w:left="4613"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042D1D"/>
    <w:multiLevelType w:val="hybridMultilevel"/>
    <w:tmpl w:val="B9F2E81E"/>
    <w:lvl w:ilvl="0" w:tplc="CBF0760A">
      <w:start w:val="3"/>
      <w:numFmt w:val="lowerLetter"/>
      <w:lvlText w:val="%1)"/>
      <w:lvlJc w:val="left"/>
      <w:pPr>
        <w:tabs>
          <w:tab w:val="num" w:pos="704"/>
        </w:tabs>
        <w:ind w:left="704" w:hanging="420"/>
      </w:pPr>
    </w:lvl>
    <w:lvl w:ilvl="1" w:tplc="FF24C060">
      <w:start w:val="1"/>
      <w:numFmt w:val="lowerLetter"/>
      <w:lvlText w:val="%2."/>
      <w:lvlJc w:val="left"/>
      <w:pPr>
        <w:tabs>
          <w:tab w:val="num" w:pos="1364"/>
        </w:tabs>
        <w:ind w:left="1364" w:hanging="360"/>
      </w:pPr>
    </w:lvl>
    <w:lvl w:ilvl="2" w:tplc="D1D442D6">
      <w:start w:val="1"/>
      <w:numFmt w:val="lowerRoman"/>
      <w:lvlText w:val="%3."/>
      <w:lvlJc w:val="right"/>
      <w:pPr>
        <w:tabs>
          <w:tab w:val="num" w:pos="2084"/>
        </w:tabs>
        <w:ind w:left="2084" w:hanging="180"/>
      </w:pPr>
    </w:lvl>
    <w:lvl w:ilvl="3" w:tplc="73BEDE46">
      <w:start w:val="1"/>
      <w:numFmt w:val="decimal"/>
      <w:lvlText w:val="%4."/>
      <w:lvlJc w:val="left"/>
      <w:pPr>
        <w:tabs>
          <w:tab w:val="num" w:pos="2804"/>
        </w:tabs>
        <w:ind w:left="2804" w:hanging="360"/>
      </w:pPr>
    </w:lvl>
    <w:lvl w:ilvl="4" w:tplc="D35633BC">
      <w:start w:val="1"/>
      <w:numFmt w:val="lowerLetter"/>
      <w:lvlText w:val="%5."/>
      <w:lvlJc w:val="left"/>
      <w:pPr>
        <w:tabs>
          <w:tab w:val="num" w:pos="3524"/>
        </w:tabs>
        <w:ind w:left="3524" w:hanging="360"/>
      </w:pPr>
    </w:lvl>
    <w:lvl w:ilvl="5" w:tplc="37FC12E4">
      <w:start w:val="1"/>
      <w:numFmt w:val="lowerRoman"/>
      <w:lvlText w:val="%6."/>
      <w:lvlJc w:val="right"/>
      <w:pPr>
        <w:tabs>
          <w:tab w:val="num" w:pos="4244"/>
        </w:tabs>
        <w:ind w:left="4244" w:hanging="180"/>
      </w:pPr>
    </w:lvl>
    <w:lvl w:ilvl="6" w:tplc="FFB08AF8">
      <w:start w:val="1"/>
      <w:numFmt w:val="decimal"/>
      <w:lvlText w:val="%7."/>
      <w:lvlJc w:val="left"/>
      <w:pPr>
        <w:tabs>
          <w:tab w:val="num" w:pos="4964"/>
        </w:tabs>
        <w:ind w:left="4964" w:hanging="360"/>
      </w:pPr>
    </w:lvl>
    <w:lvl w:ilvl="7" w:tplc="B5FE4F1A">
      <w:start w:val="1"/>
      <w:numFmt w:val="lowerLetter"/>
      <w:lvlText w:val="%8."/>
      <w:lvlJc w:val="left"/>
      <w:pPr>
        <w:tabs>
          <w:tab w:val="num" w:pos="5684"/>
        </w:tabs>
        <w:ind w:left="5684" w:hanging="360"/>
      </w:pPr>
    </w:lvl>
    <w:lvl w:ilvl="8" w:tplc="26CCB418">
      <w:start w:val="1"/>
      <w:numFmt w:val="lowerRoman"/>
      <w:lvlText w:val="%9."/>
      <w:lvlJc w:val="right"/>
      <w:pPr>
        <w:tabs>
          <w:tab w:val="num" w:pos="6404"/>
        </w:tabs>
        <w:ind w:left="6404" w:hanging="180"/>
      </w:pPr>
    </w:lvl>
  </w:abstractNum>
  <w:abstractNum w:abstractNumId="24">
    <w:nsid w:val="7F0819BB"/>
    <w:multiLevelType w:val="hybridMultilevel"/>
    <w:tmpl w:val="9DC878EC"/>
    <w:lvl w:ilvl="0" w:tplc="3BE65798">
      <w:start w:val="1"/>
      <w:numFmt w:val="lowerLetter"/>
      <w:lvlText w:val="%1)"/>
      <w:lvlJc w:val="left"/>
      <w:pPr>
        <w:tabs>
          <w:tab w:val="num" w:pos="785"/>
        </w:tabs>
        <w:ind w:left="785" w:hanging="360"/>
      </w:pPr>
      <w:rPr>
        <w:rFonts w:hint="default"/>
        <w:caps w:val="0"/>
        <w:strike w:val="0"/>
        <w:dstrike w:val="0"/>
        <w:vanish w:val="0"/>
        <w:u w:val="none"/>
        <w:vertAlign w:val="baseli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4"/>
  </w:num>
  <w:num w:numId="4">
    <w:abstractNumId w:val="2"/>
  </w:num>
  <w:num w:numId="5">
    <w:abstractNumId w:val="12"/>
  </w:num>
  <w:num w:numId="6">
    <w:abstractNumId w:val="22"/>
  </w:num>
  <w:num w:numId="7">
    <w:abstractNumId w:val="11"/>
  </w:num>
  <w:num w:numId="8">
    <w:abstractNumId w:val="8"/>
  </w:num>
  <w:num w:numId="9">
    <w:abstractNumId w:val="17"/>
  </w:num>
  <w:num w:numId="10">
    <w:abstractNumId w:val="13"/>
  </w:num>
  <w:num w:numId="11">
    <w:abstractNumId w:val="6"/>
  </w:num>
  <w:num w:numId="12">
    <w:abstractNumId w:val="9"/>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18"/>
  </w:num>
  <w:num w:numId="21">
    <w:abstractNumId w:val="1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2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D26D7"/>
    <w:rsid w:val="00040060"/>
    <w:rsid w:val="000C7C05"/>
    <w:rsid w:val="000D2696"/>
    <w:rsid w:val="001C00F8"/>
    <w:rsid w:val="002C14DE"/>
    <w:rsid w:val="00300A79"/>
    <w:rsid w:val="00316D07"/>
    <w:rsid w:val="00350524"/>
    <w:rsid w:val="0050601F"/>
    <w:rsid w:val="00553078"/>
    <w:rsid w:val="005C301C"/>
    <w:rsid w:val="0070529B"/>
    <w:rsid w:val="007532A9"/>
    <w:rsid w:val="00792573"/>
    <w:rsid w:val="008028AE"/>
    <w:rsid w:val="00850C55"/>
    <w:rsid w:val="00851E2F"/>
    <w:rsid w:val="008526F3"/>
    <w:rsid w:val="008A489A"/>
    <w:rsid w:val="008C2385"/>
    <w:rsid w:val="0090511F"/>
    <w:rsid w:val="009277E7"/>
    <w:rsid w:val="009B08F0"/>
    <w:rsid w:val="00A71BC4"/>
    <w:rsid w:val="00A75BFE"/>
    <w:rsid w:val="00AB112F"/>
    <w:rsid w:val="00AD26D7"/>
    <w:rsid w:val="00B15329"/>
    <w:rsid w:val="00B659DA"/>
    <w:rsid w:val="00B83927"/>
    <w:rsid w:val="00B84BB0"/>
    <w:rsid w:val="00C03AEC"/>
    <w:rsid w:val="00C062AF"/>
    <w:rsid w:val="00C17501"/>
    <w:rsid w:val="00C6286B"/>
    <w:rsid w:val="00C80678"/>
    <w:rsid w:val="00CC4DEA"/>
    <w:rsid w:val="00CE57C8"/>
    <w:rsid w:val="00D04D9C"/>
    <w:rsid w:val="00D33BF8"/>
    <w:rsid w:val="00D40E5D"/>
    <w:rsid w:val="00D50B13"/>
    <w:rsid w:val="00DC1C16"/>
    <w:rsid w:val="00DF31B1"/>
    <w:rsid w:val="00E70B2D"/>
    <w:rsid w:val="00E96FDD"/>
    <w:rsid w:val="00EA77E4"/>
    <w:rsid w:val="00FB393C"/>
    <w:rsid w:val="00FB5F8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toc 1" w:uiPriority="39"/>
    <w:lsdException w:name="toc 2" w:uiPriority="39"/>
    <w:lsdException w:name="toc 3" w:uiPriority="39"/>
    <w:lsdException w:name="caption"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D26D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AD26D7"/>
    <w:pPr>
      <w:keepNext/>
      <w:numPr>
        <w:numId w:val="1"/>
      </w:numPr>
      <w:tabs>
        <w:tab w:val="clear" w:pos="2984"/>
        <w:tab w:val="num" w:pos="432"/>
      </w:tabs>
      <w:spacing w:before="360" w:after="240"/>
      <w:ind w:left="431" w:hanging="431"/>
      <w:jc w:val="center"/>
      <w:outlineLvl w:val="0"/>
    </w:pPr>
    <w:rPr>
      <w:rFonts w:ascii="Arial" w:hAnsi="Arial"/>
      <w:b/>
      <w:sz w:val="28"/>
    </w:rPr>
  </w:style>
  <w:style w:type="paragraph" w:styleId="Cmsor2">
    <w:name w:val="heading 2"/>
    <w:basedOn w:val="Norml"/>
    <w:next w:val="Norml"/>
    <w:link w:val="Cmsor2Char"/>
    <w:qFormat/>
    <w:rsid w:val="00AD26D7"/>
    <w:pPr>
      <w:keepNext/>
      <w:numPr>
        <w:ilvl w:val="1"/>
        <w:numId w:val="1"/>
      </w:numPr>
      <w:spacing w:before="240" w:after="120"/>
      <w:jc w:val="both"/>
      <w:outlineLvl w:val="1"/>
    </w:pPr>
    <w:rPr>
      <w:rFonts w:ascii="Arial" w:hAnsi="Arial"/>
      <w:sz w:val="28"/>
    </w:rPr>
  </w:style>
  <w:style w:type="paragraph" w:styleId="Cmsor3">
    <w:name w:val="heading 3"/>
    <w:basedOn w:val="Norml"/>
    <w:next w:val="Norml"/>
    <w:link w:val="Cmsor3Char"/>
    <w:qFormat/>
    <w:rsid w:val="00AD26D7"/>
    <w:pPr>
      <w:keepNext/>
      <w:numPr>
        <w:ilvl w:val="2"/>
        <w:numId w:val="1"/>
      </w:numPr>
      <w:spacing w:before="240" w:after="120"/>
      <w:jc w:val="center"/>
      <w:outlineLvl w:val="2"/>
    </w:pPr>
    <w:rPr>
      <w:sz w:val="28"/>
      <w:u w:val="single"/>
    </w:rPr>
  </w:style>
  <w:style w:type="paragraph" w:styleId="Cmsor4">
    <w:name w:val="heading 4"/>
    <w:basedOn w:val="Norml"/>
    <w:next w:val="Norml"/>
    <w:link w:val="Cmsor4Char"/>
    <w:qFormat/>
    <w:rsid w:val="00AD26D7"/>
    <w:pPr>
      <w:keepNext/>
      <w:numPr>
        <w:ilvl w:val="3"/>
        <w:numId w:val="1"/>
      </w:numPr>
      <w:spacing w:before="120" w:after="120"/>
      <w:ind w:left="1287" w:hanging="862"/>
      <w:jc w:val="both"/>
      <w:outlineLvl w:val="3"/>
    </w:pPr>
    <w:rPr>
      <w:b/>
    </w:rPr>
  </w:style>
  <w:style w:type="paragraph" w:styleId="Cmsor5">
    <w:name w:val="heading 5"/>
    <w:basedOn w:val="Norml"/>
    <w:next w:val="Norml"/>
    <w:link w:val="Cmsor5Char"/>
    <w:qFormat/>
    <w:rsid w:val="00AD26D7"/>
    <w:pPr>
      <w:numPr>
        <w:ilvl w:val="4"/>
        <w:numId w:val="1"/>
      </w:numPr>
      <w:spacing w:before="240" w:after="60"/>
      <w:outlineLvl w:val="4"/>
    </w:pPr>
    <w:rPr>
      <w:sz w:val="22"/>
    </w:rPr>
  </w:style>
  <w:style w:type="paragraph" w:styleId="Cmsor6">
    <w:name w:val="heading 6"/>
    <w:basedOn w:val="Norml"/>
    <w:next w:val="Norml"/>
    <w:link w:val="Cmsor6Char"/>
    <w:qFormat/>
    <w:rsid w:val="00AD26D7"/>
    <w:pPr>
      <w:numPr>
        <w:ilvl w:val="5"/>
        <w:numId w:val="1"/>
      </w:numPr>
      <w:spacing w:before="240" w:after="60"/>
      <w:outlineLvl w:val="5"/>
    </w:pPr>
    <w:rPr>
      <w:i/>
      <w:sz w:val="22"/>
    </w:rPr>
  </w:style>
  <w:style w:type="paragraph" w:styleId="Cmsor7">
    <w:name w:val="heading 7"/>
    <w:basedOn w:val="Norml"/>
    <w:next w:val="Norml"/>
    <w:link w:val="Cmsor7Char"/>
    <w:qFormat/>
    <w:rsid w:val="00AD26D7"/>
    <w:pPr>
      <w:numPr>
        <w:ilvl w:val="6"/>
        <w:numId w:val="1"/>
      </w:numPr>
      <w:spacing w:before="240" w:after="60"/>
      <w:outlineLvl w:val="6"/>
    </w:pPr>
    <w:rPr>
      <w:rFonts w:ascii="Arial" w:hAnsi="Arial"/>
      <w:sz w:val="20"/>
    </w:rPr>
  </w:style>
  <w:style w:type="paragraph" w:styleId="Cmsor8">
    <w:name w:val="heading 8"/>
    <w:basedOn w:val="Norml"/>
    <w:next w:val="Norml"/>
    <w:link w:val="Cmsor8Char"/>
    <w:qFormat/>
    <w:rsid w:val="00AD26D7"/>
    <w:pPr>
      <w:numPr>
        <w:ilvl w:val="7"/>
        <w:numId w:val="1"/>
      </w:numPr>
      <w:spacing w:before="240" w:after="60"/>
      <w:outlineLvl w:val="7"/>
    </w:pPr>
    <w:rPr>
      <w:rFonts w:ascii="Arial" w:hAnsi="Arial"/>
      <w:i/>
      <w:sz w:val="20"/>
    </w:rPr>
  </w:style>
  <w:style w:type="paragraph" w:styleId="Cmsor9">
    <w:name w:val="heading 9"/>
    <w:basedOn w:val="Norml"/>
    <w:next w:val="Norml"/>
    <w:link w:val="Cmsor9Char"/>
    <w:qFormat/>
    <w:rsid w:val="00AD26D7"/>
    <w:pPr>
      <w:numPr>
        <w:ilvl w:val="8"/>
        <w:numId w:val="1"/>
      </w:numPr>
      <w:spacing w:before="240" w:after="60"/>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D26D7"/>
    <w:rPr>
      <w:rFonts w:ascii="Arial" w:eastAsia="Times New Roman" w:hAnsi="Arial" w:cs="Times New Roman"/>
      <w:b/>
      <w:sz w:val="28"/>
      <w:szCs w:val="20"/>
      <w:lang w:eastAsia="hu-HU"/>
    </w:rPr>
  </w:style>
  <w:style w:type="character" w:customStyle="1" w:styleId="Cmsor2Char">
    <w:name w:val="Címsor 2 Char"/>
    <w:basedOn w:val="Bekezdsalapbettpusa"/>
    <w:link w:val="Cmsor2"/>
    <w:rsid w:val="00AD26D7"/>
    <w:rPr>
      <w:rFonts w:ascii="Arial" w:eastAsia="Times New Roman" w:hAnsi="Arial" w:cs="Times New Roman"/>
      <w:sz w:val="28"/>
      <w:szCs w:val="20"/>
      <w:lang w:eastAsia="hu-HU"/>
    </w:rPr>
  </w:style>
  <w:style w:type="character" w:customStyle="1" w:styleId="Cmsor3Char">
    <w:name w:val="Címsor 3 Char"/>
    <w:basedOn w:val="Bekezdsalapbettpusa"/>
    <w:link w:val="Cmsor3"/>
    <w:rsid w:val="00AD26D7"/>
    <w:rPr>
      <w:rFonts w:ascii="Times New Roman" w:eastAsia="Times New Roman" w:hAnsi="Times New Roman" w:cs="Times New Roman"/>
      <w:sz w:val="28"/>
      <w:szCs w:val="20"/>
      <w:u w:val="single"/>
      <w:lang w:eastAsia="hu-HU"/>
    </w:rPr>
  </w:style>
  <w:style w:type="character" w:customStyle="1" w:styleId="Cmsor4Char">
    <w:name w:val="Címsor 4 Char"/>
    <w:basedOn w:val="Bekezdsalapbettpusa"/>
    <w:link w:val="Cmsor4"/>
    <w:rsid w:val="00AD26D7"/>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AD26D7"/>
    <w:rPr>
      <w:rFonts w:ascii="Times New Roman" w:eastAsia="Times New Roman" w:hAnsi="Times New Roman" w:cs="Times New Roman"/>
      <w:szCs w:val="20"/>
      <w:lang w:eastAsia="hu-HU"/>
    </w:rPr>
  </w:style>
  <w:style w:type="character" w:customStyle="1" w:styleId="Cmsor6Char">
    <w:name w:val="Címsor 6 Char"/>
    <w:basedOn w:val="Bekezdsalapbettpusa"/>
    <w:link w:val="Cmsor6"/>
    <w:rsid w:val="00AD26D7"/>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AD26D7"/>
    <w:rPr>
      <w:rFonts w:ascii="Arial" w:eastAsia="Times New Roman" w:hAnsi="Arial" w:cs="Times New Roman"/>
      <w:sz w:val="20"/>
      <w:szCs w:val="20"/>
      <w:lang w:eastAsia="hu-HU"/>
    </w:rPr>
  </w:style>
  <w:style w:type="character" w:customStyle="1" w:styleId="Cmsor8Char">
    <w:name w:val="Címsor 8 Char"/>
    <w:basedOn w:val="Bekezdsalapbettpusa"/>
    <w:link w:val="Cmsor8"/>
    <w:rsid w:val="00AD26D7"/>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AD26D7"/>
    <w:rPr>
      <w:rFonts w:ascii="Arial" w:eastAsia="Times New Roman" w:hAnsi="Arial" w:cs="Times New Roman"/>
      <w:b/>
      <w:i/>
      <w:sz w:val="18"/>
      <w:szCs w:val="20"/>
      <w:lang w:eastAsia="hu-HU"/>
    </w:rPr>
  </w:style>
  <w:style w:type="character" w:styleId="Oldalszm">
    <w:name w:val="page number"/>
    <w:basedOn w:val="Bekezdsalapbettpusa"/>
    <w:uiPriority w:val="99"/>
    <w:rsid w:val="00AD26D7"/>
  </w:style>
  <w:style w:type="paragraph" w:styleId="Szvegtrzs">
    <w:name w:val="Body Text"/>
    <w:basedOn w:val="Norml"/>
    <w:link w:val="SzvegtrzsChar"/>
    <w:rsid w:val="00AD26D7"/>
    <w:pPr>
      <w:widowControl w:val="0"/>
      <w:jc w:val="both"/>
    </w:pPr>
  </w:style>
  <w:style w:type="character" w:customStyle="1" w:styleId="SzvegtrzsChar">
    <w:name w:val="Szövegtörzs Char"/>
    <w:basedOn w:val="Bekezdsalapbettpusa"/>
    <w:link w:val="Szvegtrzs"/>
    <w:rsid w:val="00AD26D7"/>
    <w:rPr>
      <w:rFonts w:ascii="Times New Roman" w:eastAsia="Times New Roman" w:hAnsi="Times New Roman" w:cs="Times New Roman"/>
      <w:sz w:val="24"/>
      <w:szCs w:val="20"/>
      <w:lang w:eastAsia="hu-HU"/>
    </w:rPr>
  </w:style>
  <w:style w:type="paragraph" w:styleId="lfej">
    <w:name w:val="header"/>
    <w:basedOn w:val="Norml"/>
    <w:link w:val="lfejChar"/>
    <w:uiPriority w:val="99"/>
    <w:rsid w:val="00AD26D7"/>
    <w:pPr>
      <w:widowControl w:val="0"/>
      <w:tabs>
        <w:tab w:val="center" w:pos="4536"/>
        <w:tab w:val="right" w:pos="9072"/>
      </w:tabs>
    </w:pPr>
  </w:style>
  <w:style w:type="character" w:customStyle="1" w:styleId="lfejChar">
    <w:name w:val="Élőfej Char"/>
    <w:basedOn w:val="Bekezdsalapbettpusa"/>
    <w:link w:val="lfej"/>
    <w:uiPriority w:val="99"/>
    <w:rsid w:val="00AD26D7"/>
    <w:rPr>
      <w:rFonts w:ascii="Times New Roman" w:eastAsia="Times New Roman" w:hAnsi="Times New Roman" w:cs="Times New Roman"/>
      <w:sz w:val="24"/>
      <w:szCs w:val="20"/>
      <w:lang w:eastAsia="hu-HU"/>
    </w:rPr>
  </w:style>
  <w:style w:type="paragraph" w:styleId="Lbjegyzetszveg">
    <w:name w:val="footnote text"/>
    <w:basedOn w:val="Norml"/>
    <w:link w:val="LbjegyzetszvegChar"/>
    <w:uiPriority w:val="99"/>
    <w:semiHidden/>
    <w:rsid w:val="00AD26D7"/>
  </w:style>
  <w:style w:type="character" w:customStyle="1" w:styleId="LbjegyzetszvegChar">
    <w:name w:val="Lábjegyzetszöveg Char"/>
    <w:basedOn w:val="Bekezdsalapbettpusa"/>
    <w:link w:val="Lbjegyzetszveg"/>
    <w:uiPriority w:val="99"/>
    <w:semiHidden/>
    <w:rsid w:val="00AD26D7"/>
    <w:rPr>
      <w:rFonts w:ascii="Times New Roman" w:eastAsia="Times New Roman" w:hAnsi="Times New Roman" w:cs="Times New Roman"/>
      <w:sz w:val="24"/>
      <w:szCs w:val="20"/>
      <w:lang w:eastAsia="hu-HU"/>
    </w:rPr>
  </w:style>
  <w:style w:type="character" w:styleId="Lbjegyzet-hivatkozs">
    <w:name w:val="footnote reference"/>
    <w:basedOn w:val="Bekezdsalapbettpusa"/>
    <w:uiPriority w:val="99"/>
    <w:semiHidden/>
    <w:rsid w:val="00AD26D7"/>
    <w:rPr>
      <w:vertAlign w:val="superscript"/>
    </w:rPr>
  </w:style>
  <w:style w:type="paragraph" w:customStyle="1" w:styleId="Szvegtrzs21">
    <w:name w:val="Szövegtörzs 21"/>
    <w:basedOn w:val="Norml"/>
    <w:uiPriority w:val="99"/>
    <w:rsid w:val="00AD26D7"/>
    <w:pPr>
      <w:ind w:right="281"/>
      <w:jc w:val="both"/>
    </w:pPr>
  </w:style>
  <w:style w:type="paragraph" w:customStyle="1" w:styleId="Dokumentumtrkp1">
    <w:name w:val="Dokumentumtérkép1"/>
    <w:basedOn w:val="Norml"/>
    <w:uiPriority w:val="99"/>
    <w:rsid w:val="00AD26D7"/>
    <w:pPr>
      <w:shd w:val="clear" w:color="auto" w:fill="000080"/>
    </w:pPr>
    <w:rPr>
      <w:rFonts w:ascii="Tahoma" w:hAnsi="Tahoma"/>
    </w:rPr>
  </w:style>
  <w:style w:type="paragraph" w:customStyle="1" w:styleId="Szvegblokk1">
    <w:name w:val="Szövegblokk1"/>
    <w:basedOn w:val="Norml"/>
    <w:uiPriority w:val="99"/>
    <w:rsid w:val="00AD26D7"/>
    <w:pPr>
      <w:ind w:left="284" w:right="1275"/>
      <w:jc w:val="both"/>
    </w:pPr>
  </w:style>
  <w:style w:type="paragraph" w:customStyle="1" w:styleId="Szvegtrzsbehzssal21">
    <w:name w:val="Szövegtörzs behúzással 21"/>
    <w:basedOn w:val="Norml"/>
    <w:uiPriority w:val="99"/>
    <w:rsid w:val="00AD26D7"/>
    <w:pPr>
      <w:tabs>
        <w:tab w:val="left" w:pos="3261"/>
      </w:tabs>
      <w:ind w:left="3261" w:hanging="851"/>
      <w:jc w:val="both"/>
    </w:pPr>
    <w:rPr>
      <w:b/>
    </w:rPr>
  </w:style>
  <w:style w:type="paragraph" w:customStyle="1" w:styleId="Szvegtrzsbehzssal31">
    <w:name w:val="Szövegtörzs behúzással 31"/>
    <w:basedOn w:val="Norml"/>
    <w:uiPriority w:val="99"/>
    <w:rsid w:val="00AD26D7"/>
    <w:pPr>
      <w:ind w:left="426"/>
      <w:jc w:val="both"/>
    </w:pPr>
  </w:style>
  <w:style w:type="paragraph" w:styleId="Szvegblokk">
    <w:name w:val="Block Text"/>
    <w:basedOn w:val="Norml"/>
    <w:uiPriority w:val="99"/>
    <w:rsid w:val="00AD26D7"/>
    <w:pPr>
      <w:ind w:left="284" w:right="-1"/>
      <w:jc w:val="both"/>
    </w:pPr>
  </w:style>
  <w:style w:type="paragraph" w:customStyle="1" w:styleId="Stlus1">
    <w:name w:val="Stílus1"/>
    <w:basedOn w:val="Cmsor3"/>
    <w:uiPriority w:val="99"/>
    <w:rsid w:val="00AD26D7"/>
    <w:pPr>
      <w:tabs>
        <w:tab w:val="left" w:pos="567"/>
        <w:tab w:val="left" w:pos="5670"/>
      </w:tabs>
    </w:pPr>
  </w:style>
  <w:style w:type="paragraph" w:styleId="Szvegtrzsbehzssal">
    <w:name w:val="Body Text Indent"/>
    <w:basedOn w:val="Norml"/>
    <w:link w:val="SzvegtrzsbehzssalChar"/>
    <w:uiPriority w:val="99"/>
    <w:rsid w:val="00AD26D7"/>
    <w:pPr>
      <w:tabs>
        <w:tab w:val="left" w:pos="709"/>
      </w:tabs>
      <w:ind w:left="1134" w:hanging="425"/>
      <w:jc w:val="both"/>
    </w:pPr>
  </w:style>
  <w:style w:type="character" w:customStyle="1" w:styleId="SzvegtrzsbehzssalChar">
    <w:name w:val="Szövegtörzs behúzással Char"/>
    <w:basedOn w:val="Bekezdsalapbettpusa"/>
    <w:link w:val="Szvegtrzsbehzssal"/>
    <w:uiPriority w:val="99"/>
    <w:rsid w:val="00AD26D7"/>
    <w:rPr>
      <w:rFonts w:ascii="Times New Roman" w:eastAsia="Times New Roman" w:hAnsi="Times New Roman" w:cs="Times New Roman"/>
      <w:sz w:val="24"/>
      <w:szCs w:val="20"/>
      <w:lang w:eastAsia="hu-HU"/>
    </w:rPr>
  </w:style>
  <w:style w:type="paragraph" w:styleId="Dokumentumtrkp">
    <w:name w:val="Document Map"/>
    <w:basedOn w:val="Norml"/>
    <w:link w:val="DokumentumtrkpChar"/>
    <w:uiPriority w:val="99"/>
    <w:semiHidden/>
    <w:rsid w:val="00AD26D7"/>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rsid w:val="00AD26D7"/>
    <w:rPr>
      <w:rFonts w:ascii="Tahoma" w:eastAsia="Times New Roman" w:hAnsi="Tahoma" w:cs="Times New Roman"/>
      <w:sz w:val="24"/>
      <w:szCs w:val="20"/>
      <w:shd w:val="clear" w:color="auto" w:fill="000080"/>
      <w:lang w:eastAsia="hu-HU"/>
    </w:rPr>
  </w:style>
  <w:style w:type="paragraph" w:styleId="llb">
    <w:name w:val="footer"/>
    <w:basedOn w:val="Norml"/>
    <w:link w:val="llbChar"/>
    <w:uiPriority w:val="99"/>
    <w:rsid w:val="00AD26D7"/>
    <w:pPr>
      <w:tabs>
        <w:tab w:val="center" w:pos="4536"/>
        <w:tab w:val="right" w:pos="9072"/>
      </w:tabs>
    </w:pPr>
  </w:style>
  <w:style w:type="character" w:customStyle="1" w:styleId="llbChar">
    <w:name w:val="Élőláb Char"/>
    <w:basedOn w:val="Bekezdsalapbettpusa"/>
    <w:link w:val="llb"/>
    <w:uiPriority w:val="99"/>
    <w:rsid w:val="00AD26D7"/>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rsid w:val="00AD26D7"/>
    <w:pPr>
      <w:ind w:left="284" w:firstLine="1"/>
      <w:jc w:val="both"/>
    </w:pPr>
  </w:style>
  <w:style w:type="character" w:customStyle="1" w:styleId="Szvegtrzsbehzssal2Char">
    <w:name w:val="Szövegtörzs behúzással 2 Char"/>
    <w:basedOn w:val="Bekezdsalapbettpusa"/>
    <w:link w:val="Szvegtrzsbehzssal2"/>
    <w:uiPriority w:val="99"/>
    <w:rsid w:val="00AD26D7"/>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uiPriority w:val="99"/>
    <w:rsid w:val="00AD26D7"/>
    <w:pPr>
      <w:ind w:left="578"/>
      <w:jc w:val="both"/>
    </w:pPr>
  </w:style>
  <w:style w:type="character" w:customStyle="1" w:styleId="Szvegtrzsbehzssal3Char">
    <w:name w:val="Szövegtörzs behúzással 3 Char"/>
    <w:basedOn w:val="Bekezdsalapbettpusa"/>
    <w:link w:val="Szvegtrzsbehzssal3"/>
    <w:uiPriority w:val="99"/>
    <w:rsid w:val="00AD26D7"/>
    <w:rPr>
      <w:rFonts w:ascii="Times New Roman" w:eastAsia="Times New Roman" w:hAnsi="Times New Roman" w:cs="Times New Roman"/>
      <w:sz w:val="24"/>
      <w:szCs w:val="20"/>
      <w:lang w:eastAsia="hu-HU"/>
    </w:rPr>
  </w:style>
  <w:style w:type="paragraph" w:styleId="TJ1">
    <w:name w:val="toc 1"/>
    <w:basedOn w:val="Norml"/>
    <w:next w:val="Norml"/>
    <w:autoRedefine/>
    <w:uiPriority w:val="39"/>
    <w:rsid w:val="00AD26D7"/>
    <w:pPr>
      <w:tabs>
        <w:tab w:val="left" w:pos="480"/>
        <w:tab w:val="right" w:leader="dot" w:pos="9345"/>
      </w:tabs>
    </w:pPr>
    <w:rPr>
      <w:rFonts w:ascii="Arial" w:hAnsi="Arial"/>
      <w:caps/>
      <w:noProof/>
      <w:sz w:val="28"/>
    </w:rPr>
  </w:style>
  <w:style w:type="paragraph" w:styleId="TJ2">
    <w:name w:val="toc 2"/>
    <w:basedOn w:val="Norml"/>
    <w:next w:val="Norml"/>
    <w:autoRedefine/>
    <w:uiPriority w:val="39"/>
    <w:rsid w:val="00AD26D7"/>
    <w:pPr>
      <w:tabs>
        <w:tab w:val="left" w:pos="720"/>
        <w:tab w:val="right" w:leader="dot" w:pos="9345"/>
      </w:tabs>
      <w:ind w:firstLine="240"/>
    </w:pPr>
    <w:rPr>
      <w:rFonts w:ascii="Arial" w:hAnsi="Arial"/>
      <w:noProof/>
    </w:rPr>
  </w:style>
  <w:style w:type="paragraph" w:styleId="TJ3">
    <w:name w:val="toc 3"/>
    <w:basedOn w:val="Norml"/>
    <w:next w:val="Norml"/>
    <w:autoRedefine/>
    <w:uiPriority w:val="39"/>
    <w:rsid w:val="00AD26D7"/>
    <w:pPr>
      <w:tabs>
        <w:tab w:val="left" w:pos="1440"/>
        <w:tab w:val="right" w:leader="dot" w:pos="9345"/>
      </w:tabs>
      <w:ind w:left="480"/>
    </w:pPr>
    <w:rPr>
      <w:rFonts w:cs="Arial"/>
      <w:noProof/>
    </w:rPr>
  </w:style>
  <w:style w:type="paragraph" w:styleId="TJ4">
    <w:name w:val="toc 4"/>
    <w:basedOn w:val="Norml"/>
    <w:next w:val="Norml"/>
    <w:autoRedefine/>
    <w:uiPriority w:val="99"/>
    <w:semiHidden/>
    <w:rsid w:val="00AD26D7"/>
    <w:pPr>
      <w:ind w:left="720"/>
    </w:pPr>
  </w:style>
  <w:style w:type="paragraph" w:styleId="TJ5">
    <w:name w:val="toc 5"/>
    <w:basedOn w:val="Norml"/>
    <w:next w:val="Norml"/>
    <w:autoRedefine/>
    <w:uiPriority w:val="99"/>
    <w:semiHidden/>
    <w:rsid w:val="00AD26D7"/>
    <w:pPr>
      <w:ind w:left="960"/>
    </w:pPr>
  </w:style>
  <w:style w:type="paragraph" w:styleId="TJ6">
    <w:name w:val="toc 6"/>
    <w:basedOn w:val="Norml"/>
    <w:next w:val="Norml"/>
    <w:autoRedefine/>
    <w:uiPriority w:val="99"/>
    <w:semiHidden/>
    <w:rsid w:val="00AD26D7"/>
    <w:pPr>
      <w:ind w:left="1200"/>
    </w:pPr>
  </w:style>
  <w:style w:type="paragraph" w:styleId="TJ7">
    <w:name w:val="toc 7"/>
    <w:basedOn w:val="Norml"/>
    <w:next w:val="Norml"/>
    <w:autoRedefine/>
    <w:uiPriority w:val="99"/>
    <w:semiHidden/>
    <w:rsid w:val="00AD26D7"/>
    <w:pPr>
      <w:ind w:left="1440"/>
    </w:pPr>
  </w:style>
  <w:style w:type="paragraph" w:styleId="TJ8">
    <w:name w:val="toc 8"/>
    <w:basedOn w:val="Norml"/>
    <w:next w:val="Norml"/>
    <w:autoRedefine/>
    <w:uiPriority w:val="99"/>
    <w:semiHidden/>
    <w:rsid w:val="00AD26D7"/>
    <w:pPr>
      <w:ind w:left="1680"/>
    </w:pPr>
  </w:style>
  <w:style w:type="paragraph" w:styleId="TJ9">
    <w:name w:val="toc 9"/>
    <w:basedOn w:val="Norml"/>
    <w:next w:val="Norml"/>
    <w:autoRedefine/>
    <w:uiPriority w:val="99"/>
    <w:semiHidden/>
    <w:rsid w:val="00AD26D7"/>
    <w:pPr>
      <w:ind w:left="1920"/>
    </w:pPr>
  </w:style>
  <w:style w:type="paragraph" w:styleId="Kpalrs">
    <w:name w:val="caption"/>
    <w:basedOn w:val="Norml"/>
    <w:next w:val="Norml"/>
    <w:uiPriority w:val="99"/>
    <w:qFormat/>
    <w:rsid w:val="00AD26D7"/>
    <w:pPr>
      <w:spacing w:before="120" w:after="120"/>
    </w:pPr>
    <w:rPr>
      <w:b/>
    </w:rPr>
  </w:style>
  <w:style w:type="paragraph" w:styleId="Szvegtrzs2">
    <w:name w:val="Body Text 2"/>
    <w:basedOn w:val="Norml"/>
    <w:link w:val="Szvegtrzs2Char"/>
    <w:rsid w:val="00AD26D7"/>
    <w:pPr>
      <w:widowControl w:val="0"/>
      <w:ind w:left="425"/>
      <w:jc w:val="both"/>
    </w:pPr>
  </w:style>
  <w:style w:type="character" w:customStyle="1" w:styleId="Szvegtrzs2Char">
    <w:name w:val="Szövegtörzs 2 Char"/>
    <w:basedOn w:val="Bekezdsalapbettpusa"/>
    <w:link w:val="Szvegtrzs2"/>
    <w:rsid w:val="00AD26D7"/>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rsid w:val="00AD26D7"/>
    <w:pPr>
      <w:tabs>
        <w:tab w:val="left" w:pos="284"/>
      </w:tabs>
      <w:jc w:val="both"/>
    </w:pPr>
    <w:rPr>
      <w:color w:val="FF0000"/>
    </w:rPr>
  </w:style>
  <w:style w:type="character" w:customStyle="1" w:styleId="Szvegtrzs3Char">
    <w:name w:val="Szövegtörzs 3 Char"/>
    <w:basedOn w:val="Bekezdsalapbettpusa"/>
    <w:link w:val="Szvegtrzs3"/>
    <w:uiPriority w:val="99"/>
    <w:rsid w:val="00AD26D7"/>
    <w:rPr>
      <w:rFonts w:ascii="Times New Roman" w:eastAsia="Times New Roman" w:hAnsi="Times New Roman" w:cs="Times New Roman"/>
      <w:color w:val="FF0000"/>
      <w:sz w:val="24"/>
      <w:szCs w:val="20"/>
      <w:lang w:eastAsia="hu-HU"/>
    </w:rPr>
  </w:style>
  <w:style w:type="paragraph" w:styleId="Trgymutat8">
    <w:name w:val="index 8"/>
    <w:basedOn w:val="Norml"/>
    <w:next w:val="Norml"/>
    <w:autoRedefine/>
    <w:semiHidden/>
    <w:rsid w:val="00AD26D7"/>
    <w:pPr>
      <w:ind w:left="1600" w:hanging="200"/>
    </w:pPr>
    <w:rPr>
      <w:sz w:val="20"/>
    </w:rPr>
  </w:style>
  <w:style w:type="paragraph" w:customStyle="1" w:styleId="Szveg">
    <w:name w:val="Szöveg"/>
    <w:basedOn w:val="Norml"/>
    <w:uiPriority w:val="99"/>
    <w:rsid w:val="00AD26D7"/>
    <w:pPr>
      <w:spacing w:after="120"/>
    </w:pPr>
  </w:style>
  <w:style w:type="paragraph" w:customStyle="1" w:styleId="Stlus2">
    <w:name w:val="Stílus2"/>
    <w:basedOn w:val="Cmsor1"/>
    <w:uiPriority w:val="99"/>
    <w:rsid w:val="00AD26D7"/>
    <w:rPr>
      <w:b w:val="0"/>
    </w:rPr>
  </w:style>
  <w:style w:type="paragraph" w:customStyle="1" w:styleId="Stlus3">
    <w:name w:val="Stílus3"/>
    <w:basedOn w:val="Cmsor1"/>
    <w:uiPriority w:val="99"/>
    <w:rsid w:val="00AD26D7"/>
    <w:rPr>
      <w:b w:val="0"/>
    </w:rPr>
  </w:style>
  <w:style w:type="paragraph" w:customStyle="1" w:styleId="StlusCmsor4Bal0cmElssor0cm">
    <w:name w:val="Stílus Címsor 4 + Bal:  0 cm Első sor:  0 cm"/>
    <w:basedOn w:val="Cmsor4"/>
    <w:uiPriority w:val="99"/>
    <w:rsid w:val="00AD26D7"/>
    <w:pPr>
      <w:numPr>
        <w:ilvl w:val="0"/>
        <w:numId w:val="0"/>
      </w:numPr>
      <w:ind w:left="567"/>
    </w:pPr>
  </w:style>
  <w:style w:type="paragraph" w:styleId="Buborkszveg">
    <w:name w:val="Balloon Text"/>
    <w:basedOn w:val="Norml"/>
    <w:link w:val="BuborkszvegChar"/>
    <w:uiPriority w:val="99"/>
    <w:semiHidden/>
    <w:rsid w:val="00AD26D7"/>
    <w:rPr>
      <w:rFonts w:ascii="Tahoma" w:hAnsi="Tahoma" w:cs="Tahoma"/>
      <w:sz w:val="16"/>
      <w:szCs w:val="16"/>
    </w:rPr>
  </w:style>
  <w:style w:type="character" w:customStyle="1" w:styleId="BuborkszvegChar">
    <w:name w:val="Buborékszöveg Char"/>
    <w:basedOn w:val="Bekezdsalapbettpusa"/>
    <w:link w:val="Buborkszveg"/>
    <w:uiPriority w:val="99"/>
    <w:semiHidden/>
    <w:rsid w:val="00AD26D7"/>
    <w:rPr>
      <w:rFonts w:ascii="Tahoma" w:eastAsia="Times New Roman" w:hAnsi="Tahoma" w:cs="Tahoma"/>
      <w:sz w:val="16"/>
      <w:szCs w:val="16"/>
      <w:lang w:eastAsia="hu-HU"/>
    </w:rPr>
  </w:style>
  <w:style w:type="table" w:styleId="Rcsostblzat">
    <w:name w:val="Table Grid"/>
    <w:basedOn w:val="Normltblzat"/>
    <w:uiPriority w:val="99"/>
    <w:rsid w:val="00AD26D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Cmsor2Kzprezrt">
    <w:name w:val="Stílus Címsor 2 + Középre zárt"/>
    <w:basedOn w:val="Cmsor2"/>
    <w:uiPriority w:val="99"/>
    <w:rsid w:val="00AD26D7"/>
    <w:pPr>
      <w:jc w:val="center"/>
    </w:pPr>
    <w:rPr>
      <w:bCs/>
    </w:rPr>
  </w:style>
  <w:style w:type="paragraph" w:customStyle="1" w:styleId="StlusCmsor2Kzprezrt1">
    <w:name w:val="Stílus Címsor 2 + Középre zárt1"/>
    <w:basedOn w:val="Cmsor2"/>
    <w:uiPriority w:val="99"/>
    <w:rsid w:val="00AD26D7"/>
    <w:pPr>
      <w:jc w:val="center"/>
    </w:pPr>
    <w:rPr>
      <w:bCs/>
    </w:rPr>
  </w:style>
  <w:style w:type="paragraph" w:customStyle="1" w:styleId="szvegtrzs1">
    <w:name w:val="szövegtörzs 1"/>
    <w:basedOn w:val="Csakszveg"/>
    <w:uiPriority w:val="99"/>
    <w:rsid w:val="00AD26D7"/>
    <w:pPr>
      <w:jc w:val="both"/>
    </w:pPr>
    <w:rPr>
      <w:rFonts w:ascii="Times New Roman" w:hAnsi="Times New Roman" w:cs="Times New Roman"/>
      <w:sz w:val="24"/>
    </w:rPr>
  </w:style>
  <w:style w:type="paragraph" w:styleId="Csakszveg">
    <w:name w:val="Plain Text"/>
    <w:basedOn w:val="Norml"/>
    <w:link w:val="CsakszvegChar"/>
    <w:uiPriority w:val="99"/>
    <w:rsid w:val="00AD26D7"/>
    <w:rPr>
      <w:rFonts w:ascii="Courier New" w:hAnsi="Courier New" w:cs="Courier New"/>
      <w:sz w:val="20"/>
    </w:rPr>
  </w:style>
  <w:style w:type="character" w:customStyle="1" w:styleId="CsakszvegChar">
    <w:name w:val="Csak szöveg Char"/>
    <w:basedOn w:val="Bekezdsalapbettpusa"/>
    <w:link w:val="Csakszveg"/>
    <w:uiPriority w:val="99"/>
    <w:rsid w:val="00AD26D7"/>
    <w:rPr>
      <w:rFonts w:ascii="Courier New" w:eastAsia="Times New Roman" w:hAnsi="Courier New" w:cs="Courier New"/>
      <w:sz w:val="20"/>
      <w:szCs w:val="20"/>
      <w:lang w:eastAsia="hu-HU"/>
    </w:rPr>
  </w:style>
  <w:style w:type="character" w:styleId="Hiperhivatkozs">
    <w:name w:val="Hyperlink"/>
    <w:basedOn w:val="Bekezdsalapbettpusa"/>
    <w:uiPriority w:val="99"/>
    <w:rsid w:val="00AD26D7"/>
    <w:rPr>
      <w:color w:val="0000FF"/>
      <w:u w:val="single"/>
    </w:rPr>
  </w:style>
  <w:style w:type="table" w:styleId="Elegnstblzat">
    <w:name w:val="Table Elegant"/>
    <w:basedOn w:val="Normltblzat"/>
    <w:uiPriority w:val="99"/>
    <w:rsid w:val="00AD26D7"/>
    <w:pPr>
      <w:spacing w:after="0" w:line="240" w:lineRule="auto"/>
    </w:pPr>
    <w:rPr>
      <w:rFonts w:ascii="Times New Roman" w:eastAsia="Times New Roman" w:hAnsi="Times New Roman" w:cs="Times New Roman"/>
      <w:sz w:val="20"/>
      <w:szCs w:val="20"/>
      <w:lang w:eastAsia="hu-H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elsorols">
    <w:name w:val="List Bullet"/>
    <w:basedOn w:val="Norml"/>
    <w:autoRedefine/>
    <w:uiPriority w:val="99"/>
    <w:rsid w:val="00AD26D7"/>
    <w:pPr>
      <w:numPr>
        <w:numId w:val="4"/>
      </w:numPr>
      <w:tabs>
        <w:tab w:val="clear" w:pos="1352"/>
        <w:tab w:val="num" w:pos="1276"/>
      </w:tabs>
    </w:pPr>
  </w:style>
  <w:style w:type="paragraph" w:customStyle="1" w:styleId="Char">
    <w:name w:val="Char"/>
    <w:basedOn w:val="Norml"/>
    <w:uiPriority w:val="99"/>
    <w:rsid w:val="00AD26D7"/>
    <w:pPr>
      <w:spacing w:after="160" w:line="240" w:lineRule="exact"/>
    </w:pPr>
    <w:rPr>
      <w:rFonts w:ascii="Verdana" w:hAnsi="Verdana"/>
      <w:sz w:val="20"/>
      <w:lang w:val="en-US" w:eastAsia="en-US"/>
    </w:rPr>
  </w:style>
  <w:style w:type="paragraph" w:styleId="Tartalomjegyzkcmsora">
    <w:name w:val="TOC Heading"/>
    <w:basedOn w:val="Cmsor1"/>
    <w:next w:val="Norml"/>
    <w:uiPriority w:val="99"/>
    <w:qFormat/>
    <w:rsid w:val="00AD26D7"/>
    <w:pPr>
      <w:keepLines/>
      <w:numPr>
        <w:numId w:val="0"/>
      </w:numPr>
      <w:spacing w:before="480" w:after="0" w:line="276" w:lineRule="auto"/>
      <w:jc w:val="left"/>
      <w:outlineLvl w:val="9"/>
    </w:pPr>
    <w:rPr>
      <w:rFonts w:ascii="Cambria" w:hAnsi="Cambria"/>
      <w:bCs/>
      <w:color w:val="365F91"/>
      <w:szCs w:val="28"/>
      <w:lang w:eastAsia="en-US"/>
    </w:rPr>
  </w:style>
  <w:style w:type="paragraph" w:styleId="Listaszerbekezds">
    <w:name w:val="List Paragraph"/>
    <w:basedOn w:val="Norml"/>
    <w:uiPriority w:val="34"/>
    <w:qFormat/>
    <w:rsid w:val="00AD26D7"/>
    <w:pPr>
      <w:ind w:left="708"/>
    </w:pPr>
  </w:style>
  <w:style w:type="paragraph" w:customStyle="1" w:styleId="Char1">
    <w:name w:val="Char1"/>
    <w:basedOn w:val="Norml"/>
    <w:uiPriority w:val="99"/>
    <w:rsid w:val="00AD26D7"/>
    <w:pPr>
      <w:spacing w:after="160" w:line="240" w:lineRule="exact"/>
    </w:pPr>
    <w:rPr>
      <w:rFonts w:ascii="Verdana" w:hAnsi="Verdana"/>
      <w:sz w:val="20"/>
      <w:lang w:val="en-US" w:eastAsia="en-US"/>
    </w:rPr>
  </w:style>
  <w:style w:type="paragraph" w:customStyle="1" w:styleId="StlusCmsor4Bal0cmElssor05cm">
    <w:name w:val="Stílus Címsor 4 + Bal:  0 cm Első sor:  05 cm"/>
    <w:basedOn w:val="Cmsor4"/>
    <w:uiPriority w:val="99"/>
    <w:rsid w:val="00AD26D7"/>
    <w:pPr>
      <w:ind w:left="1134" w:hanging="567"/>
    </w:pPr>
  </w:style>
  <w:style w:type="paragraph" w:customStyle="1" w:styleId="StlusCmsor4Egalizls14pt">
    <w:name w:val="Stílus Címsor 4 + Egalizálás 14 pt"/>
    <w:basedOn w:val="Cmsor4"/>
    <w:uiPriority w:val="99"/>
    <w:rsid w:val="00AD26D7"/>
    <w:pPr>
      <w:ind w:left="1715" w:hanging="864"/>
    </w:pPr>
    <w:rPr>
      <w:kern w:val="28"/>
    </w:rPr>
  </w:style>
  <w:style w:type="character" w:styleId="Jegyzethivatkozs">
    <w:name w:val="annotation reference"/>
    <w:basedOn w:val="Bekezdsalapbettpusa"/>
    <w:uiPriority w:val="99"/>
    <w:rsid w:val="00AD26D7"/>
    <w:rPr>
      <w:rFonts w:cs="Times New Roman"/>
      <w:sz w:val="16"/>
      <w:szCs w:val="16"/>
    </w:rPr>
  </w:style>
  <w:style w:type="paragraph" w:styleId="Jegyzetszveg">
    <w:name w:val="annotation text"/>
    <w:basedOn w:val="Norml"/>
    <w:link w:val="JegyzetszvegChar"/>
    <w:uiPriority w:val="99"/>
    <w:rsid w:val="00AD26D7"/>
    <w:rPr>
      <w:sz w:val="20"/>
    </w:rPr>
  </w:style>
  <w:style w:type="character" w:customStyle="1" w:styleId="JegyzetszvegChar">
    <w:name w:val="Jegyzetszöveg Char"/>
    <w:basedOn w:val="Bekezdsalapbettpusa"/>
    <w:link w:val="Jegyzetszveg"/>
    <w:uiPriority w:val="99"/>
    <w:rsid w:val="00AD26D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AD26D7"/>
    <w:rPr>
      <w:b/>
      <w:bCs/>
    </w:rPr>
  </w:style>
  <w:style w:type="character" w:customStyle="1" w:styleId="MegjegyzstrgyaChar">
    <w:name w:val="Megjegyzés tárgya Char"/>
    <w:basedOn w:val="JegyzetszvegChar"/>
    <w:link w:val="Megjegyzstrgya"/>
    <w:uiPriority w:val="99"/>
    <w:rsid w:val="00AD26D7"/>
    <w:rPr>
      <w:b/>
      <w:bCs/>
    </w:rPr>
  </w:style>
  <w:style w:type="paragraph" w:customStyle="1" w:styleId="Listaszerbekezds1">
    <w:name w:val="Listaszerű bekezdés1"/>
    <w:basedOn w:val="Norml"/>
    <w:rsid w:val="00AD26D7"/>
    <w:pPr>
      <w:widowControl w:val="0"/>
      <w:adjustRightInd w:val="0"/>
      <w:spacing w:line="360" w:lineRule="atLeast"/>
      <w:ind w:left="720"/>
      <w:contextualSpacing/>
      <w:jc w:val="both"/>
      <w:textAlignment w:val="baseline"/>
    </w:pPr>
    <w:rPr>
      <w:rFonts w:eastAsia="Calibri"/>
      <w:b/>
      <w:i/>
    </w:rPr>
  </w:style>
  <w:style w:type="character" w:styleId="Mrltotthiperhivatkozs">
    <w:name w:val="FollowedHyperlink"/>
    <w:basedOn w:val="Bekezdsalapbettpusa"/>
    <w:rsid w:val="00AD26D7"/>
    <w:rPr>
      <w:color w:val="800080" w:themeColor="followedHyperlink"/>
      <w:u w:val="single"/>
    </w:rPr>
  </w:style>
  <w:style w:type="paragraph" w:customStyle="1" w:styleId="xl95">
    <w:name w:val="xl95"/>
    <w:basedOn w:val="Norml"/>
    <w:rsid w:val="00AD26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StlusCmsor311pt">
    <w:name w:val="Stílus Címsor 3 + 11 pt"/>
    <w:basedOn w:val="Cmsor3"/>
    <w:rsid w:val="00AD26D7"/>
    <w:pPr>
      <w:jc w:val="left"/>
    </w:pPr>
  </w:style>
  <w:style w:type="paragraph" w:styleId="Lista2">
    <w:name w:val="List 2"/>
    <w:basedOn w:val="Norml"/>
    <w:rsid w:val="00AD26D7"/>
    <w:pPr>
      <w:numPr>
        <w:numId w:val="18"/>
      </w:numPr>
    </w:pPr>
    <w:rPr>
      <w:b/>
    </w:rPr>
  </w:style>
  <w:style w:type="character" w:styleId="Kiemels">
    <w:name w:val="Emphasis"/>
    <w:basedOn w:val="Bekezdsalapbettpusa"/>
    <w:uiPriority w:val="20"/>
    <w:qFormat/>
    <w:rsid w:val="00AD26D7"/>
    <w:rPr>
      <w:i/>
      <w:iCs/>
    </w:rPr>
  </w:style>
  <w:style w:type="paragraph" w:customStyle="1" w:styleId="BPszvegtest">
    <w:name w:val="BP_szövegtest"/>
    <w:basedOn w:val="Norml"/>
    <w:rsid w:val="00AD26D7"/>
    <w:pPr>
      <w:tabs>
        <w:tab w:val="left" w:pos="3740"/>
        <w:tab w:val="left" w:pos="5720"/>
      </w:tabs>
      <w:spacing w:after="200" w:line="276" w:lineRule="auto"/>
      <w:jc w:val="both"/>
    </w:pPr>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stesely.hu" TargetMode="External"/><Relationship Id="rId5" Type="http://schemas.openxmlformats.org/officeDocument/2006/relationships/hyperlink" Target="http://www.pestesely.hu/doc/compendium_mainstreaming_equality_en%5b1%5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6315</Words>
  <Characters>43580</Characters>
  <Application>Microsoft Office Word</Application>
  <DocSecurity>0</DocSecurity>
  <Lines>363</Lines>
  <Paragraphs>99</Paragraphs>
  <ScaleCrop>false</ScaleCrop>
  <Company>Főpolgármesteri Hivatal</Company>
  <LinksUpToDate>false</LinksUpToDate>
  <CharactersWithSpaces>49796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Orsolya</dc:creator>
  <cp:keywords/>
  <dc:description/>
  <cp:lastModifiedBy>Nagy Orsolya</cp:lastModifiedBy>
  <cp:revision>1</cp:revision>
  <dcterms:created xsi:type="dcterms:W3CDTF">2012-05-07T12:19:00Z</dcterms:created>
  <dcterms:modified xsi:type="dcterms:W3CDTF">2012-05-07T12:20:00Z</dcterms:modified>
</cp:coreProperties>
</file>