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A" w:rsidRDefault="00064CBA" w:rsidP="00064CBA">
      <w:pPr>
        <w:pStyle w:val="Cmsor1"/>
        <w:numPr>
          <w:ilvl w:val="0"/>
          <w:numId w:val="0"/>
        </w:numPr>
        <w:ind w:left="431"/>
      </w:pPr>
      <w:bookmarkStart w:id="0" w:name="_Toc320784672"/>
      <w:r w:rsidRPr="00A94B4C">
        <w:t>Közhasznúsági jelentés kivonat</w:t>
      </w:r>
      <w:bookmarkEnd w:id="0"/>
    </w:p>
    <w:p w:rsidR="00064CBA" w:rsidRDefault="00064CBA" w:rsidP="00064CBA"/>
    <w:p w:rsidR="00064CBA" w:rsidRPr="00064CBA" w:rsidRDefault="00064CBA" w:rsidP="00064CBA"/>
    <w:p w:rsidR="00064CBA" w:rsidRDefault="00064CBA" w:rsidP="00064CBA">
      <w:pPr>
        <w:jc w:val="both"/>
      </w:pPr>
      <w:r>
        <w:t>Számviteli beszámoló főbb adatai:</w:t>
      </w:r>
    </w:p>
    <w:p w:rsidR="00064CBA" w:rsidRPr="005775D8" w:rsidRDefault="00064CBA" w:rsidP="00064CBA">
      <w:pPr>
        <w:jc w:val="both"/>
      </w:pPr>
      <w:r w:rsidRPr="005775D8">
        <w:t xml:space="preserve">A 2011. évi mérleg főösszege: </w:t>
      </w:r>
      <w:r w:rsidRPr="005775D8">
        <w:rPr>
          <w:b/>
          <w:bCs/>
        </w:rPr>
        <w:t xml:space="preserve">89 352 </w:t>
      </w:r>
      <w:proofErr w:type="spellStart"/>
      <w:r w:rsidRPr="005775D8">
        <w:rPr>
          <w:b/>
          <w:bCs/>
        </w:rPr>
        <w:t>eFt</w:t>
      </w:r>
      <w:proofErr w:type="spellEnd"/>
      <w:r w:rsidRPr="005775D8">
        <w:rPr>
          <w:b/>
          <w:bCs/>
        </w:rPr>
        <w:t>.</w:t>
      </w:r>
      <w:r w:rsidRPr="005775D8">
        <w:t xml:space="preserve"> </w:t>
      </w:r>
    </w:p>
    <w:p w:rsidR="00064CBA" w:rsidRPr="005775D8" w:rsidRDefault="00064CBA" w:rsidP="00064CBA">
      <w:pPr>
        <w:jc w:val="both"/>
      </w:pPr>
      <w:r w:rsidRPr="005775D8">
        <w:t>A mérleg szerinti eredmény -</w:t>
      </w:r>
      <w:r w:rsidRPr="005775D8">
        <w:rPr>
          <w:b/>
        </w:rPr>
        <w:t xml:space="preserve">5.539 </w:t>
      </w:r>
      <w:proofErr w:type="spellStart"/>
      <w:r w:rsidRPr="005775D8">
        <w:rPr>
          <w:b/>
        </w:rPr>
        <w:t>eFt</w:t>
      </w:r>
      <w:proofErr w:type="spellEnd"/>
      <w:r w:rsidRPr="005775D8">
        <w:rPr>
          <w:b/>
        </w:rPr>
        <w:t>.</w:t>
      </w:r>
    </w:p>
    <w:p w:rsidR="00064CBA" w:rsidRPr="005775D8" w:rsidRDefault="00064CBA" w:rsidP="00064CBA">
      <w:pPr>
        <w:tabs>
          <w:tab w:val="left" w:pos="7083"/>
        </w:tabs>
        <w:jc w:val="both"/>
      </w:pPr>
      <w:r w:rsidRPr="005775D8">
        <w:t xml:space="preserve">A tárgyévi közhasznú tevékenység bevételei </w:t>
      </w:r>
      <w:r w:rsidRPr="005775D8">
        <w:rPr>
          <w:b/>
        </w:rPr>
        <w:t xml:space="preserve">379.158 </w:t>
      </w:r>
      <w:proofErr w:type="spellStart"/>
      <w:r w:rsidRPr="005775D8">
        <w:rPr>
          <w:b/>
        </w:rPr>
        <w:t>eFt</w:t>
      </w:r>
      <w:proofErr w:type="spellEnd"/>
      <w:r w:rsidRPr="005775D8">
        <w:t xml:space="preserve">, kiadásai: </w:t>
      </w:r>
      <w:r w:rsidRPr="005775D8">
        <w:rPr>
          <w:b/>
        </w:rPr>
        <w:t xml:space="preserve">394.673 </w:t>
      </w:r>
      <w:proofErr w:type="spellStart"/>
      <w:r w:rsidRPr="005775D8">
        <w:rPr>
          <w:b/>
        </w:rPr>
        <w:t>eFt</w:t>
      </w:r>
      <w:proofErr w:type="spellEnd"/>
      <w:r w:rsidRPr="005775D8">
        <w:t>,</w:t>
      </w:r>
    </w:p>
    <w:p w:rsidR="00064CBA" w:rsidRPr="005775D8" w:rsidRDefault="00064CBA" w:rsidP="00064CBA">
      <w:pPr>
        <w:jc w:val="both"/>
      </w:pPr>
      <w:r w:rsidRPr="005775D8">
        <w:t>A központi költségvetési szervtől támogatás nem volt.</w:t>
      </w:r>
    </w:p>
    <w:p w:rsidR="00064CBA" w:rsidRPr="005775D8" w:rsidRDefault="00064CBA" w:rsidP="00064CBA">
      <w:pPr>
        <w:jc w:val="both"/>
      </w:pPr>
      <w:r w:rsidRPr="005775D8">
        <w:t>Vagyon felhasználásával kapcsolatos kimutatás:</w:t>
      </w:r>
    </w:p>
    <w:p w:rsidR="00064CBA" w:rsidRPr="005775D8" w:rsidRDefault="00064CBA" w:rsidP="00064CBA">
      <w:pPr>
        <w:jc w:val="both"/>
      </w:pPr>
      <w:r w:rsidRPr="005775D8">
        <w:t xml:space="preserve">A befektetett eszközök tárgyévi nettó értéke </w:t>
      </w:r>
      <w:r w:rsidRPr="005775D8">
        <w:rPr>
          <w:b/>
        </w:rPr>
        <w:t>20.580</w:t>
      </w:r>
      <w:r>
        <w:rPr>
          <w:b/>
        </w:rPr>
        <w:t xml:space="preserve"> </w:t>
      </w:r>
      <w:proofErr w:type="spellStart"/>
      <w:r w:rsidRPr="005775D8">
        <w:rPr>
          <w:b/>
        </w:rPr>
        <w:t>eFt</w:t>
      </w:r>
      <w:proofErr w:type="spellEnd"/>
      <w:r w:rsidRPr="005775D8">
        <w:t xml:space="preserve">. </w:t>
      </w:r>
    </w:p>
    <w:p w:rsidR="00064CBA" w:rsidRPr="005775D8" w:rsidRDefault="00064CBA" w:rsidP="00064CBA">
      <w:pPr>
        <w:jc w:val="both"/>
      </w:pPr>
      <w:r w:rsidRPr="005775D8">
        <w:t xml:space="preserve">A Szolgálat a technikai erőforrások fejlesztésére 844 </w:t>
      </w:r>
      <w:proofErr w:type="spellStart"/>
      <w:r w:rsidRPr="005775D8">
        <w:t>eFt-ot</w:t>
      </w:r>
      <w:proofErr w:type="spellEnd"/>
      <w:r w:rsidRPr="005775D8">
        <w:t xml:space="preserve"> fordított.</w:t>
      </w:r>
    </w:p>
    <w:p w:rsidR="00064CBA" w:rsidRPr="005775D8" w:rsidRDefault="00064CBA" w:rsidP="00064CBA">
      <w:pPr>
        <w:jc w:val="both"/>
      </w:pPr>
      <w:r w:rsidRPr="005775D8">
        <w:t>A Szolgálat célszerinti juttatásban a tárgy évben nem részesült.</w:t>
      </w:r>
    </w:p>
    <w:p w:rsidR="00064CBA" w:rsidRPr="005775D8" w:rsidRDefault="00064CBA" w:rsidP="00064CBA">
      <w:pPr>
        <w:jc w:val="both"/>
      </w:pPr>
      <w:r w:rsidRPr="005775D8">
        <w:t>Elkülönített állami pénzalaptól és egyéb szervektől kapott támogatások:</w:t>
      </w:r>
    </w:p>
    <w:p w:rsidR="00064CBA" w:rsidRPr="005775D8" w:rsidRDefault="00064CBA" w:rsidP="00064CBA">
      <w:pPr>
        <w:jc w:val="both"/>
      </w:pPr>
      <w:r w:rsidRPr="005775D8">
        <w:t xml:space="preserve">A Munkaügyi Központ a közhasznú foglalkoztatáshoz 72.575 </w:t>
      </w:r>
      <w:proofErr w:type="spellStart"/>
      <w:r w:rsidRPr="005775D8">
        <w:t>eFt</w:t>
      </w:r>
      <w:proofErr w:type="spellEnd"/>
      <w:r w:rsidRPr="005775D8">
        <w:t xml:space="preserve"> támogatást nyújtott.</w:t>
      </w:r>
    </w:p>
    <w:p w:rsidR="00064CBA" w:rsidRPr="005775D8" w:rsidRDefault="00064CBA" w:rsidP="00064CBA">
      <w:pPr>
        <w:jc w:val="both"/>
      </w:pPr>
      <w:r w:rsidRPr="005775D8">
        <w:t xml:space="preserve">A helyi önkormányzatoktól összesen 72.223 </w:t>
      </w:r>
      <w:proofErr w:type="spellStart"/>
      <w:r w:rsidRPr="005775D8">
        <w:t>eFt</w:t>
      </w:r>
      <w:proofErr w:type="spellEnd"/>
      <w:r w:rsidRPr="005775D8">
        <w:t xml:space="preserve"> támogatást kapott, a Fővárosi Önkormányzattól 118.296 </w:t>
      </w:r>
      <w:proofErr w:type="spellStart"/>
      <w:r w:rsidRPr="005775D8">
        <w:t>eFt</w:t>
      </w:r>
      <w:proofErr w:type="spellEnd"/>
      <w:r w:rsidRPr="005775D8">
        <w:t xml:space="preserve"> támogatás érkezett.</w:t>
      </w:r>
    </w:p>
    <w:p w:rsidR="00064CBA" w:rsidRPr="005775D8" w:rsidRDefault="00064CBA" w:rsidP="00064CBA">
      <w:pPr>
        <w:jc w:val="both"/>
      </w:pPr>
      <w:r w:rsidRPr="005775D8">
        <w:t>A Szolgálat a tárgy év során nem részesült támogatásban kisebbségi települési önkormányzattól, települési önkormányzat társulásától, magán személytől, egyéni vállalkozótól, és személyiség nélküli társaságtól. Az Országos Foglalkoztatási Közalapítványtól, Európai Uniós társfinanszír</w:t>
      </w:r>
      <w:r w:rsidRPr="005775D8">
        <w:t>o</w:t>
      </w:r>
      <w:r w:rsidRPr="005775D8">
        <w:t xml:space="preserve">zású projektek támogatásból és közvetlen uniós forrásból 81.469 </w:t>
      </w:r>
      <w:proofErr w:type="spellStart"/>
      <w:r w:rsidRPr="005775D8">
        <w:t>eFt</w:t>
      </w:r>
      <w:proofErr w:type="spellEnd"/>
      <w:r w:rsidRPr="005775D8">
        <w:t xml:space="preserve"> pályázati támogatásba r</w:t>
      </w:r>
      <w:r w:rsidRPr="005775D8">
        <w:t>é</w:t>
      </w:r>
      <w:r w:rsidRPr="005775D8">
        <w:t xml:space="preserve">szesült. </w:t>
      </w:r>
    </w:p>
    <w:p w:rsidR="00064CBA" w:rsidRPr="002C6648" w:rsidRDefault="00064CBA" w:rsidP="00064CBA">
      <w:pPr>
        <w:jc w:val="both"/>
      </w:pPr>
      <w:r w:rsidRPr="00BB265D">
        <w:t>A vezető tisztségviselők javadalmazása:</w:t>
      </w:r>
    </w:p>
    <w:p w:rsidR="00064CBA" w:rsidRPr="002C6648" w:rsidRDefault="00064CBA" w:rsidP="00064CBA">
      <w:pPr>
        <w:jc w:val="both"/>
        <w:rPr>
          <w:color w:val="008080"/>
        </w:rPr>
      </w:pPr>
      <w:r w:rsidRPr="002C6648">
        <w:t>Ügyvezető munkabére 600.000 Ft/hó, prémiuma</w:t>
      </w:r>
      <w:r>
        <w:t xml:space="preserve"> – amennyiben kifizetésre kerül –</w:t>
      </w:r>
      <w:r w:rsidRPr="002C6648">
        <w:t xml:space="preserve"> 45 %-</w:t>
      </w:r>
      <w:proofErr w:type="gramStart"/>
      <w:r w:rsidRPr="002C6648">
        <w:t>a</w:t>
      </w:r>
      <w:proofErr w:type="gramEnd"/>
      <w:r w:rsidRPr="002C6648">
        <w:t>, a F</w:t>
      </w:r>
      <w:r w:rsidRPr="002C6648">
        <w:t>e</w:t>
      </w:r>
      <w:r w:rsidRPr="002C6648">
        <w:t>lügyelő Bizottság elnökének havi 79.900 Ft/hó, a tagjainak havi 54.400 Ft/hó a tiszteletdíja.</w:t>
      </w:r>
    </w:p>
    <w:p w:rsidR="00064CBA" w:rsidRPr="00B15A68" w:rsidRDefault="00064CBA" w:rsidP="00064CBA">
      <w:pPr>
        <w:jc w:val="both"/>
        <w:rPr>
          <w:bCs/>
        </w:rPr>
      </w:pPr>
      <w:r w:rsidRPr="00B15A68">
        <w:rPr>
          <w:bCs/>
        </w:rPr>
        <w:t>Rövid tartalmi beszámoló:</w:t>
      </w:r>
    </w:p>
    <w:p w:rsidR="00064CBA" w:rsidRDefault="00064CBA" w:rsidP="00064CBA">
      <w:pPr>
        <w:pStyle w:val="Szvegtrzsbehzssal"/>
        <w:tabs>
          <w:tab w:val="clear" w:pos="709"/>
        </w:tabs>
        <w:ind w:left="0" w:firstLine="0"/>
      </w:pPr>
      <w:r w:rsidRPr="004E35A9">
        <w:t>A munkába segítő szolgáltatásokat összesen 5.058 fő vette igénybe, legális munkahelyre 2.064 főt sikerült segíteni. Közülük 1.705 főt közfoglalkoztatásba, 359 főt pedig – a válság ellenére is – tartósabb, piaci munkahelyre sikerült segíteni. Ezen belül a fővárosi hajléktalanként regisztrált 851 ügyfél közül 554 főt sikerült közfoglalkoztatásba felvenni, s 32 hajléktalan személyt pedig nyílt piaci munkahelyre. Négy fővárosi kerületben működtettünk a kerületi munkanélküliek sz</w:t>
      </w:r>
      <w:r w:rsidRPr="004E35A9">
        <w:t>á</w:t>
      </w:r>
      <w:r w:rsidRPr="004E35A9">
        <w:t>mára közfoglalkoztatást.</w:t>
      </w:r>
      <w:r w:rsidRPr="00B15A68">
        <w:t xml:space="preserve"> </w:t>
      </w:r>
    </w:p>
    <w:p w:rsidR="00064CBA" w:rsidRPr="00B15A68" w:rsidRDefault="00064CBA" w:rsidP="00064CBA">
      <w:pPr>
        <w:pStyle w:val="Szvegtrzsbehzssal"/>
        <w:tabs>
          <w:tab w:val="clear" w:pos="709"/>
        </w:tabs>
        <w:ind w:left="0" w:firstLine="0"/>
      </w:pPr>
      <w:r>
        <w:t xml:space="preserve">Esélyegyenlőségi programjaink során </w:t>
      </w:r>
    </w:p>
    <w:p w:rsidR="00064CBA" w:rsidRDefault="00064CBA" w:rsidP="00064CBA">
      <w:pPr>
        <w:pStyle w:val="Szvegtrzsbehzssal"/>
        <w:tabs>
          <w:tab w:val="clear" w:pos="709"/>
        </w:tabs>
        <w:ind w:left="0" w:firstLine="0"/>
      </w:pPr>
      <w:r w:rsidRPr="00B15A68">
        <w:t>Ügyfélszolgálataink nyitvatartási rendje:</w:t>
      </w:r>
    </w:p>
    <w:p w:rsidR="00064CBA" w:rsidRPr="00B15A68" w:rsidRDefault="00064CBA" w:rsidP="00064CBA">
      <w:pPr>
        <w:pStyle w:val="Szvegtrzsbehzssal"/>
        <w:tabs>
          <w:tab w:val="clear" w:pos="709"/>
        </w:tabs>
        <w:ind w:left="0" w:firstLine="0"/>
      </w:pPr>
    </w:p>
    <w:p w:rsidR="00064CBA" w:rsidRPr="00B15A68" w:rsidRDefault="00064CBA" w:rsidP="00064CBA">
      <w:pPr>
        <w:pStyle w:val="Szvegtrzsbehzssal"/>
        <w:tabs>
          <w:tab w:val="clear" w:pos="709"/>
        </w:tabs>
        <w:ind w:left="0" w:firstLine="0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5"/>
        <w:gridCol w:w="1346"/>
        <w:gridCol w:w="1341"/>
        <w:gridCol w:w="1370"/>
        <w:gridCol w:w="1338"/>
        <w:gridCol w:w="1403"/>
      </w:tblGrid>
      <w:tr w:rsidR="00064CBA" w:rsidRPr="00B15A68" w:rsidTr="00A70C15">
        <w:tc>
          <w:tcPr>
            <w:tcW w:w="1641" w:type="dxa"/>
          </w:tcPr>
          <w:p w:rsidR="00064CBA" w:rsidRPr="00B15A68" w:rsidRDefault="00064CBA" w:rsidP="00A70C15">
            <w:pPr>
              <w:jc w:val="both"/>
            </w:pPr>
            <w:r w:rsidRPr="00B15A68">
              <w:t>Kirendeltség</w:t>
            </w:r>
          </w:p>
        </w:tc>
        <w:tc>
          <w:tcPr>
            <w:tcW w:w="1362" w:type="dxa"/>
          </w:tcPr>
          <w:p w:rsidR="00064CBA" w:rsidRPr="00B15A68" w:rsidRDefault="00064CBA" w:rsidP="00A70C15">
            <w:pPr>
              <w:jc w:val="center"/>
            </w:pPr>
            <w:r w:rsidRPr="00B15A68">
              <w:t>Hétfő</w:t>
            </w:r>
          </w:p>
        </w:tc>
        <w:tc>
          <w:tcPr>
            <w:tcW w:w="1357" w:type="dxa"/>
          </w:tcPr>
          <w:p w:rsidR="00064CBA" w:rsidRPr="00B15A68" w:rsidRDefault="00064CBA" w:rsidP="00A70C15">
            <w:pPr>
              <w:jc w:val="center"/>
              <w:rPr>
                <w:bCs/>
              </w:rPr>
            </w:pPr>
            <w:r w:rsidRPr="00B15A68">
              <w:rPr>
                <w:bCs/>
              </w:rPr>
              <w:t>Kedd</w:t>
            </w:r>
          </w:p>
        </w:tc>
        <w:tc>
          <w:tcPr>
            <w:tcW w:w="1384" w:type="dxa"/>
          </w:tcPr>
          <w:p w:rsidR="00064CBA" w:rsidRPr="00B15A68" w:rsidRDefault="00064CBA" w:rsidP="00A70C15">
            <w:pPr>
              <w:jc w:val="center"/>
            </w:pPr>
            <w:r w:rsidRPr="00B15A68">
              <w:t>Szerda</w:t>
            </w:r>
          </w:p>
        </w:tc>
        <w:tc>
          <w:tcPr>
            <w:tcW w:w="1344" w:type="dxa"/>
          </w:tcPr>
          <w:p w:rsidR="00064CBA" w:rsidRPr="00B15A68" w:rsidRDefault="00064CBA" w:rsidP="00A70C15">
            <w:pPr>
              <w:jc w:val="center"/>
            </w:pPr>
            <w:r w:rsidRPr="00B15A68">
              <w:t>Csütörtök</w:t>
            </w:r>
          </w:p>
        </w:tc>
        <w:tc>
          <w:tcPr>
            <w:tcW w:w="1417" w:type="dxa"/>
          </w:tcPr>
          <w:p w:rsidR="00064CBA" w:rsidRPr="00B15A68" w:rsidRDefault="00064CBA" w:rsidP="00A70C15">
            <w:pPr>
              <w:jc w:val="center"/>
              <w:rPr>
                <w:bCs/>
              </w:rPr>
            </w:pPr>
            <w:r w:rsidRPr="00B15A68">
              <w:rPr>
                <w:bCs/>
              </w:rPr>
              <w:t>Péntek</w:t>
            </w:r>
          </w:p>
        </w:tc>
      </w:tr>
      <w:tr w:rsidR="00064CBA" w:rsidRPr="00B15A68" w:rsidTr="00A70C15">
        <w:tc>
          <w:tcPr>
            <w:tcW w:w="1641" w:type="dxa"/>
          </w:tcPr>
          <w:p w:rsidR="00064CBA" w:rsidRPr="00B15A68" w:rsidRDefault="00064CBA" w:rsidP="00A70C15">
            <w:pPr>
              <w:rPr>
                <w:bCs/>
              </w:rPr>
            </w:pPr>
            <w:r w:rsidRPr="00B15A68">
              <w:rPr>
                <w:bCs/>
              </w:rPr>
              <w:t xml:space="preserve">Központ +II. ker. </w:t>
            </w:r>
            <w:proofErr w:type="spellStart"/>
            <w:r w:rsidRPr="00B15A68">
              <w:rPr>
                <w:bCs/>
              </w:rPr>
              <w:t>VIII.ker</w:t>
            </w:r>
            <w:proofErr w:type="spellEnd"/>
          </w:p>
        </w:tc>
        <w:tc>
          <w:tcPr>
            <w:tcW w:w="1362" w:type="dxa"/>
            <w:vAlign w:val="center"/>
          </w:tcPr>
          <w:p w:rsidR="00064CBA" w:rsidRPr="00B15A68" w:rsidRDefault="00064CBA" w:rsidP="00A70C15">
            <w:pPr>
              <w:jc w:val="center"/>
            </w:pPr>
            <w:r w:rsidRPr="00B15A68">
              <w:t>8</w:t>
            </w:r>
            <w:r w:rsidRPr="00B15A68">
              <w:rPr>
                <w:vertAlign w:val="superscript"/>
              </w:rPr>
              <w:t>00</w:t>
            </w:r>
            <w:r w:rsidRPr="00B15A68">
              <w:rPr>
                <w:u w:val="single"/>
                <w:vertAlign w:val="superscript"/>
              </w:rPr>
              <w:t xml:space="preserve"> </w:t>
            </w:r>
            <w:r w:rsidRPr="00B15A68">
              <w:t>- 14</w:t>
            </w:r>
            <w:r w:rsidRPr="00B15A68">
              <w:rPr>
                <w:vertAlign w:val="superscript"/>
              </w:rPr>
              <w:t>00</w:t>
            </w:r>
          </w:p>
        </w:tc>
        <w:tc>
          <w:tcPr>
            <w:tcW w:w="1357" w:type="dxa"/>
            <w:vAlign w:val="center"/>
          </w:tcPr>
          <w:p w:rsidR="00064CBA" w:rsidRPr="00B15A68" w:rsidRDefault="00064CBA" w:rsidP="00A70C15">
            <w:pPr>
              <w:jc w:val="center"/>
            </w:pPr>
            <w:r w:rsidRPr="00B15A68">
              <w:t>8</w:t>
            </w:r>
            <w:r w:rsidRPr="00B15A68">
              <w:rPr>
                <w:vertAlign w:val="superscript"/>
              </w:rPr>
              <w:t>00</w:t>
            </w:r>
            <w:r w:rsidRPr="00B15A68">
              <w:rPr>
                <w:u w:val="single"/>
                <w:vertAlign w:val="superscript"/>
              </w:rPr>
              <w:t xml:space="preserve"> </w:t>
            </w:r>
            <w:r w:rsidRPr="00B15A68">
              <w:t>- 14</w:t>
            </w:r>
            <w:r w:rsidRPr="00B15A68">
              <w:rPr>
                <w:vertAlign w:val="superscript"/>
              </w:rPr>
              <w:t>00</w:t>
            </w:r>
          </w:p>
        </w:tc>
        <w:tc>
          <w:tcPr>
            <w:tcW w:w="1384" w:type="dxa"/>
            <w:vAlign w:val="center"/>
          </w:tcPr>
          <w:p w:rsidR="00064CBA" w:rsidRPr="00B15A68" w:rsidRDefault="00064CBA" w:rsidP="00A70C15">
            <w:pPr>
              <w:jc w:val="center"/>
            </w:pPr>
            <w:r w:rsidRPr="00B15A68">
              <w:t>8</w:t>
            </w:r>
            <w:r w:rsidRPr="00B15A68">
              <w:rPr>
                <w:vertAlign w:val="superscript"/>
              </w:rPr>
              <w:t>00</w:t>
            </w:r>
            <w:r w:rsidRPr="00B15A68">
              <w:rPr>
                <w:u w:val="single"/>
                <w:vertAlign w:val="superscript"/>
              </w:rPr>
              <w:t xml:space="preserve"> </w:t>
            </w:r>
            <w:r w:rsidRPr="00B15A68">
              <w:t>- 14</w:t>
            </w:r>
            <w:r w:rsidRPr="00B15A68">
              <w:rPr>
                <w:vertAlign w:val="superscript"/>
              </w:rPr>
              <w:t>00</w:t>
            </w:r>
          </w:p>
        </w:tc>
        <w:tc>
          <w:tcPr>
            <w:tcW w:w="1344" w:type="dxa"/>
            <w:vAlign w:val="center"/>
          </w:tcPr>
          <w:p w:rsidR="00064CBA" w:rsidRPr="00B15A68" w:rsidRDefault="00064CBA" w:rsidP="00A70C15">
            <w:pPr>
              <w:jc w:val="center"/>
            </w:pPr>
            <w:r w:rsidRPr="00B15A68">
              <w:t>-</w:t>
            </w:r>
          </w:p>
        </w:tc>
        <w:tc>
          <w:tcPr>
            <w:tcW w:w="1417" w:type="dxa"/>
            <w:vAlign w:val="center"/>
          </w:tcPr>
          <w:p w:rsidR="00064CBA" w:rsidRPr="00B15A68" w:rsidRDefault="00064CBA" w:rsidP="00A70C15">
            <w:pPr>
              <w:jc w:val="center"/>
            </w:pPr>
            <w:r w:rsidRPr="00B15A68">
              <w:t>8</w:t>
            </w:r>
            <w:r w:rsidRPr="00B15A68">
              <w:rPr>
                <w:vertAlign w:val="superscript"/>
              </w:rPr>
              <w:t>00</w:t>
            </w:r>
            <w:r w:rsidRPr="00B15A68">
              <w:rPr>
                <w:u w:val="single"/>
                <w:vertAlign w:val="superscript"/>
              </w:rPr>
              <w:t xml:space="preserve"> </w:t>
            </w:r>
            <w:r w:rsidRPr="00B15A68">
              <w:t>- 13</w:t>
            </w:r>
            <w:r w:rsidRPr="00B15A68">
              <w:rPr>
                <w:vertAlign w:val="superscript"/>
              </w:rPr>
              <w:t>00</w:t>
            </w:r>
          </w:p>
        </w:tc>
      </w:tr>
      <w:tr w:rsidR="00064CBA" w:rsidRPr="00B15A68" w:rsidTr="00A70C15">
        <w:tc>
          <w:tcPr>
            <w:tcW w:w="1641" w:type="dxa"/>
          </w:tcPr>
          <w:p w:rsidR="00064CBA" w:rsidRPr="00B15A68" w:rsidRDefault="00064CBA" w:rsidP="00A70C15">
            <w:pPr>
              <w:rPr>
                <w:bCs/>
              </w:rPr>
            </w:pPr>
            <w:r w:rsidRPr="00B15A68">
              <w:rPr>
                <w:bCs/>
              </w:rPr>
              <w:t>XIV. ker.</w:t>
            </w:r>
          </w:p>
        </w:tc>
        <w:tc>
          <w:tcPr>
            <w:tcW w:w="1362" w:type="dxa"/>
          </w:tcPr>
          <w:p w:rsidR="00064CBA" w:rsidRPr="00B15A68" w:rsidRDefault="00064CBA" w:rsidP="00A70C15">
            <w:pPr>
              <w:jc w:val="center"/>
            </w:pPr>
            <w:r w:rsidRPr="00B15A68">
              <w:t>9</w:t>
            </w:r>
            <w:r w:rsidRPr="00B15A68">
              <w:rPr>
                <w:vertAlign w:val="superscript"/>
              </w:rPr>
              <w:t>00</w:t>
            </w:r>
            <w:r w:rsidRPr="00B15A68">
              <w:t>-14</w:t>
            </w:r>
            <w:r w:rsidRPr="00B15A68">
              <w:rPr>
                <w:vertAlign w:val="superscript"/>
              </w:rPr>
              <w:t>30</w:t>
            </w:r>
          </w:p>
        </w:tc>
        <w:tc>
          <w:tcPr>
            <w:tcW w:w="1357" w:type="dxa"/>
          </w:tcPr>
          <w:p w:rsidR="00064CBA" w:rsidRPr="00B15A68" w:rsidRDefault="00064CBA" w:rsidP="00A70C15">
            <w:pPr>
              <w:jc w:val="center"/>
            </w:pPr>
            <w:r w:rsidRPr="00B15A68">
              <w:t>9</w:t>
            </w:r>
            <w:r w:rsidRPr="00B15A68">
              <w:rPr>
                <w:vertAlign w:val="superscript"/>
              </w:rPr>
              <w:t>00</w:t>
            </w:r>
            <w:r w:rsidRPr="00B15A68">
              <w:t>-14</w:t>
            </w:r>
            <w:r w:rsidRPr="00B15A68">
              <w:rPr>
                <w:vertAlign w:val="superscript"/>
              </w:rPr>
              <w:t>30</w:t>
            </w:r>
          </w:p>
        </w:tc>
        <w:tc>
          <w:tcPr>
            <w:tcW w:w="1384" w:type="dxa"/>
          </w:tcPr>
          <w:p w:rsidR="00064CBA" w:rsidRPr="00B15A68" w:rsidRDefault="00064CBA" w:rsidP="00A70C15">
            <w:pPr>
              <w:jc w:val="center"/>
            </w:pPr>
            <w:r w:rsidRPr="00B15A68">
              <w:t>-</w:t>
            </w:r>
          </w:p>
        </w:tc>
        <w:tc>
          <w:tcPr>
            <w:tcW w:w="1344" w:type="dxa"/>
          </w:tcPr>
          <w:p w:rsidR="00064CBA" w:rsidRPr="00B15A68" w:rsidRDefault="00064CBA" w:rsidP="00A70C15">
            <w:pPr>
              <w:jc w:val="center"/>
            </w:pPr>
            <w:r w:rsidRPr="00B15A68">
              <w:t>9</w:t>
            </w:r>
            <w:r w:rsidRPr="00B15A68">
              <w:rPr>
                <w:vertAlign w:val="superscript"/>
              </w:rPr>
              <w:t>00</w:t>
            </w:r>
            <w:r w:rsidRPr="00B15A68">
              <w:t>-14</w:t>
            </w:r>
            <w:r w:rsidRPr="00B15A68">
              <w:rPr>
                <w:vertAlign w:val="superscript"/>
              </w:rPr>
              <w:t>30</w:t>
            </w:r>
          </w:p>
        </w:tc>
        <w:tc>
          <w:tcPr>
            <w:tcW w:w="1417" w:type="dxa"/>
          </w:tcPr>
          <w:p w:rsidR="00064CBA" w:rsidRPr="00B15A68" w:rsidRDefault="00064CBA" w:rsidP="00A70C15">
            <w:pPr>
              <w:jc w:val="center"/>
            </w:pPr>
            <w:r w:rsidRPr="00B15A68">
              <w:t>-</w:t>
            </w:r>
          </w:p>
        </w:tc>
      </w:tr>
      <w:tr w:rsidR="00064CBA" w:rsidRPr="00B15A68" w:rsidTr="00A70C15">
        <w:tc>
          <w:tcPr>
            <w:tcW w:w="1641" w:type="dxa"/>
          </w:tcPr>
          <w:p w:rsidR="00064CBA" w:rsidRPr="00B15A68" w:rsidRDefault="00064CBA" w:rsidP="00A70C15">
            <w:pPr>
              <w:rPr>
                <w:bCs/>
              </w:rPr>
            </w:pPr>
            <w:r w:rsidRPr="00B15A68">
              <w:rPr>
                <w:bCs/>
              </w:rPr>
              <w:t>XXI. ker.</w:t>
            </w:r>
          </w:p>
        </w:tc>
        <w:tc>
          <w:tcPr>
            <w:tcW w:w="1362" w:type="dxa"/>
          </w:tcPr>
          <w:p w:rsidR="00064CBA" w:rsidRPr="00B15A68" w:rsidRDefault="00064CBA" w:rsidP="00A70C15">
            <w:pPr>
              <w:jc w:val="center"/>
            </w:pPr>
            <w:r w:rsidRPr="00B15A68">
              <w:t>8</w:t>
            </w:r>
            <w:r w:rsidRPr="00B15A68">
              <w:rPr>
                <w:vertAlign w:val="superscript"/>
              </w:rPr>
              <w:t>00</w:t>
            </w:r>
            <w:r w:rsidRPr="00B15A68">
              <w:rPr>
                <w:u w:val="single"/>
                <w:vertAlign w:val="superscript"/>
              </w:rPr>
              <w:t xml:space="preserve"> </w:t>
            </w:r>
            <w:r w:rsidRPr="00B15A68">
              <w:t>- 18</w:t>
            </w:r>
            <w:r w:rsidRPr="00B15A68">
              <w:rPr>
                <w:vertAlign w:val="superscript"/>
              </w:rPr>
              <w:t>00</w:t>
            </w:r>
          </w:p>
        </w:tc>
        <w:tc>
          <w:tcPr>
            <w:tcW w:w="1357" w:type="dxa"/>
          </w:tcPr>
          <w:p w:rsidR="00064CBA" w:rsidRPr="00B15A68" w:rsidRDefault="00064CBA" w:rsidP="00A70C15">
            <w:pPr>
              <w:jc w:val="center"/>
            </w:pPr>
            <w:r w:rsidRPr="00B15A68">
              <w:t>-</w:t>
            </w:r>
          </w:p>
        </w:tc>
        <w:tc>
          <w:tcPr>
            <w:tcW w:w="1384" w:type="dxa"/>
          </w:tcPr>
          <w:p w:rsidR="00064CBA" w:rsidRPr="00B15A68" w:rsidRDefault="00064CBA" w:rsidP="00A70C15">
            <w:pPr>
              <w:jc w:val="center"/>
            </w:pPr>
            <w:r w:rsidRPr="00B15A68">
              <w:t>8</w:t>
            </w:r>
            <w:r w:rsidRPr="00B15A68">
              <w:rPr>
                <w:vertAlign w:val="superscript"/>
              </w:rPr>
              <w:t>00</w:t>
            </w:r>
            <w:r w:rsidRPr="00B15A68">
              <w:rPr>
                <w:u w:val="single"/>
                <w:vertAlign w:val="superscript"/>
              </w:rPr>
              <w:t xml:space="preserve"> </w:t>
            </w:r>
            <w:r w:rsidRPr="00B15A68">
              <w:t>- 16</w:t>
            </w:r>
            <w:r w:rsidRPr="00B15A68">
              <w:rPr>
                <w:vertAlign w:val="superscript"/>
              </w:rPr>
              <w:t>30</w:t>
            </w:r>
          </w:p>
        </w:tc>
        <w:tc>
          <w:tcPr>
            <w:tcW w:w="1344" w:type="dxa"/>
          </w:tcPr>
          <w:p w:rsidR="00064CBA" w:rsidRPr="00B15A68" w:rsidRDefault="00064CBA" w:rsidP="00A70C15">
            <w:pPr>
              <w:jc w:val="center"/>
            </w:pPr>
            <w:r w:rsidRPr="00B15A68">
              <w:t>-</w:t>
            </w:r>
          </w:p>
        </w:tc>
        <w:tc>
          <w:tcPr>
            <w:tcW w:w="1417" w:type="dxa"/>
          </w:tcPr>
          <w:p w:rsidR="00064CBA" w:rsidRPr="00B15A68" w:rsidRDefault="00064CBA" w:rsidP="00A70C15">
            <w:pPr>
              <w:jc w:val="center"/>
            </w:pPr>
            <w:r w:rsidRPr="00B15A68">
              <w:t>8</w:t>
            </w:r>
            <w:r w:rsidRPr="00B15A68">
              <w:rPr>
                <w:vertAlign w:val="superscript"/>
              </w:rPr>
              <w:t>00</w:t>
            </w:r>
            <w:r w:rsidRPr="00B15A68">
              <w:rPr>
                <w:u w:val="single"/>
                <w:vertAlign w:val="superscript"/>
              </w:rPr>
              <w:t xml:space="preserve"> </w:t>
            </w:r>
            <w:r w:rsidRPr="00B15A68">
              <w:t>- 11</w:t>
            </w:r>
            <w:r w:rsidRPr="00B15A68">
              <w:rPr>
                <w:vertAlign w:val="superscript"/>
              </w:rPr>
              <w:t>30</w:t>
            </w:r>
          </w:p>
        </w:tc>
      </w:tr>
    </w:tbl>
    <w:p w:rsidR="00064CBA" w:rsidRPr="00B15A68" w:rsidRDefault="00064CBA" w:rsidP="00064CBA">
      <w:pPr>
        <w:pStyle w:val="Szvegtrzsbehzssal"/>
        <w:tabs>
          <w:tab w:val="clear" w:pos="709"/>
        </w:tabs>
        <w:ind w:left="0" w:firstLine="0"/>
      </w:pPr>
    </w:p>
    <w:p w:rsidR="00064CBA" w:rsidRDefault="00064CBA" w:rsidP="00064CBA">
      <w:pPr>
        <w:pStyle w:val="Szvegtrzsbehzssal"/>
        <w:tabs>
          <w:tab w:val="clear" w:pos="709"/>
        </w:tabs>
        <w:ind w:left="0" w:firstLine="0"/>
      </w:pPr>
      <w:r w:rsidRPr="00B15A68">
        <w:t>Az ügyfélszolgálatok minden hozzá forduló személy számára ad elhelyezkedési tanácsadást, illetve szükség esetén elirányítja társ szakszolgálathoz, intézményhez (pl. egészségügyi, ment</w:t>
      </w:r>
      <w:r w:rsidRPr="00B15A68">
        <w:t>á</w:t>
      </w:r>
      <w:r w:rsidRPr="00B15A68">
        <w:t>lis, szociális, lakhatási problémák esetén). Közfoglalkoztatású munkahelyet annak a budapesti lakosnak ajánl, akinek ez a 1991. évi IV. törvény (</w:t>
      </w:r>
      <w:proofErr w:type="spellStart"/>
      <w:r w:rsidRPr="00B15A68">
        <w:t>Flt</w:t>
      </w:r>
      <w:proofErr w:type="spellEnd"/>
      <w:r w:rsidRPr="00B15A68">
        <w:t>.) 37/</w:t>
      </w:r>
      <w:proofErr w:type="gramStart"/>
      <w:r w:rsidRPr="00B15A68">
        <w:t>A.</w:t>
      </w:r>
      <w:proofErr w:type="gramEnd"/>
      <w:r w:rsidRPr="00B15A68">
        <w:t>§ és a 1993. évi III. törvény közcélú foglalkoztatásra vonatkozó előírásai alapján lehetséges.</w:t>
      </w:r>
    </w:p>
    <w:p w:rsidR="00064CBA" w:rsidRPr="00B15A68" w:rsidRDefault="00064CBA" w:rsidP="00064CBA">
      <w:pPr>
        <w:pStyle w:val="Szvegtrzsbehzssal"/>
        <w:tabs>
          <w:tab w:val="clear" w:pos="709"/>
        </w:tabs>
        <w:ind w:left="0" w:firstLine="0"/>
      </w:pPr>
    </w:p>
    <w:p w:rsidR="00064CBA" w:rsidRPr="00B15A68" w:rsidRDefault="00064CBA" w:rsidP="00064CBA">
      <w:pPr>
        <w:jc w:val="both"/>
      </w:pPr>
    </w:p>
    <w:p w:rsidR="00064CBA" w:rsidRDefault="00064CBA" w:rsidP="00064CBA">
      <w:pPr>
        <w:jc w:val="both"/>
      </w:pPr>
      <w:r w:rsidRPr="00B15A68">
        <w:lastRenderedPageBreak/>
        <w:t xml:space="preserve">Budapest, 2012. </w:t>
      </w:r>
      <w:r>
        <w:t>március 31</w:t>
      </w:r>
      <w:r w:rsidRPr="00B15A68">
        <w:t>.</w:t>
      </w:r>
    </w:p>
    <w:p w:rsidR="00064CBA" w:rsidRPr="00B15A68" w:rsidRDefault="00064CBA" w:rsidP="00064CBA">
      <w:pPr>
        <w:jc w:val="both"/>
      </w:pPr>
    </w:p>
    <w:p w:rsidR="00064CBA" w:rsidRPr="002D137D" w:rsidRDefault="00064CBA" w:rsidP="00064CBA">
      <w:pPr>
        <w:jc w:val="both"/>
        <w:rPr>
          <w:highlight w:val="yellow"/>
        </w:rPr>
      </w:pPr>
    </w:p>
    <w:p w:rsidR="00064CBA" w:rsidRPr="00582C76" w:rsidRDefault="00064CBA" w:rsidP="00064CBA">
      <w:pPr>
        <w:tabs>
          <w:tab w:val="center" w:pos="5387"/>
        </w:tabs>
        <w:ind w:left="567" w:hanging="283"/>
        <w:jc w:val="both"/>
      </w:pPr>
      <w:r w:rsidRPr="00582C76">
        <w:tab/>
      </w:r>
      <w:r w:rsidRPr="00582C76">
        <w:tab/>
        <w:t>Kulinyi Márton</w:t>
      </w:r>
    </w:p>
    <w:p w:rsidR="00064CBA" w:rsidRPr="00582C76" w:rsidRDefault="00064CBA" w:rsidP="00064CBA">
      <w:pPr>
        <w:tabs>
          <w:tab w:val="center" w:pos="5387"/>
        </w:tabs>
        <w:ind w:left="567" w:hanging="283"/>
        <w:jc w:val="both"/>
      </w:pPr>
      <w:r w:rsidRPr="00582C76">
        <w:tab/>
      </w:r>
      <w:r w:rsidRPr="00582C76">
        <w:tab/>
      </w:r>
      <w:proofErr w:type="gramStart"/>
      <w:r w:rsidRPr="00582C76">
        <w:t>ügyvezető</w:t>
      </w:r>
      <w:proofErr w:type="gramEnd"/>
      <w:r w:rsidRPr="00582C76">
        <w:t xml:space="preserve"> igazgató</w:t>
      </w:r>
    </w:p>
    <w:p w:rsidR="009B08F0" w:rsidRPr="00064CBA" w:rsidRDefault="009B08F0">
      <w:pPr>
        <w:rPr>
          <w:rFonts w:ascii="Arial" w:hAnsi="Arial"/>
          <w:b/>
          <w:sz w:val="28"/>
          <w:highlight w:val="yellow"/>
        </w:rPr>
      </w:pPr>
    </w:p>
    <w:sectPr w:rsidR="009B08F0" w:rsidRPr="00064CBA" w:rsidSect="009B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CE2"/>
    <w:multiLevelType w:val="multilevel"/>
    <w:tmpl w:val="5CDE19E4"/>
    <w:lvl w:ilvl="0">
      <w:start w:val="1"/>
      <w:numFmt w:val="decimal"/>
      <w:pStyle w:val="Cmsor1"/>
      <w:lvlText w:val="%1"/>
      <w:lvlJc w:val="left"/>
      <w:pPr>
        <w:tabs>
          <w:tab w:val="num" w:pos="2984"/>
        </w:tabs>
        <w:ind w:left="2984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64CBA"/>
    <w:rsid w:val="00040060"/>
    <w:rsid w:val="00064CBA"/>
    <w:rsid w:val="000C7C05"/>
    <w:rsid w:val="000D2696"/>
    <w:rsid w:val="001C00F8"/>
    <w:rsid w:val="002C14DE"/>
    <w:rsid w:val="00300A79"/>
    <w:rsid w:val="00316D07"/>
    <w:rsid w:val="00350524"/>
    <w:rsid w:val="0050601F"/>
    <w:rsid w:val="00553078"/>
    <w:rsid w:val="005C301C"/>
    <w:rsid w:val="0070529B"/>
    <w:rsid w:val="007532A9"/>
    <w:rsid w:val="00792573"/>
    <w:rsid w:val="008028AE"/>
    <w:rsid w:val="00850C55"/>
    <w:rsid w:val="00851E2F"/>
    <w:rsid w:val="008526F3"/>
    <w:rsid w:val="008A489A"/>
    <w:rsid w:val="008C2385"/>
    <w:rsid w:val="0090511F"/>
    <w:rsid w:val="009277E7"/>
    <w:rsid w:val="009B08F0"/>
    <w:rsid w:val="00A71BC4"/>
    <w:rsid w:val="00A75BFE"/>
    <w:rsid w:val="00AB112F"/>
    <w:rsid w:val="00B15329"/>
    <w:rsid w:val="00B659DA"/>
    <w:rsid w:val="00B83927"/>
    <w:rsid w:val="00B84BB0"/>
    <w:rsid w:val="00C03AEC"/>
    <w:rsid w:val="00C062AF"/>
    <w:rsid w:val="00C17501"/>
    <w:rsid w:val="00C6286B"/>
    <w:rsid w:val="00C80678"/>
    <w:rsid w:val="00CC4DEA"/>
    <w:rsid w:val="00CE57C8"/>
    <w:rsid w:val="00D04D9C"/>
    <w:rsid w:val="00D33BF8"/>
    <w:rsid w:val="00D40E5D"/>
    <w:rsid w:val="00D50B13"/>
    <w:rsid w:val="00DC1C16"/>
    <w:rsid w:val="00DF31B1"/>
    <w:rsid w:val="00E70B2D"/>
    <w:rsid w:val="00E96FDD"/>
    <w:rsid w:val="00EA77E4"/>
    <w:rsid w:val="00FB393C"/>
    <w:rsid w:val="00FB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4C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64CBA"/>
    <w:pPr>
      <w:keepNext/>
      <w:numPr>
        <w:numId w:val="1"/>
      </w:numPr>
      <w:tabs>
        <w:tab w:val="clear" w:pos="2984"/>
        <w:tab w:val="num" w:pos="432"/>
      </w:tabs>
      <w:spacing w:before="360" w:after="240"/>
      <w:ind w:left="431" w:hanging="431"/>
      <w:jc w:val="center"/>
      <w:outlineLvl w:val="0"/>
    </w:pPr>
    <w:rPr>
      <w:rFonts w:ascii="Arial" w:hAnsi="Arial"/>
      <w:b/>
      <w:sz w:val="28"/>
    </w:rPr>
  </w:style>
  <w:style w:type="paragraph" w:styleId="Cmsor2">
    <w:name w:val="heading 2"/>
    <w:basedOn w:val="Norml"/>
    <w:next w:val="Norml"/>
    <w:link w:val="Cmsor2Char"/>
    <w:qFormat/>
    <w:rsid w:val="00064CBA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/>
      <w:sz w:val="28"/>
    </w:rPr>
  </w:style>
  <w:style w:type="paragraph" w:styleId="Cmsor3">
    <w:name w:val="heading 3"/>
    <w:basedOn w:val="Norml"/>
    <w:next w:val="Norml"/>
    <w:link w:val="Cmsor3Char"/>
    <w:qFormat/>
    <w:rsid w:val="00064CBA"/>
    <w:pPr>
      <w:keepNext/>
      <w:numPr>
        <w:ilvl w:val="2"/>
        <w:numId w:val="1"/>
      </w:numPr>
      <w:spacing w:before="240" w:after="120"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qFormat/>
    <w:rsid w:val="00064CBA"/>
    <w:pPr>
      <w:keepNext/>
      <w:numPr>
        <w:ilvl w:val="3"/>
        <w:numId w:val="1"/>
      </w:numPr>
      <w:spacing w:before="120" w:after="120"/>
      <w:ind w:left="1287" w:hanging="862"/>
      <w:jc w:val="both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064C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link w:val="Cmsor6Char"/>
    <w:qFormat/>
    <w:rsid w:val="00064CB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link w:val="Cmsor7Char"/>
    <w:qFormat/>
    <w:rsid w:val="00064CB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064CB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064C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4CBA"/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64CBA"/>
    <w:rPr>
      <w:rFonts w:ascii="Arial" w:eastAsia="Times New Roman" w:hAnsi="Arial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64CBA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064CB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64CBA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64CBA"/>
    <w:rPr>
      <w:rFonts w:ascii="Times New Roman" w:eastAsia="Times New Roman" w:hAnsi="Times New Roman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64CBA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064CBA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064CBA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64CBA"/>
    <w:pPr>
      <w:tabs>
        <w:tab w:val="left" w:pos="709"/>
      </w:tabs>
      <w:ind w:left="1134" w:hanging="425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4CB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2396</Characters>
  <Application>Microsoft Office Word</Application>
  <DocSecurity>0</DocSecurity>
  <Lines>19</Lines>
  <Paragraphs>5</Paragraphs>
  <ScaleCrop>false</ScaleCrop>
  <Company>Főpolgármesteri Hivatal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Orsolya</dc:creator>
  <cp:keywords/>
  <dc:description/>
  <cp:lastModifiedBy>Nagy Orsolya</cp:lastModifiedBy>
  <cp:revision>1</cp:revision>
  <dcterms:created xsi:type="dcterms:W3CDTF">2012-05-07T12:21:00Z</dcterms:created>
  <dcterms:modified xsi:type="dcterms:W3CDTF">2012-05-07T12:21:00Z</dcterms:modified>
</cp:coreProperties>
</file>