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02" w:rsidRDefault="00E77602" w:rsidP="00E77602"/>
    <w:tbl>
      <w:tblPr>
        <w:tblW w:w="9678" w:type="dxa"/>
        <w:tblLook w:val="00BE"/>
      </w:tblPr>
      <w:tblGrid>
        <w:gridCol w:w="2436"/>
        <w:gridCol w:w="7242"/>
      </w:tblGrid>
      <w:tr w:rsidR="00B56A58" w:rsidRPr="001F4001" w:rsidTr="0094713A">
        <w:trPr>
          <w:trHeight w:hRule="exact" w:val="1524"/>
        </w:trPr>
        <w:tc>
          <w:tcPr>
            <w:tcW w:w="2416" w:type="dxa"/>
          </w:tcPr>
          <w:p w:rsidR="00B56A58" w:rsidRPr="001F4001" w:rsidRDefault="00775061" w:rsidP="0099765C">
            <w:pPr>
              <w:pStyle w:val="Stlus"/>
            </w:pPr>
            <w:r>
              <w:rPr>
                <w:noProof/>
              </w:rPr>
              <w:drawing>
                <wp:inline distT="0" distB="0" distL="0" distR="0">
                  <wp:extent cx="1381125" cy="857250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2" w:type="dxa"/>
            <w:vAlign w:val="center"/>
          </w:tcPr>
          <w:p w:rsidR="00B56A58" w:rsidRPr="001F4001" w:rsidRDefault="00B56A58" w:rsidP="00DB553C">
            <w:pPr>
              <w:pStyle w:val="Stlus"/>
              <w:jc w:val="center"/>
              <w:rPr>
                <w:b/>
                <w:bCs/>
                <w:spacing w:val="26"/>
              </w:rPr>
            </w:pPr>
          </w:p>
          <w:p w:rsidR="00B56A58" w:rsidRPr="001F4001" w:rsidRDefault="00B56A58" w:rsidP="00DB553C">
            <w:pPr>
              <w:pStyle w:val="Stlus"/>
              <w:spacing w:line="360" w:lineRule="auto"/>
              <w:jc w:val="center"/>
              <w:rPr>
                <w:spacing w:val="30"/>
              </w:rPr>
            </w:pPr>
            <w:r w:rsidRPr="001F4001">
              <w:rPr>
                <w:b/>
                <w:bCs/>
                <w:spacing w:val="26"/>
              </w:rPr>
              <w:t xml:space="preserve">ÉSZAK-PESTI INGATLAN- </w:t>
            </w:r>
            <w:proofErr w:type="gramStart"/>
            <w:r w:rsidRPr="001F4001">
              <w:rPr>
                <w:b/>
                <w:bCs/>
                <w:spacing w:val="26"/>
              </w:rPr>
              <w:t>ÉS</w:t>
            </w:r>
            <w:proofErr w:type="gramEnd"/>
            <w:r w:rsidRPr="001F4001">
              <w:rPr>
                <w:b/>
                <w:bCs/>
                <w:spacing w:val="26"/>
              </w:rPr>
              <w:t xml:space="preserve"> </w:t>
            </w:r>
            <w:r w:rsidR="00EC738D" w:rsidRPr="001F4001">
              <w:rPr>
                <w:b/>
                <w:bCs/>
                <w:spacing w:val="26"/>
              </w:rPr>
              <w:br/>
            </w:r>
            <w:r w:rsidRPr="001F4001">
              <w:rPr>
                <w:b/>
                <w:bCs/>
                <w:spacing w:val="26"/>
              </w:rPr>
              <w:t xml:space="preserve">TÉRSÉGFEJLESZTÉSI ZÁRTKÖRŰEN </w:t>
            </w:r>
            <w:r w:rsidR="00EC738D" w:rsidRPr="001F4001">
              <w:rPr>
                <w:b/>
                <w:bCs/>
                <w:spacing w:val="26"/>
              </w:rPr>
              <w:br/>
            </w:r>
            <w:r w:rsidRPr="001F4001">
              <w:rPr>
                <w:b/>
                <w:bCs/>
                <w:spacing w:val="26"/>
              </w:rPr>
              <w:t>MŰKÖDŐ RÉSZVÉNYTÁRSASÁG</w:t>
            </w:r>
          </w:p>
        </w:tc>
      </w:tr>
    </w:tbl>
    <w:p w:rsidR="00212680" w:rsidRDefault="006D08ED">
      <w:pPr>
        <w:spacing w:before="1800" w:after="960"/>
        <w:ind w:left="1418" w:firstLine="709"/>
        <w:jc w:val="center"/>
        <w:rPr>
          <w:b/>
          <w:sz w:val="44"/>
          <w:szCs w:val="44"/>
        </w:rPr>
      </w:pPr>
      <w:r w:rsidRPr="006D08ED">
        <w:rPr>
          <w:b/>
          <w:sz w:val="44"/>
          <w:szCs w:val="44"/>
        </w:rPr>
        <w:t>2011. évi üzleti jelentés</w:t>
      </w:r>
    </w:p>
    <w:p w:rsidR="00B56A58" w:rsidRPr="001F4001" w:rsidRDefault="00B56A58" w:rsidP="00B56A58"/>
    <w:p w:rsidR="00B56A58" w:rsidRDefault="00B56A58" w:rsidP="002F085E">
      <w:pPr>
        <w:spacing w:after="2040"/>
        <w:ind w:left="709" w:firstLine="709"/>
      </w:pPr>
    </w:p>
    <w:p w:rsidR="007146E2" w:rsidRDefault="007146E2" w:rsidP="002F085E">
      <w:pPr>
        <w:spacing w:after="2040"/>
        <w:ind w:left="709" w:firstLine="709"/>
      </w:pPr>
    </w:p>
    <w:p w:rsidR="007146E2" w:rsidRPr="001F4001" w:rsidRDefault="007146E2" w:rsidP="002F085E">
      <w:pPr>
        <w:spacing w:after="2040"/>
        <w:ind w:left="709" w:firstLine="709"/>
      </w:pPr>
    </w:p>
    <w:p w:rsidR="00B56A58" w:rsidRPr="001F4001" w:rsidRDefault="006446BE" w:rsidP="00B56A58">
      <w:r w:rsidRPr="001F4001">
        <w:t xml:space="preserve">Budapest, </w:t>
      </w:r>
      <w:r w:rsidR="000C3B05">
        <w:t>201</w:t>
      </w:r>
      <w:r w:rsidR="00E57BD9">
        <w:t>2</w:t>
      </w:r>
      <w:r w:rsidR="000C3B05">
        <w:t xml:space="preserve">. </w:t>
      </w:r>
      <w:r w:rsidR="00E57BD9">
        <w:t>március 31</w:t>
      </w:r>
      <w:r w:rsidR="000C3B05">
        <w:t>.</w:t>
      </w:r>
    </w:p>
    <w:p w:rsidR="00C326CE" w:rsidRPr="000B1174" w:rsidRDefault="00B56A58" w:rsidP="001940B9">
      <w:pPr>
        <w:pStyle w:val="Listaszerbekezds"/>
        <w:numPr>
          <w:ilvl w:val="0"/>
          <w:numId w:val="3"/>
        </w:numPr>
        <w:spacing w:after="480"/>
        <w:rPr>
          <w:b/>
          <w:i/>
        </w:rPr>
      </w:pPr>
      <w:r w:rsidRPr="000B1174">
        <w:rPr>
          <w:b/>
        </w:rPr>
        <w:br w:type="page"/>
      </w:r>
      <w:r w:rsidR="005A7AB8" w:rsidRPr="000B1174">
        <w:rPr>
          <w:b/>
          <w:i/>
        </w:rPr>
        <w:lastRenderedPageBreak/>
        <w:t>Bevezet</w:t>
      </w:r>
      <w:r w:rsidR="000C3B40" w:rsidRPr="000B1174">
        <w:rPr>
          <w:b/>
          <w:i/>
        </w:rPr>
        <w:t>és</w:t>
      </w:r>
    </w:p>
    <w:p w:rsidR="00DA7EF9" w:rsidRPr="001F4001" w:rsidRDefault="00DA7EF9" w:rsidP="003B0CFD">
      <w:pPr>
        <w:spacing w:after="240" w:line="276" w:lineRule="auto"/>
        <w:ind w:right="74" w:firstLine="357"/>
        <w:jc w:val="both"/>
      </w:pPr>
      <w:r w:rsidRPr="001F4001">
        <w:t>Budapest Fő</w:t>
      </w:r>
      <w:r w:rsidR="005E24A6" w:rsidRPr="001F4001">
        <w:t xml:space="preserve">város Önkormányzata és Budapest Főváros IV. kerület </w:t>
      </w:r>
      <w:r w:rsidRPr="001F4001">
        <w:t>Újpest</w:t>
      </w:r>
      <w:r w:rsidR="005E24A6" w:rsidRPr="001F4001">
        <w:t xml:space="preserve"> </w:t>
      </w:r>
      <w:r w:rsidRPr="001F4001">
        <w:t xml:space="preserve">Önkormányzata a Fővárosi Vagyonátadó Bizottság határozatainak figyelembevételével </w:t>
      </w:r>
      <w:r w:rsidR="005E24A6" w:rsidRPr="001F4001">
        <w:br/>
      </w:r>
      <w:r w:rsidRPr="001F4001">
        <w:t>1992-ben megállapodott a nem beépített</w:t>
      </w:r>
      <w:r w:rsidR="0040202E" w:rsidRPr="001F4001">
        <w:t>,</w:t>
      </w:r>
      <w:r w:rsidRPr="001F4001">
        <w:t xml:space="preserve"> egykori </w:t>
      </w:r>
      <w:r w:rsidR="0040202E" w:rsidRPr="001F4001">
        <w:t xml:space="preserve">káposztásmegyeri </w:t>
      </w:r>
      <w:r w:rsidRPr="001F4001">
        <w:t xml:space="preserve">lakásépítési terület tulajdonjogának 50-50 %-os megosztásában, majd 1993-ban további, felépítményes és egyéb ingatlanok </w:t>
      </w:r>
      <w:r w:rsidR="00942362">
        <w:t xml:space="preserve">közös </w:t>
      </w:r>
      <w:r w:rsidRPr="001F4001">
        <w:t>tulajdonlásában is.</w:t>
      </w:r>
    </w:p>
    <w:p w:rsidR="00632E13" w:rsidRPr="001F4001" w:rsidRDefault="002958A7" w:rsidP="003B0CFD">
      <w:pPr>
        <w:spacing w:after="240" w:line="276" w:lineRule="auto"/>
        <w:ind w:right="74" w:firstLine="357"/>
        <w:jc w:val="both"/>
      </w:pPr>
      <w:r w:rsidRPr="001F4001">
        <w:t>A</w:t>
      </w:r>
      <w:r w:rsidR="00DA7EF9" w:rsidRPr="001F4001">
        <w:t xml:space="preserve">z érintett Önkormányzatok, </w:t>
      </w:r>
      <w:r w:rsidR="00652C26" w:rsidRPr="001F4001">
        <w:t>valamint a főváro</w:t>
      </w:r>
      <w:r w:rsidR="00727EE1" w:rsidRPr="001F4001">
        <w:t>si és az újpesti Va</w:t>
      </w:r>
      <w:r w:rsidR="00DA7EF9" w:rsidRPr="001F4001">
        <w:t>gyonkezelő R</w:t>
      </w:r>
      <w:r w:rsidR="00B536A9" w:rsidRPr="001F4001">
        <w:t>t</w:t>
      </w:r>
      <w:r w:rsidR="00DA7EF9" w:rsidRPr="001F4001">
        <w:t>.</w:t>
      </w:r>
      <w:r w:rsidR="00B536A9" w:rsidRPr="001F4001">
        <w:t>-</w:t>
      </w:r>
      <w:r w:rsidR="00727EE1" w:rsidRPr="001F4001">
        <w:t xml:space="preserve">k </w:t>
      </w:r>
      <w:r w:rsidR="00652C26" w:rsidRPr="001F4001">
        <w:t>által</w:t>
      </w:r>
      <w:r w:rsidR="00FD20E3" w:rsidRPr="001F4001">
        <w:t>, 60 m</w:t>
      </w:r>
      <w:r w:rsidR="00DA7EF9" w:rsidRPr="001F4001">
        <w:t>illiós jegyzett tőkével</w:t>
      </w:r>
      <w:r w:rsidR="00652C26" w:rsidRPr="001F4001">
        <w:t xml:space="preserve"> létrehozott Észak-pesti Ingatlan</w:t>
      </w:r>
      <w:r w:rsidR="003C5485" w:rsidRPr="001F4001">
        <w:t>-</w:t>
      </w:r>
      <w:r w:rsidR="00652C26" w:rsidRPr="001F4001">
        <w:t xml:space="preserve"> és Térségfejlesztési</w:t>
      </w:r>
      <w:r w:rsidR="007F5825" w:rsidRPr="001F4001">
        <w:t xml:space="preserve"> Rt</w:t>
      </w:r>
      <w:r w:rsidR="00B536A9" w:rsidRPr="001F4001">
        <w:t>.</w:t>
      </w:r>
      <w:r w:rsidR="00652C26" w:rsidRPr="001F4001">
        <w:t xml:space="preserve"> 19</w:t>
      </w:r>
      <w:r w:rsidR="00632E13" w:rsidRPr="001F4001">
        <w:t>96-ban kezdte meg tevékenységét az „Ingatlan- és térségfejlesztési együttműködési, vagyonkezelési megbízási szerződés</w:t>
      </w:r>
      <w:r w:rsidR="007F5825" w:rsidRPr="001F4001">
        <w:t>”</w:t>
      </w:r>
      <w:r w:rsidR="00632E13" w:rsidRPr="001F4001">
        <w:t xml:space="preserve"> alapján.</w:t>
      </w:r>
      <w:r w:rsidR="00DA7EF9" w:rsidRPr="001F4001">
        <w:t xml:space="preserve"> Feladatát képezte </w:t>
      </w:r>
      <w:r w:rsidR="006446BE" w:rsidRPr="001F4001">
        <w:t xml:space="preserve">a kezelésre átadott területek rendezése, </w:t>
      </w:r>
      <w:r w:rsidR="00DA7EF9" w:rsidRPr="001F4001">
        <w:t>az egyes területek értékesítése; az értékesítési bevételek visszaforgatása a terület-előkészítési és fejlesztés célok megvalósításához; külső, területfejlesztésben érdekelt befektetők bevonása, valamint a program befejezését követően a vagyonnal és</w:t>
      </w:r>
      <w:r w:rsidR="006446BE" w:rsidRPr="001F4001">
        <w:t xml:space="preserve"> annak</w:t>
      </w:r>
      <w:r w:rsidR="00DA7EF9" w:rsidRPr="001F4001">
        <w:t xml:space="preserve"> növekményével történő elszámolás. </w:t>
      </w:r>
    </w:p>
    <w:p w:rsidR="001D74D8" w:rsidRDefault="001D74D8" w:rsidP="005D41F9">
      <w:pPr>
        <w:spacing w:after="240" w:line="276" w:lineRule="auto"/>
        <w:ind w:firstLine="426"/>
        <w:jc w:val="both"/>
      </w:pPr>
      <w:r>
        <w:t>A fejlesztési terület ingatlanviszonyainak rendezése, a fejlesztésekhez szükséges szabályozások előkészítése, a 2,6 milliárd Ft értékű műszaki infrastruktúra (út, közmű, zöldterület) kiépítése nem csupán a fejlesztési terület értékét és minőségét növelte, hanem lehetővé tette külső befektetők területfejlesztési céljainak megvalósítását is.</w:t>
      </w:r>
    </w:p>
    <w:p w:rsidR="001D74D8" w:rsidRDefault="001D74D8" w:rsidP="005D41F9">
      <w:pPr>
        <w:spacing w:after="240" w:line="276" w:lineRule="auto"/>
        <w:ind w:firstLine="426"/>
        <w:jc w:val="both"/>
      </w:pPr>
      <w:r>
        <w:t>A területen felépült mintegy 1200 lakás, az Észak-pesti Ipari Parkban működő 25 vállalkozás 6 milliárd Ft értékű beruházással mintegy 800 munkahelyet teremtett.</w:t>
      </w:r>
    </w:p>
    <w:p w:rsidR="001D74D8" w:rsidRDefault="001D74D8" w:rsidP="005D41F9">
      <w:pPr>
        <w:spacing w:after="240" w:line="276" w:lineRule="auto"/>
        <w:ind w:firstLine="426"/>
        <w:jc w:val="both"/>
      </w:pPr>
      <w:r>
        <w:t xml:space="preserve">2008. decemberében megnyílt az </w:t>
      </w:r>
      <w:proofErr w:type="spellStart"/>
      <w:r>
        <w:t>Aquaworld</w:t>
      </w:r>
      <w:proofErr w:type="spellEnd"/>
      <w:r>
        <w:t>, amely a kapcsolódó szállodai kapacitással együtt mintegy 17 milliárd Ft értékű beruházást jelent.</w:t>
      </w:r>
    </w:p>
    <w:p w:rsidR="001D74D8" w:rsidRDefault="001D74D8" w:rsidP="005D41F9">
      <w:pPr>
        <w:spacing w:after="240" w:line="276" w:lineRule="auto"/>
        <w:ind w:firstLine="426"/>
        <w:jc w:val="both"/>
      </w:pPr>
      <w:r w:rsidRPr="00473919">
        <w:t xml:space="preserve">A korábbi, jelentős volumenű ingatlan-értékesítés, terület-előkészítés üteme, és részben tartalma 2007-től fokozatosan átalakult. A </w:t>
      </w:r>
      <w:r w:rsidRPr="00473919">
        <w:rPr>
          <w:i/>
        </w:rPr>
        <w:t xml:space="preserve">Káposztásmegyeri Fejlesztési Program </w:t>
      </w:r>
      <w:r w:rsidRPr="00473919">
        <w:t>befejező fázisához közeledik, az elmúlt években - elsősorban a Keretszerződés többszöri, rövid időszakra történt meghosszabbításai miatt – a hangsúly a tervezett fejlesztések előkészítésére, tervezési, engedélyeztetési feladatokra koncentrálódott. Ezzel párhuzamosan tovább folyt a kezelt területek fenntartása.</w:t>
      </w:r>
    </w:p>
    <w:p w:rsidR="005D41F9" w:rsidRDefault="005D41F9" w:rsidP="005D41F9">
      <w:pPr>
        <w:spacing w:after="240" w:line="276" w:lineRule="auto"/>
        <w:jc w:val="both"/>
      </w:pPr>
      <w:r>
        <w:t>A társaság a Káposztásmegyeri Fejlesztési terület mellett új feladatokat is kapott, ahol a fejlesztési tevékenységgel szerzett tapasztalatok ismét kamatoztathatóvá váltak. Ezekhez kapcsolódnak az alábbiak:</w:t>
      </w:r>
    </w:p>
    <w:p w:rsidR="001D74D8" w:rsidRDefault="001D74D8" w:rsidP="00B6429E">
      <w:pPr>
        <w:spacing w:after="240" w:line="276" w:lineRule="auto"/>
      </w:pPr>
      <w:r w:rsidRPr="00463AEA">
        <w:t>A Fővárosi Közgyűlés 2010. augusztus 26-i ülésén és ezzel egyezően az Újpesti Közgyűlés 2010. szeptember 14-i ülésén született döntésekkel</w:t>
      </w:r>
      <w:r>
        <w:t xml:space="preserve"> </w:t>
      </w:r>
    </w:p>
    <w:p w:rsidR="001D74D8" w:rsidRDefault="001D74D8" w:rsidP="001940B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76" w:lineRule="auto"/>
        <w:ind w:left="720" w:hanging="720"/>
        <w:jc w:val="both"/>
        <w:textAlignment w:val="baseline"/>
      </w:pPr>
      <w:r>
        <w:t>felhatalmazta az ÉPIT </w:t>
      </w:r>
      <w:proofErr w:type="spellStart"/>
      <w:r>
        <w:t>Zrt.-t</w:t>
      </w:r>
      <w:proofErr w:type="spellEnd"/>
      <w:r>
        <w:t xml:space="preserve"> hogy az Újpesti Szakrendelő „felújítás szakmai </w:t>
      </w:r>
      <w:proofErr w:type="spellStart"/>
      <w:r>
        <w:t>programjá</w:t>
      </w:r>
      <w:proofErr w:type="spellEnd"/>
      <w:r>
        <w:t>”</w:t>
      </w:r>
      <w:proofErr w:type="spellStart"/>
      <w:r>
        <w:t>-t</w:t>
      </w:r>
      <w:proofErr w:type="spellEnd"/>
      <w:r>
        <w:t xml:space="preserve"> a Károlyi Sándor Kórház és Rendelőintézet bevonásával készíttesse el; (1657/2010.(VIII.26.) Főv. Kgy. határozat és 366/2010.(IX.14.) Önk. határozat)</w:t>
      </w:r>
    </w:p>
    <w:p w:rsidR="001D74D8" w:rsidRDefault="001D74D8" w:rsidP="001940B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360" w:line="276" w:lineRule="auto"/>
        <w:ind w:left="720" w:hanging="720"/>
        <w:jc w:val="both"/>
        <w:textAlignment w:val="baseline"/>
      </w:pPr>
      <w:r>
        <w:lastRenderedPageBreak/>
        <w:t>felkérte a Főpolgármestert, vizsgálja meg a lehetőségét és készítse elő az ÉPIT Zrt. feladat- és hatókörének kiterjesztését Újpest-Városkapu térségére; (1658/2010.(VIII.26.)</w:t>
      </w:r>
      <w:r w:rsidRPr="00EB00A1">
        <w:t xml:space="preserve"> </w:t>
      </w:r>
      <w:r>
        <w:t>Főv. Kgy. határozat), illetve egyetértett azzal, hogy a feladatkör kiterjesztésre kerüljön; (366/2010.(IX.14.) Önk. határozat.)</w:t>
      </w:r>
    </w:p>
    <w:p w:rsidR="001D74D8" w:rsidRDefault="001D74D8" w:rsidP="000B1174">
      <w:pPr>
        <w:spacing w:after="240" w:line="276" w:lineRule="auto"/>
      </w:pPr>
      <w:r>
        <w:t xml:space="preserve">A Fővárosi Közgyűlés 2011.VIII.31-én tárgyalta „Az ÉPIT Zrt. feladat- és hatókörének kiterjesztése Újpest-Városkapu térségére” c. előterjesztést. A </w:t>
      </w:r>
      <w:r w:rsidRPr="007B3EC3">
        <w:t>Közgyűlés 2378/2011 (VIII.31.), 2380/2011 (VIII.31.), 2382/2011 (VIII.31.) sz</w:t>
      </w:r>
      <w:r>
        <w:t>.</w:t>
      </w:r>
      <w:r w:rsidRPr="007B3EC3">
        <w:t xml:space="preserve"> határozataib</w:t>
      </w:r>
      <w:r>
        <w:t xml:space="preserve">an úgy döntött, hogy </w:t>
      </w:r>
    </w:p>
    <w:p w:rsidR="001D74D8" w:rsidRDefault="001D74D8" w:rsidP="001940B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76" w:lineRule="auto"/>
        <w:ind w:left="720" w:hanging="720"/>
        <w:jc w:val="both"/>
        <w:textAlignment w:val="baseline"/>
      </w:pPr>
      <w:r>
        <w:t>a Keretszerződés hatályát 2015. december 31-ig meghosszabbítja,</w:t>
      </w:r>
    </w:p>
    <w:p w:rsidR="001D74D8" w:rsidRDefault="001D74D8" w:rsidP="001940B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76" w:lineRule="auto"/>
        <w:ind w:left="720" w:hanging="720"/>
        <w:jc w:val="both"/>
        <w:textAlignment w:val="baseline"/>
      </w:pPr>
      <w:r>
        <w:t>egyetért avval, hogy Újpest Önkormányzata és az ÉPIT Zrt. szerződést kössön Újpest-Városkapu térségében található újpesti tulajdonú ingatlanokkal kapcsolatos vagyongazdálkodói, fejlesztési feladatokra,</w:t>
      </w:r>
    </w:p>
    <w:p w:rsidR="001D74D8" w:rsidRPr="00463AEA" w:rsidRDefault="001D74D8" w:rsidP="001940B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76" w:lineRule="auto"/>
        <w:ind w:left="720" w:hanging="720"/>
        <w:jc w:val="both"/>
        <w:textAlignment w:val="baseline"/>
      </w:pPr>
      <w:r>
        <w:t xml:space="preserve">az Újpest-Városkapu térségében található fővárosi tulajdonban lévő ingatlanokkal kapcsolatos vagyongazdálkodói, fejlesztési feladatokat a Budapest Főváros Vagyonkezelő Zrt. lássa el, együttműködve az ÉPIT Zrt.-vel, az együttműködésről a BFVK Zrt. kössön megállapodást az ÉPIT Zrt.-vel. </w:t>
      </w:r>
    </w:p>
    <w:p w:rsidR="00094D32" w:rsidRPr="001F4001" w:rsidRDefault="00094D32" w:rsidP="000B1174">
      <w:pPr>
        <w:spacing w:after="120" w:line="276" w:lineRule="auto"/>
        <w:ind w:firstLine="425"/>
        <w:jc w:val="both"/>
      </w:pPr>
      <w:r>
        <w:t>Jelenleg a K</w:t>
      </w:r>
      <w:r w:rsidRPr="001F4001">
        <w:t>eretszerződés 201</w:t>
      </w:r>
      <w:r>
        <w:t>5</w:t>
      </w:r>
      <w:r w:rsidRPr="001F4001">
        <w:t>.12.31-ig hatá</w:t>
      </w:r>
      <w:r>
        <w:t>l</w:t>
      </w:r>
      <w:r w:rsidRPr="001F4001">
        <w:t>yos</w:t>
      </w:r>
      <w:r>
        <w:t>, a</w:t>
      </w:r>
      <w:r w:rsidRPr="001F4001">
        <w:t xml:space="preserve"> – </w:t>
      </w:r>
      <w:r>
        <w:t xml:space="preserve">kizárólag a lejárati határidő meghosszabbítására vonatkozó - </w:t>
      </w:r>
      <w:proofErr w:type="gramStart"/>
      <w:r>
        <w:t xml:space="preserve">szerződés </w:t>
      </w:r>
      <w:r w:rsidRPr="007146E2">
        <w:t>módosítást</w:t>
      </w:r>
      <w:proofErr w:type="gramEnd"/>
      <w:r w:rsidRPr="007146E2">
        <w:t xml:space="preserve"> 2011</w:t>
      </w:r>
      <w:r>
        <w:t xml:space="preserve">.11.16 </w:t>
      </w:r>
      <w:proofErr w:type="spellStart"/>
      <w:r w:rsidRPr="001F4001">
        <w:t>-</w:t>
      </w:r>
      <w:r>
        <w:t>á</w:t>
      </w:r>
      <w:r w:rsidRPr="001F4001">
        <w:t>n</w:t>
      </w:r>
      <w:proofErr w:type="spellEnd"/>
      <w:r w:rsidRPr="001F4001">
        <w:t xml:space="preserve"> írták alá a </w:t>
      </w:r>
      <w:r>
        <w:t>Megbízók</w:t>
      </w:r>
      <w:r w:rsidRPr="001F4001">
        <w:t xml:space="preserve">.  </w:t>
      </w:r>
    </w:p>
    <w:p w:rsidR="00053995" w:rsidRDefault="005A5F94" w:rsidP="000B1174">
      <w:pPr>
        <w:spacing w:after="120" w:line="276" w:lineRule="auto"/>
        <w:ind w:firstLine="425"/>
        <w:jc w:val="both"/>
      </w:pPr>
      <w:r w:rsidRPr="001F4001">
        <w:t>A 201</w:t>
      </w:r>
      <w:r w:rsidR="001D74D8">
        <w:t>1</w:t>
      </w:r>
      <w:r w:rsidRPr="001F4001">
        <w:t xml:space="preserve">. évi Üzleti és Fejlesztési tervet társaságunk elkészítette </w:t>
      </w:r>
      <w:r w:rsidR="0072628D" w:rsidRPr="001F4001">
        <w:t>és azt 201</w:t>
      </w:r>
      <w:r w:rsidR="001D74D8">
        <w:t>1</w:t>
      </w:r>
      <w:r w:rsidR="0072628D" w:rsidRPr="001F4001">
        <w:t xml:space="preserve">. </w:t>
      </w:r>
      <w:r w:rsidR="00EB3A2A" w:rsidRPr="001F4001">
        <w:t>m</w:t>
      </w:r>
      <w:r w:rsidR="0072628D" w:rsidRPr="001F4001">
        <w:t xml:space="preserve">árcius </w:t>
      </w:r>
      <w:r w:rsidR="001D74D8">
        <w:t>9</w:t>
      </w:r>
      <w:r w:rsidR="0072628D" w:rsidRPr="001F4001">
        <w:t xml:space="preserve">-én az Igazgatóság jóváhagyta, valamint javasolta a Közgyűlésnek elfogadásra. </w:t>
      </w:r>
      <w:r w:rsidR="00053995">
        <w:t xml:space="preserve">A Közgyűlés a </w:t>
      </w:r>
      <w:r w:rsidR="00DD2404" w:rsidRPr="00381CE2">
        <w:t xml:space="preserve">tervet </w:t>
      </w:r>
      <w:r w:rsidR="009C5ACA" w:rsidRPr="00381CE2">
        <w:t xml:space="preserve">11/2011 (V.27.) </w:t>
      </w:r>
      <w:proofErr w:type="spellStart"/>
      <w:r w:rsidR="009C5ACA" w:rsidRPr="00381CE2">
        <w:t>Kgy.hat</w:t>
      </w:r>
      <w:proofErr w:type="spellEnd"/>
      <w:r w:rsidR="009C5ACA" w:rsidRPr="00381CE2">
        <w:t xml:space="preserve">. </w:t>
      </w:r>
      <w:proofErr w:type="gramStart"/>
      <w:r w:rsidR="009C5ACA" w:rsidRPr="00381CE2">
        <w:t>számú</w:t>
      </w:r>
      <w:proofErr w:type="gramEnd"/>
      <w:r w:rsidR="009C5ACA" w:rsidRPr="00381CE2">
        <w:t xml:space="preserve"> határozatával </w:t>
      </w:r>
      <w:r w:rsidR="006D08ED" w:rsidRPr="00381CE2">
        <w:t>elfogadta</w:t>
      </w:r>
      <w:r w:rsidR="00053995" w:rsidRPr="00381CE2">
        <w:t>.</w:t>
      </w:r>
      <w:r w:rsidR="00053995">
        <w:t xml:space="preserve"> </w:t>
      </w:r>
    </w:p>
    <w:p w:rsidR="00A0133E" w:rsidRDefault="001D74D8" w:rsidP="000B1174">
      <w:pPr>
        <w:spacing w:after="120" w:line="276" w:lineRule="auto"/>
        <w:ind w:firstLine="425"/>
        <w:jc w:val="both"/>
      </w:pPr>
      <w:r>
        <w:t xml:space="preserve">A társaság </w:t>
      </w:r>
      <w:r w:rsidR="00955246">
        <w:t xml:space="preserve">Igazgatósága </w:t>
      </w:r>
      <w:r>
        <w:t xml:space="preserve">határozatot hozott arról is, hogy a társaság kezdeményezze a Keretszerződés oly módon történő módosítását, </w:t>
      </w:r>
      <w:r w:rsidRPr="00CE3896">
        <w:t>hogy az ÉPIT Zrt. felhatalmazást kapjon, hogy a tevékenységének eredményeképpen létrejövő infrastrukturális, közjóléti és közművagyon értékének növekménye után 2011. évtől a Keretszerződésben foglalt, az ingatlan értéknövekményre meghatározott mértékű díjazásban részesülhessen</w:t>
      </w:r>
      <w:r>
        <w:t>, valamint a fenntartási munkák után is azonos mértékű díjat számolhasson el.</w:t>
      </w:r>
      <w:r w:rsidRPr="001D74D8">
        <w:t xml:space="preserve"> </w:t>
      </w:r>
    </w:p>
    <w:p w:rsidR="00A0133E" w:rsidRPr="001F4001" w:rsidRDefault="00A0133E" w:rsidP="000B1174">
      <w:pPr>
        <w:spacing w:after="120" w:line="276" w:lineRule="auto"/>
        <w:ind w:firstLine="425"/>
        <w:jc w:val="both"/>
      </w:pPr>
      <w:r w:rsidRPr="001F4001">
        <w:t>Az ÉPIT Zrt. a 201</w:t>
      </w:r>
      <w:r>
        <w:t>1</w:t>
      </w:r>
      <w:r w:rsidRPr="001F4001">
        <w:t xml:space="preserve">. évi </w:t>
      </w:r>
      <w:r>
        <w:t xml:space="preserve">fejlesztési </w:t>
      </w:r>
      <w:r w:rsidRPr="001F4001">
        <w:t xml:space="preserve">tervét </w:t>
      </w:r>
      <w:r>
        <w:t>a</w:t>
      </w:r>
      <w:r w:rsidR="00381CE2">
        <w:t>zz</w:t>
      </w:r>
      <w:r>
        <w:t xml:space="preserve">al a feltételezéssel </w:t>
      </w:r>
      <w:r w:rsidRPr="001F4001">
        <w:t>készítette</w:t>
      </w:r>
      <w:r>
        <w:t xml:space="preserve">, hogy a Keretszerződés </w:t>
      </w:r>
      <w:r w:rsidR="007146E2">
        <w:t>igazgatósági</w:t>
      </w:r>
      <w:r w:rsidR="008878E1">
        <w:t xml:space="preserve"> határozatban javasolt </w:t>
      </w:r>
      <w:r>
        <w:t>módosítására sor kerül</w:t>
      </w:r>
      <w:r w:rsidR="008878E1">
        <w:t>,</w:t>
      </w:r>
      <w:r>
        <w:t xml:space="preserve"> és </w:t>
      </w:r>
      <w:r w:rsidR="00053995">
        <w:t>a fejlesztési, fenntartási munkák után díjazásban részesül.</w:t>
      </w:r>
      <w:r w:rsidRPr="001F4001">
        <w:t xml:space="preserve"> </w:t>
      </w:r>
    </w:p>
    <w:p w:rsidR="00F71D45" w:rsidRDefault="001D74D8" w:rsidP="000B1174">
      <w:pPr>
        <w:spacing w:after="120" w:line="276" w:lineRule="auto"/>
        <w:ind w:firstLine="425"/>
        <w:jc w:val="both"/>
      </w:pPr>
      <w:r>
        <w:t xml:space="preserve">A 2011. évben sajnálatos módon nem sikerült sem a fejlesztési díjazásról, sem pedig egyéb </w:t>
      </w:r>
      <w:r w:rsidR="00357E35">
        <w:t xml:space="preserve">a Keretszerződéshez kapcsolódó </w:t>
      </w:r>
      <w:r>
        <w:t xml:space="preserve">kompenzációról a Zrt. Megbízóival megállapodnunk, rajtunk kívül álló, objektív akadályok miatt. Ez a társaság gazdálkodását tekintve annyit jelent, hogy a fejlesztési területen elvégzett feladatokkal kapcsolatosan felmerülő költségeink nem kerültek megtérítésre. </w:t>
      </w:r>
    </w:p>
    <w:p w:rsidR="00094D32" w:rsidRDefault="00094D32" w:rsidP="000B1174">
      <w:pPr>
        <w:spacing w:after="120" w:line="276" w:lineRule="auto"/>
        <w:ind w:firstLine="425"/>
        <w:jc w:val="both"/>
      </w:pPr>
      <w:r>
        <w:t>A Keretszerződés szerinti tevékenységeink három fő ágra bonthatók: az Észak</w:t>
      </w:r>
      <w:r w:rsidR="00381CE2">
        <w:t>-p</w:t>
      </w:r>
      <w:r>
        <w:t>esti Térség fejlesztése,</w:t>
      </w:r>
      <w:r w:rsidRPr="00094D32">
        <w:t xml:space="preserve"> </w:t>
      </w:r>
      <w:r>
        <w:t>az ingatlanok értékesítésre való előkészítése</w:t>
      </w:r>
      <w:r w:rsidR="00381CE2">
        <w:t xml:space="preserve"> és értékesítése</w:t>
      </w:r>
      <w:r>
        <w:t xml:space="preserve">; </w:t>
      </w:r>
      <w:r w:rsidR="00381CE2">
        <w:t>a kezelt ingatlanok fenntartása</w:t>
      </w:r>
      <w:r>
        <w:t xml:space="preserve">. Az ingatlanok értékesítésre való előkészítését, a térség fejlesztését, a fenntartási munkákat a Keretszerződés módosításának elmaradása miatt díj nélkül végeztük. </w:t>
      </w:r>
      <w:r>
        <w:lastRenderedPageBreak/>
        <w:t xml:space="preserve">Az értékesítés az ingatlanpiac továbbhúzódó válsága, a fizetőképes </w:t>
      </w:r>
      <w:proofErr w:type="gramStart"/>
      <w:r>
        <w:t>kereslet tartós</w:t>
      </w:r>
      <w:proofErr w:type="gramEnd"/>
      <w:r>
        <w:t xml:space="preserve"> hiánya miatt csak részleges siker</w:t>
      </w:r>
      <w:r w:rsidR="00092B3D">
        <w:t>t hozott, a tervezett</w:t>
      </w:r>
      <w:r w:rsidR="00092B3D" w:rsidRPr="00092B3D">
        <w:t xml:space="preserve"> </w:t>
      </w:r>
      <w:r w:rsidR="00092B3D">
        <w:t>három</w:t>
      </w:r>
      <w:r w:rsidR="00092B3D" w:rsidRPr="00284343">
        <w:t xml:space="preserve"> ingatlan közül mindössze </w:t>
      </w:r>
      <w:r w:rsidR="00092B3D">
        <w:t>egy</w:t>
      </w:r>
      <w:r w:rsidR="00092B3D" w:rsidRPr="00284343">
        <w:t xml:space="preserve"> került értékesítésre</w:t>
      </w:r>
      <w:r w:rsidR="00092B3D">
        <w:t>, egy másikra pedig opciós szerződést kötöttünk.</w:t>
      </w:r>
    </w:p>
    <w:p w:rsidR="00092B3D" w:rsidRDefault="00092B3D" w:rsidP="000B1174">
      <w:pPr>
        <w:spacing w:after="120" w:line="276" w:lineRule="auto"/>
        <w:ind w:firstLine="425"/>
        <w:jc w:val="both"/>
      </w:pPr>
      <w:r>
        <w:t>A Zrt. árbevételeinek növelése, költségeink csökkentése érdekében intézkedéseket tettünk.</w:t>
      </w:r>
    </w:p>
    <w:p w:rsidR="00092B3D" w:rsidRDefault="00092B3D" w:rsidP="000B1174">
      <w:pPr>
        <w:spacing w:after="120" w:line="276" w:lineRule="auto"/>
        <w:ind w:firstLine="425"/>
        <w:jc w:val="both"/>
      </w:pPr>
      <w:r>
        <w:t>Az ingatlanpiaci kereslet alapos tanulmányozása után intézkedtünk, hogy az Észak-pesti Ipari Parkban található több mint 16 ezer négyzetméteres ingatlan telekosztás révén úgy kerüljön megosztásra, hogy abból négy – a fizetőképes kereslet részéről jobban preferált – ingatlan alakuljon ki.</w:t>
      </w:r>
    </w:p>
    <w:p w:rsidR="00F71D45" w:rsidRDefault="001D74D8" w:rsidP="000B1174">
      <w:pPr>
        <w:spacing w:after="120" w:line="276" w:lineRule="auto"/>
        <w:ind w:firstLine="425"/>
        <w:jc w:val="both"/>
      </w:pPr>
      <w:r>
        <w:t>A két tulajdonos önkormányzat között 2010.08.23-án létrejött, majd módosított</w:t>
      </w:r>
      <w:r w:rsidR="00F71D45">
        <w:t>,</w:t>
      </w:r>
      <w:r>
        <w:t xml:space="preserve"> </w:t>
      </w:r>
      <w:r w:rsidR="00F71D45">
        <w:t xml:space="preserve">az Újpesti Szakorvosi Rendelőintézetre vonatkozó </w:t>
      </w:r>
      <w:r>
        <w:t xml:space="preserve">megállapodás alapján 2011. évben szerződést kötöttünk Budapest Főváros IV. kerület Újpest Önkormányzatával a Megállapodásban foglalt – az Újpesti Szakorvosi Rendelőintézet felújítási vagy új rendelőintézet megvalósíthatóságának vizsgálata – feladatok ellátására. </w:t>
      </w:r>
    </w:p>
    <w:p w:rsidR="00F71D45" w:rsidRDefault="00F71D45" w:rsidP="000B1174">
      <w:pPr>
        <w:spacing w:after="120" w:line="276" w:lineRule="auto"/>
        <w:ind w:firstLine="425"/>
        <w:jc w:val="both"/>
        <w:rPr>
          <w:i/>
        </w:rPr>
      </w:pPr>
      <w:r>
        <w:t xml:space="preserve">A Fővárosi Közgyűlés, az Újpesti Képviselőtestület és az ÉPIT Zrt. Közgyűlésének határozatai alapján </w:t>
      </w:r>
      <w:r w:rsidR="00845395">
        <w:t>a</w:t>
      </w:r>
      <w:r w:rsidRPr="00357E35">
        <w:t xml:space="preserve">z Újpesti Önkormányzattal </w:t>
      </w:r>
      <w:r w:rsidR="00845395">
        <w:t>szerződés</w:t>
      </w:r>
      <w:r w:rsidR="00B839DE">
        <w:t>t</w:t>
      </w:r>
      <w:r w:rsidR="00845395">
        <w:t xml:space="preserve"> </w:t>
      </w:r>
      <w:r w:rsidR="00B839DE">
        <w:t>kötöttünk</w:t>
      </w:r>
      <w:r w:rsidR="00845395">
        <w:t xml:space="preserve"> </w:t>
      </w:r>
      <w:r w:rsidR="00845395" w:rsidRPr="00357E35">
        <w:t>Újpest-Városkapu térségében végze</w:t>
      </w:r>
      <w:r w:rsidR="00845395">
        <w:t>ndő</w:t>
      </w:r>
      <w:r w:rsidR="00845395" w:rsidRPr="00357E35">
        <w:t xml:space="preserve"> </w:t>
      </w:r>
      <w:r w:rsidR="00845395">
        <w:t>revitalizáció előkészítő munkáira</w:t>
      </w:r>
      <w:r w:rsidR="00B839DE">
        <w:t>, vagyongazdálkodói, fejlesztési feladatokra</w:t>
      </w:r>
      <w:r w:rsidR="00845395">
        <w:t xml:space="preserve">. A térség Fővárosi Önkormányzat tulajdonában lévő ingatlanjaira vonatkozó szerződéstervezetet a fenti határozatok értelmében előkészítettük és </w:t>
      </w:r>
      <w:r w:rsidR="00B839DE">
        <w:t xml:space="preserve">egyeztetésre </w:t>
      </w:r>
      <w:r w:rsidR="00845395">
        <w:t xml:space="preserve">megküldtük a BFVK </w:t>
      </w:r>
      <w:proofErr w:type="spellStart"/>
      <w:r w:rsidR="00845395">
        <w:t>Zrt.-nek</w:t>
      </w:r>
      <w:proofErr w:type="spellEnd"/>
      <w:r w:rsidR="00845395">
        <w:t>. A</w:t>
      </w:r>
      <w:r w:rsidR="00092B3D">
        <w:t>z Újpesti Önkormányzattal</w:t>
      </w:r>
      <w:r w:rsidR="00845395">
        <w:t xml:space="preserve"> létrejött </w:t>
      </w:r>
      <w:r w:rsidRPr="00357E35">
        <w:t>szerződés alapján</w:t>
      </w:r>
      <w:r w:rsidR="00845395">
        <w:t xml:space="preserve"> az ÉPIT Zrt.</w:t>
      </w:r>
      <w:r w:rsidRPr="00357E35">
        <w:t xml:space="preserve"> Újpest-Városkapu </w:t>
      </w:r>
      <w:r w:rsidR="00845395">
        <w:t>térségében végzett tevékenysége</w:t>
      </w:r>
      <w:r w:rsidRPr="00357E35">
        <w:t xml:space="preserve"> díjazásá</w:t>
      </w:r>
      <w:r w:rsidR="00845395">
        <w:t>nak</w:t>
      </w:r>
      <w:r w:rsidRPr="00357E35">
        <w:t xml:space="preserve"> </w:t>
      </w:r>
      <w:r w:rsidR="00845395">
        <w:t xml:space="preserve">az Újpesti Önkormányzatra eső részét </w:t>
      </w:r>
      <w:r w:rsidRPr="00357E35">
        <w:t>elszámolta (készletre vette)</w:t>
      </w:r>
      <w:r w:rsidRPr="00560D16">
        <w:rPr>
          <w:i/>
        </w:rPr>
        <w:t>.</w:t>
      </w:r>
    </w:p>
    <w:p w:rsidR="00A0133E" w:rsidRDefault="00A0133E" w:rsidP="000B1174">
      <w:pPr>
        <w:spacing w:after="120" w:line="276" w:lineRule="auto"/>
        <w:ind w:firstLine="425"/>
        <w:jc w:val="both"/>
      </w:pPr>
      <w:r w:rsidRPr="00A0133E">
        <w:t xml:space="preserve">Az előzőeken kívül a bevételhiány miatti veszteség további csökkentésére a menedzsment újabb feladatokat vállalt fel, így Újpest Önkormányzatának két – nem a keretszerződéshez kapcsolódó – értékesítésre szánt ingatlanja nyilvános pályáztatását bonyolította le, elvégezte </w:t>
      </w:r>
      <w:r>
        <w:t xml:space="preserve">továbbá </w:t>
      </w:r>
      <w:r w:rsidRPr="00A0133E">
        <w:t>a Rendelőintézet épületének társasházzá alakítását.</w:t>
      </w:r>
    </w:p>
    <w:p w:rsidR="001D74D8" w:rsidRDefault="00B839DE" w:rsidP="000B1174">
      <w:pPr>
        <w:spacing w:after="120" w:line="276" w:lineRule="auto"/>
        <w:ind w:firstLine="425"/>
        <w:jc w:val="both"/>
      </w:pPr>
      <w:r>
        <w:t xml:space="preserve">A létrejött </w:t>
      </w:r>
      <w:r w:rsidRPr="00357E35">
        <w:t>szerződés</w:t>
      </w:r>
      <w:r>
        <w:t>ek</w:t>
      </w:r>
      <w:r w:rsidRPr="00357E35">
        <w:t xml:space="preserve"> </w:t>
      </w:r>
      <w:r w:rsidR="001D74D8">
        <w:t>a társaság</w:t>
      </w:r>
      <w:r w:rsidR="00A0133E">
        <w:t xml:space="preserve"> 2011. évi</w:t>
      </w:r>
      <w:r w:rsidR="001D74D8">
        <w:t xml:space="preserve"> gazdálkodásában pozitív változást eredményezte</w:t>
      </w:r>
      <w:r>
        <w:t>k</w:t>
      </w:r>
      <w:r w:rsidR="00A0133E">
        <w:t>.</w:t>
      </w:r>
      <w:r w:rsidR="001D74D8">
        <w:t xml:space="preserve"> </w:t>
      </w:r>
      <w:r>
        <w:t>A</w:t>
      </w:r>
      <w:r w:rsidR="001D74D8">
        <w:t xml:space="preserve">z igen rossz ingatlanértékesítési eredmény mellett működési költségeink egy részét el tudtuk számolni illetve készletre tudtuk venni saját előállítású teljesítmény formájában. </w:t>
      </w:r>
    </w:p>
    <w:p w:rsidR="00053995" w:rsidRDefault="00B839DE" w:rsidP="001D74D8">
      <w:pPr>
        <w:spacing w:after="240" w:line="276" w:lineRule="auto"/>
        <w:ind w:firstLine="426"/>
        <w:jc w:val="both"/>
      </w:pPr>
      <w:r>
        <w:t xml:space="preserve">A Keretszerződésen felül létrehozott szerződések </w:t>
      </w:r>
      <w:r w:rsidR="001D74D8">
        <w:t>jelentősége rendkívül nagy</w:t>
      </w:r>
      <w:r>
        <w:t xml:space="preserve">. Az </w:t>
      </w:r>
      <w:r w:rsidR="001D74D8">
        <w:t xml:space="preserve">un. </w:t>
      </w:r>
      <w:r w:rsidR="00905277">
        <w:t>k</w:t>
      </w:r>
      <w:r w:rsidR="001D74D8">
        <w:t>özszolgáltatói típusú szerződés</w:t>
      </w:r>
      <w:r>
        <w:t>ek</w:t>
      </w:r>
      <w:r w:rsidR="001D74D8">
        <w:t xml:space="preserve"> révén a társaság tevékenységének egy része díjazással fedezhetővé vált</w:t>
      </w:r>
      <w:r>
        <w:t>, ezáltal</w:t>
      </w:r>
      <w:r w:rsidR="001D74D8">
        <w:t xml:space="preserve"> </w:t>
      </w:r>
      <w:r>
        <w:t xml:space="preserve">a Zrt. vesztesége jelentősen csökkent. </w:t>
      </w:r>
      <w:r w:rsidR="00BB0885">
        <w:t>A</w:t>
      </w:r>
      <w:r w:rsidR="001D74D8" w:rsidRPr="00284343">
        <w:t xml:space="preserve"> </w:t>
      </w:r>
      <w:r w:rsidR="00905277">
        <w:t xml:space="preserve">tervezett </w:t>
      </w:r>
      <w:r w:rsidR="001D74D8" w:rsidRPr="00284343">
        <w:t>Mérleg szerinti eredmény</w:t>
      </w:r>
      <w:r w:rsidR="001D74D8">
        <w:t xml:space="preserve"> – </w:t>
      </w:r>
      <w:r w:rsidR="00357E35">
        <w:t>három</w:t>
      </w:r>
      <w:r w:rsidR="001D74D8">
        <w:t xml:space="preserve"> ingatlan értékesítéséből származó bevétel és fejlesztési</w:t>
      </w:r>
      <w:r w:rsidR="00053995">
        <w:t>-, fenntartási</w:t>
      </w:r>
      <w:r w:rsidR="001D74D8">
        <w:t xml:space="preserve"> díj felszámítása mellett - mínusz 10.880,- </w:t>
      </w:r>
      <w:r w:rsidR="001D74D8" w:rsidRPr="00284343">
        <w:t>eFt volt</w:t>
      </w:r>
      <w:r w:rsidR="001D74D8">
        <w:t>, a tény pedig</w:t>
      </w:r>
      <w:r w:rsidR="00905277">
        <w:t xml:space="preserve"> -</w:t>
      </w:r>
      <w:r w:rsidR="001D74D8">
        <w:t xml:space="preserve"> </w:t>
      </w:r>
      <w:r w:rsidR="00905277">
        <w:t xml:space="preserve">annak ellenére, hogy csak </w:t>
      </w:r>
      <w:r w:rsidR="001D74D8">
        <w:t>egy ingatlan</w:t>
      </w:r>
      <w:r w:rsidR="00905277">
        <w:t>t sikerült</w:t>
      </w:r>
      <w:r w:rsidR="001D74D8">
        <w:t xml:space="preserve"> </w:t>
      </w:r>
      <w:r w:rsidR="00905277">
        <w:t>értékesíteni, viszont</w:t>
      </w:r>
      <w:r w:rsidR="001D74D8">
        <w:t xml:space="preserve"> </w:t>
      </w:r>
      <w:r>
        <w:t xml:space="preserve">az </w:t>
      </w:r>
      <w:r w:rsidR="001D74D8">
        <w:t>új szerződések</w:t>
      </w:r>
      <w:r w:rsidR="00BB0885">
        <w:t xml:space="preserve"> megkötésével</w:t>
      </w:r>
      <w:r w:rsidR="00F71D45">
        <w:t xml:space="preserve"> növeltük bevételein</w:t>
      </w:r>
      <w:r w:rsidR="00BB0885">
        <w:t xml:space="preserve">ket </w:t>
      </w:r>
      <w:proofErr w:type="gramStart"/>
      <w:r w:rsidR="00BB0885">
        <w:t>-</w:t>
      </w:r>
      <w:r w:rsidR="001D74D8">
        <w:t xml:space="preserve">  mínusz</w:t>
      </w:r>
      <w:proofErr w:type="gramEnd"/>
      <w:r w:rsidR="001D74D8">
        <w:t xml:space="preserve"> </w:t>
      </w:r>
      <w:r w:rsidR="00955246">
        <w:t>26.232</w:t>
      </w:r>
      <w:r w:rsidR="001D74D8">
        <w:t xml:space="preserve">, </w:t>
      </w:r>
      <w:proofErr w:type="spellStart"/>
      <w:r w:rsidR="001D74D8">
        <w:t>-eFt</w:t>
      </w:r>
      <w:proofErr w:type="spellEnd"/>
      <w:r w:rsidR="001D74D8">
        <w:t xml:space="preserve"> lett. Amennyiben az új szerződések saját teljesítményként elszámolt költségeit nem vesszük figyelembe, akkor a társaság vesztesége 2011-ben </w:t>
      </w:r>
      <w:r w:rsidR="001D74D8" w:rsidRPr="00381CE2">
        <w:t>mínusz 60.82</w:t>
      </w:r>
      <w:r w:rsidR="00B6429E">
        <w:t>8</w:t>
      </w:r>
      <w:r w:rsidR="001D74D8" w:rsidRPr="00381CE2">
        <w:t xml:space="preserve">,- </w:t>
      </w:r>
      <w:proofErr w:type="spellStart"/>
      <w:r w:rsidR="001D74D8" w:rsidRPr="00381CE2">
        <w:t>eFt</w:t>
      </w:r>
      <w:proofErr w:type="spellEnd"/>
      <w:r w:rsidR="001D74D8">
        <w:t xml:space="preserve"> lett volna. </w:t>
      </w:r>
    </w:p>
    <w:p w:rsidR="006B4229" w:rsidRPr="001F4001" w:rsidRDefault="00E77498" w:rsidP="003B0CFD">
      <w:pPr>
        <w:spacing w:after="360" w:line="276" w:lineRule="auto"/>
        <w:ind w:firstLine="357"/>
        <w:jc w:val="both"/>
      </w:pPr>
      <w:r w:rsidRPr="001F4001">
        <w:lastRenderedPageBreak/>
        <w:t>A 201</w:t>
      </w:r>
      <w:r w:rsidR="007D31CB">
        <w:t>1</w:t>
      </w:r>
      <w:r w:rsidR="006B4229" w:rsidRPr="001F4001">
        <w:t>. évi üzleti tervben megfogalmazott, és elfogadott konce</w:t>
      </w:r>
      <w:r w:rsidR="00845036" w:rsidRPr="001F4001">
        <w:t>pcionális, előkészített</w:t>
      </w:r>
      <w:r w:rsidR="006B4229" w:rsidRPr="001F4001">
        <w:t xml:space="preserve"> és ütemezett fejlesztési elképzeléseket,</w:t>
      </w:r>
      <w:r w:rsidR="00845036" w:rsidRPr="001F4001">
        <w:t xml:space="preserve"> valamint</w:t>
      </w:r>
      <w:r w:rsidR="006B4229" w:rsidRPr="001F4001">
        <w:t xml:space="preserve"> az üz</w:t>
      </w:r>
      <w:r w:rsidR="00FD20E3" w:rsidRPr="001F4001">
        <w:t>leti tevékenységet az ÉPIT </w:t>
      </w:r>
      <w:r w:rsidR="00845036" w:rsidRPr="001F4001">
        <w:t>Zrt.</w:t>
      </w:r>
      <w:r w:rsidR="006B4229" w:rsidRPr="001F4001">
        <w:t xml:space="preserve"> a fent említett tényezők miatt, csak részben tudta megvalósítani, elérni.</w:t>
      </w:r>
      <w:r w:rsidR="007D31CB">
        <w:t xml:space="preserve"> Az eredmény javulása pedig </w:t>
      </w:r>
      <w:r w:rsidR="008878E1">
        <w:t xml:space="preserve">a Keretszerződésen felül létrehozott </w:t>
      </w:r>
      <w:r w:rsidR="007D31CB">
        <w:t>új típusú szerződéseknek köszönhető.</w:t>
      </w:r>
    </w:p>
    <w:p w:rsidR="00E57BD9" w:rsidRPr="007D31CB" w:rsidRDefault="00E57BD9" w:rsidP="001940B9">
      <w:pPr>
        <w:pStyle w:val="Cmsor2"/>
        <w:numPr>
          <w:ilvl w:val="3"/>
          <w:numId w:val="4"/>
        </w:numPr>
        <w:spacing w:before="0" w:after="240" w:line="276" w:lineRule="auto"/>
        <w:ind w:left="851" w:hanging="567"/>
        <w:jc w:val="left"/>
        <w:rPr>
          <w:rFonts w:ascii="Times New Roman" w:hAnsi="Times New Roman" w:cs="Times New Roman"/>
          <w:sz w:val="24"/>
          <w:szCs w:val="24"/>
        </w:rPr>
      </w:pPr>
      <w:r w:rsidRPr="007D31CB">
        <w:rPr>
          <w:rFonts w:ascii="Times New Roman" w:hAnsi="Times New Roman" w:cs="Times New Roman"/>
          <w:sz w:val="24"/>
          <w:szCs w:val="24"/>
        </w:rPr>
        <w:t xml:space="preserve">2011-ben megvalósított feladatok </w:t>
      </w:r>
    </w:p>
    <w:p w:rsidR="00E57BD9" w:rsidRDefault="00E57BD9" w:rsidP="00ED500D">
      <w:pPr>
        <w:spacing w:after="240" w:line="276" w:lineRule="auto"/>
      </w:pPr>
      <w:r w:rsidRPr="00D03923">
        <w:t xml:space="preserve">A 2011. évi </w:t>
      </w:r>
      <w:r w:rsidRPr="001F4001">
        <w:t>elfogadott  üzleti terv</w:t>
      </w:r>
      <w:r>
        <w:t>ben meghatározott feladatokat</w:t>
      </w:r>
      <w:r w:rsidRPr="001F4001">
        <w:t xml:space="preserve"> </w:t>
      </w:r>
      <w:r>
        <w:t>az ÉPIT Zrt. az alábbiak szerint teljesítette:</w:t>
      </w:r>
    </w:p>
    <w:p w:rsidR="00E57BD9" w:rsidRPr="000B1174" w:rsidRDefault="00E57BD9" w:rsidP="001940B9">
      <w:pPr>
        <w:pStyle w:val="Listaszerbekezds"/>
        <w:numPr>
          <w:ilvl w:val="1"/>
          <w:numId w:val="5"/>
        </w:numPr>
        <w:spacing w:after="240" w:line="276" w:lineRule="auto"/>
        <w:ind w:left="567" w:hanging="567"/>
        <w:rPr>
          <w:bCs/>
          <w:i/>
          <w:iCs/>
        </w:rPr>
      </w:pPr>
      <w:r w:rsidRPr="000B1174">
        <w:rPr>
          <w:bCs/>
          <w:i/>
          <w:iCs/>
        </w:rPr>
        <w:t>Befejezetlen beruházások:</w:t>
      </w:r>
    </w:p>
    <w:p w:rsidR="00E57BD9" w:rsidRPr="0027471A" w:rsidRDefault="00682F8A" w:rsidP="00682F8A">
      <w:pPr>
        <w:overflowPunct w:val="0"/>
        <w:autoSpaceDE w:val="0"/>
        <w:autoSpaceDN w:val="0"/>
        <w:adjustRightInd w:val="0"/>
        <w:spacing w:after="240" w:line="276" w:lineRule="auto"/>
        <w:ind w:left="705" w:hanging="705"/>
        <w:jc w:val="both"/>
        <w:textAlignment w:val="baseline"/>
      </w:pPr>
      <w:r>
        <w:t>-</w:t>
      </w:r>
      <w:r>
        <w:tab/>
      </w:r>
      <w:r w:rsidR="00E57BD9" w:rsidRPr="0027471A">
        <w:t>Rendeztük a csereerdősítés szerződéses viszonyait. Ennek érdekében a nem teljesült szerződést az eredeti állapot visszaállításával felmondtuk, a részben teljesedésbe ment szerződés esetében rész átadást tartottunk, 8,</w:t>
      </w:r>
      <w:proofErr w:type="gramStart"/>
      <w:r w:rsidR="00E57BD9" w:rsidRPr="0027471A">
        <w:t>5</w:t>
      </w:r>
      <w:proofErr w:type="gramEnd"/>
      <w:r w:rsidR="00E57BD9" w:rsidRPr="0027471A">
        <w:t xml:space="preserve"> ha erdősítést az erdőhatóság befejezetté nyilvánított. Az erdősítés végteljesítés</w:t>
      </w:r>
      <w:r w:rsidR="00E57BD9">
        <w:t>é</w:t>
      </w:r>
      <w:r w:rsidR="00E57BD9" w:rsidRPr="0027471A">
        <w:t>re vonatkozó határidőt az erdészeti hatósággal egyetértésben módosítottuk.</w:t>
      </w:r>
      <w:r w:rsidR="00E57BD9">
        <w:t xml:space="preserve"> </w:t>
      </w:r>
      <w:r w:rsidR="00E57BD9" w:rsidRPr="0027471A">
        <w:t>8,5 hektáron a telepítés és fenntartás befejeződött, aktiválás céljából kiszámlázásra került az önkormányzatok részére</w:t>
      </w:r>
    </w:p>
    <w:p w:rsidR="00E57BD9" w:rsidRDefault="00682F8A" w:rsidP="00682F8A">
      <w:pPr>
        <w:overflowPunct w:val="0"/>
        <w:autoSpaceDE w:val="0"/>
        <w:autoSpaceDN w:val="0"/>
        <w:adjustRightInd w:val="0"/>
        <w:spacing w:after="240" w:line="276" w:lineRule="auto"/>
        <w:ind w:left="705" w:hanging="705"/>
        <w:jc w:val="both"/>
        <w:textAlignment w:val="baseline"/>
      </w:pPr>
      <w:r>
        <w:t>-</w:t>
      </w:r>
      <w:r>
        <w:tab/>
      </w:r>
      <w:r w:rsidR="00E57BD9" w:rsidRPr="00363EE6">
        <w:t xml:space="preserve">3. </w:t>
      </w:r>
      <w:proofErr w:type="spellStart"/>
      <w:r w:rsidR="00E57BD9" w:rsidRPr="00363EE6">
        <w:t>sz</w:t>
      </w:r>
      <w:proofErr w:type="spellEnd"/>
      <w:r w:rsidR="00E57BD9" w:rsidRPr="00363EE6">
        <w:t xml:space="preserve"> út forgalomba helyezési eljárása és a</w:t>
      </w:r>
      <w:r w:rsidR="00E57BD9">
        <w:t>z úthoz tartozó tervezési feladatokkal kapcsolatos költségek aktiválás céljából kiszámlázásra kerültek</w:t>
      </w:r>
    </w:p>
    <w:p w:rsidR="00682F8A" w:rsidRPr="00682F8A" w:rsidRDefault="00682F8A" w:rsidP="00682F8A">
      <w:pPr>
        <w:overflowPunct w:val="0"/>
        <w:autoSpaceDE w:val="0"/>
        <w:autoSpaceDN w:val="0"/>
        <w:adjustRightInd w:val="0"/>
        <w:spacing w:after="240" w:line="276" w:lineRule="auto"/>
        <w:ind w:left="705" w:hanging="705"/>
        <w:jc w:val="both"/>
        <w:textAlignment w:val="baseline"/>
      </w:pPr>
      <w:r>
        <w:t>-</w:t>
      </w:r>
      <w:r>
        <w:tab/>
      </w:r>
      <w:r w:rsidR="00E57BD9">
        <w:t xml:space="preserve">6. </w:t>
      </w:r>
      <w:proofErr w:type="spellStart"/>
      <w:r w:rsidR="00E57BD9">
        <w:t>sz</w:t>
      </w:r>
      <w:proofErr w:type="spellEnd"/>
      <w:r w:rsidR="00E57BD9">
        <w:t xml:space="preserve"> út forgalomba helyezési eljárása és az úthoz tartozó tervezési feladatokkal kapcsolatos költségek aktiválás céljából kiszámlázásra kerültek</w:t>
      </w:r>
    </w:p>
    <w:p w:rsidR="00E57BD9" w:rsidRDefault="00682F8A" w:rsidP="001940B9">
      <w:pPr>
        <w:pStyle w:val="Listaszerbekezds"/>
        <w:numPr>
          <w:ilvl w:val="3"/>
          <w:numId w:val="6"/>
        </w:numPr>
        <w:spacing w:after="240" w:line="276" w:lineRule="auto"/>
        <w:ind w:left="284" w:hanging="284"/>
      </w:pPr>
      <w:r>
        <w:rPr>
          <w:bCs/>
          <w:i/>
          <w:iCs/>
        </w:rPr>
        <w:t>2</w:t>
      </w:r>
      <w:r>
        <w:rPr>
          <w:bCs/>
          <w:i/>
          <w:iCs/>
        </w:rPr>
        <w:tab/>
      </w:r>
      <w:r w:rsidR="00E57BD9" w:rsidRPr="00682F8A">
        <w:rPr>
          <w:bCs/>
          <w:i/>
          <w:iCs/>
        </w:rPr>
        <w:t>Megvalósult fejlesztési, felújítási, fenntartási munkák:</w:t>
      </w:r>
    </w:p>
    <w:p w:rsidR="00E57BD9" w:rsidRPr="009E2271" w:rsidRDefault="00E57BD9" w:rsidP="001940B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76" w:lineRule="auto"/>
        <w:ind w:left="720" w:hanging="720"/>
        <w:jc w:val="both"/>
        <w:textAlignment w:val="baseline"/>
      </w:pPr>
      <w:r w:rsidRPr="009E2271">
        <w:t>Az Intermodális Közlekedési Csomópont előkészítő terveztetését megkezdtük. A</w:t>
      </w:r>
      <w:r w:rsidRPr="009E2271">
        <w:rPr>
          <w:bCs/>
        </w:rPr>
        <w:t xml:space="preserve"> KSZT (Kerületi Szabályozási Terv) koncepcionális megalapozása érdekében első lépésben – önálló tervezési feladatként – egy tanulmányterv készült. A tanulmányt az újpesti és az érintett XV. kerületi önkormányzatok illetékes testületei megtárgyalták és </w:t>
      </w:r>
      <w:r>
        <w:rPr>
          <w:bCs/>
        </w:rPr>
        <w:t xml:space="preserve">a </w:t>
      </w:r>
      <w:r w:rsidRPr="009E2271">
        <w:rPr>
          <w:bCs/>
        </w:rPr>
        <w:t>további tervezés alapjául elfogadták.</w:t>
      </w:r>
    </w:p>
    <w:p w:rsidR="00E57BD9" w:rsidRDefault="00E57BD9" w:rsidP="001940B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76" w:lineRule="auto"/>
        <w:ind w:left="720" w:hanging="720"/>
        <w:jc w:val="both"/>
        <w:textAlignment w:val="baseline"/>
      </w:pPr>
      <w:r>
        <w:t xml:space="preserve">Az Íves út környékére vonatkozó szabályozási terv az ÉPIT Zrt. részleges finanszírozásával elkészült, jóváhagyása </w:t>
      </w:r>
      <w:proofErr w:type="gramStart"/>
      <w:r>
        <w:t>2011.</w:t>
      </w:r>
      <w:r w:rsidR="00753917">
        <w:t xml:space="preserve"> </w:t>
      </w:r>
      <w:r>
        <w:t>decemberében</w:t>
      </w:r>
      <w:proofErr w:type="gramEnd"/>
      <w:r>
        <w:t xml:space="preserve"> megtörtént. 2012-ben elő kell készíteni a terület infrastrukturális fejlesztését, illetve az érintett (76512/492, /494</w:t>
      </w:r>
      <w:r w:rsidRPr="00CF7748">
        <w:t>,</w:t>
      </w:r>
      <w:r>
        <w:t> /326 hrsz.) ingatlanok hasznosítását/értékesítését.</w:t>
      </w:r>
    </w:p>
    <w:p w:rsidR="009B221A" w:rsidRDefault="009B221A" w:rsidP="001940B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76" w:lineRule="auto"/>
        <w:ind w:left="720" w:hanging="720"/>
        <w:jc w:val="both"/>
        <w:textAlignment w:val="baseline"/>
      </w:pPr>
      <w:r>
        <w:t xml:space="preserve">A Fővárosi Közgyűlés 1657/2010 (VIII.26.) határozatának megfelelően elkészítettük </w:t>
      </w:r>
      <w:r w:rsidR="00AE29EB">
        <w:t xml:space="preserve">az Újpesti Szakorvosi Rendelőintézet felújításának </w:t>
      </w:r>
      <w:r>
        <w:t>az orvos</w:t>
      </w:r>
      <w:r w:rsidR="00AE29EB">
        <w:t>-</w:t>
      </w:r>
      <w:r>
        <w:t>szakmai program</w:t>
      </w:r>
      <w:r w:rsidR="00AE29EB">
        <w:t>ját</w:t>
      </w:r>
      <w:r>
        <w:t>.</w:t>
      </w:r>
    </w:p>
    <w:p w:rsidR="00E57BD9" w:rsidRDefault="00E57BD9" w:rsidP="001940B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76" w:lineRule="auto"/>
        <w:ind w:left="720" w:hanging="720"/>
        <w:jc w:val="both"/>
        <w:textAlignment w:val="baseline"/>
      </w:pPr>
      <w:r>
        <w:t>2011. október 1-vel a szakellátás feladatának átvételével együtt</w:t>
      </w:r>
      <w:r w:rsidRPr="00412E09">
        <w:t xml:space="preserve"> </w:t>
      </w:r>
      <w:r>
        <w:t xml:space="preserve">a Szakorvosi Rendelőintézet Újpest Önkormányzatának tulajdonába került. Azonnal megkezdtük a Rendelő felújításának előkészítését. Ennek keretében sor került a sürgős beavatkozást igénylő felújítások megkezdésére. A munkák jelentős részét 2012. februárban befejeztük. Előkészítettük a beléptető rendszer, a térfigyelő kamera rendszer </w:t>
      </w:r>
      <w:r>
        <w:lastRenderedPageBreak/>
        <w:t>beruházását. Végrehajtottuk a Károlyi Kórház által elnyert KEOP-5.3.0/</w:t>
      </w:r>
      <w:proofErr w:type="gramStart"/>
      <w:r>
        <w:t>A</w:t>
      </w:r>
      <w:proofErr w:type="gramEnd"/>
      <w:r>
        <w:t>/09-2010-0043 sz. pályázat támogatott</w:t>
      </w:r>
      <w:r w:rsidR="00B6429E">
        <w:t>-</w:t>
      </w:r>
      <w:r>
        <w:t>váltását, a támogatási szerződés Újpest Önkormányzatával  2011. december végén  létrejött. Előkészítettük az energia korszerűsítési projekt megvalósítását, elkészíttettük a beruházás kivitelezési terveit.</w:t>
      </w:r>
    </w:p>
    <w:p w:rsidR="00F03A73" w:rsidRDefault="00E57BD9" w:rsidP="001940B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76" w:lineRule="auto"/>
        <w:ind w:left="720" w:hanging="720"/>
        <w:jc w:val="both"/>
        <w:textAlignment w:val="baseline"/>
      </w:pPr>
      <w:r>
        <w:t>Megkezdtük az Újpest Városkapu térség fejlesztésének előkészítő munkáit. Feltártuk a tulajdonviszonyokat, meghatároztuk az elsődleges beavatkozás területeit. A Fővárosi Közgyűlés határozata értelmében javaslatot tettünk az ingatlanok tulajdonviszonyainak rendezésére, 1/1 arányú önkormányzati tulajdonok ingatlancsere útján való létrehozására.</w:t>
      </w:r>
      <w:r w:rsidR="00D872FF">
        <w:t xml:space="preserve"> Felvettük a kapcsolatot a BFVK Zrt.-vel a közös fejlesztő munka érdekében</w:t>
      </w:r>
      <w:r w:rsidR="00AE29EB">
        <w:t>, szerződéstervezetet készítettünk az együttműködés szabályozására.</w:t>
      </w:r>
      <w:r w:rsidR="00AE29EB" w:rsidDel="00AE29EB">
        <w:t xml:space="preserve"> </w:t>
      </w:r>
    </w:p>
    <w:p w:rsidR="00E57BD9" w:rsidRDefault="00E57BD9" w:rsidP="001940B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76" w:lineRule="auto"/>
        <w:ind w:left="720" w:hanging="720"/>
        <w:jc w:val="both"/>
        <w:textAlignment w:val="baseline"/>
      </w:pPr>
      <w:r w:rsidRPr="00615609">
        <w:t xml:space="preserve">A Megyeri út, Óceánárok út térségében feltárt rendezetlen </w:t>
      </w:r>
      <w:r>
        <w:t xml:space="preserve">ingatlan </w:t>
      </w:r>
      <w:r w:rsidRPr="00615609">
        <w:t xml:space="preserve">tulajdonviszonyok rendezése érdekében telekalakítási tervet készíttettünk. Elkészíttettük </w:t>
      </w:r>
      <w:r>
        <w:t xml:space="preserve">a Megyeri út alatt fekvő </w:t>
      </w:r>
      <w:r w:rsidRPr="00615609">
        <w:t xml:space="preserve">idegen tulajdonban lévő ingatlan értékbecslését, ennek alapján kisajátítást megelőző vételi ajánlatot tettünk. Eljárásunk nem járt eredménnyel, a tulajdonos visszautasította az ajánlatot. Elkészíttettük a kisajátítási tervdokumentációt és az ügyet a kisajátítás megindítása érdekében átadtuk Újpest Önkormányzatának. </w:t>
      </w:r>
    </w:p>
    <w:p w:rsidR="00AE29EB" w:rsidRDefault="00E57BD9" w:rsidP="001940B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76" w:lineRule="auto"/>
        <w:ind w:left="720" w:hanging="720"/>
        <w:jc w:val="both"/>
        <w:textAlignment w:val="baseline"/>
      </w:pPr>
      <w:r w:rsidRPr="00615609">
        <w:t>Elő</w:t>
      </w:r>
      <w:r>
        <w:t>k</w:t>
      </w:r>
      <w:r w:rsidRPr="00615609">
        <w:t>észít</w:t>
      </w:r>
      <w:r>
        <w:t>ettük</w:t>
      </w:r>
      <w:r w:rsidRPr="00615609">
        <w:t xml:space="preserve"> a két önkormányzat és a Zrt. közötti, az új feladatokra vonatkozó szerződéseket. </w:t>
      </w:r>
      <w:r>
        <w:t xml:space="preserve">Szerződéseket kötöttünk Újpest Önkormányzatával a Szakorvosi Rendelőintézet felújításának beruházói feladatai ellátására, a KEOP pályázattal kapcsolatos feladatok (tervezés, pályázat lebonyolítás, disszemináció, közbeszerzés előkészítése) elvégzésére, a tervezett új szakorvosi rendelőintézet építési területének előkészítésére. </w:t>
      </w:r>
    </w:p>
    <w:p w:rsidR="00E57BD9" w:rsidRPr="00615609" w:rsidRDefault="00E57BD9" w:rsidP="001940B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76" w:lineRule="auto"/>
        <w:ind w:left="720" w:hanging="720"/>
        <w:jc w:val="both"/>
        <w:textAlignment w:val="baseline"/>
      </w:pPr>
      <w:r>
        <w:t>A Keretszerződés módosítására vonatkozó kezdeményezéseink, a szerződés hatályának meghosszabbítását kivéve nem jártak eredménnyel.</w:t>
      </w:r>
    </w:p>
    <w:p w:rsidR="00E57BD9" w:rsidRDefault="00E57BD9" w:rsidP="001940B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76" w:lineRule="auto"/>
        <w:ind w:left="720" w:hanging="720"/>
        <w:jc w:val="both"/>
        <w:textAlignment w:val="baseline"/>
      </w:pPr>
      <w:r>
        <w:t xml:space="preserve">Elkészítettük </w:t>
      </w:r>
      <w:r w:rsidRPr="00A0530F">
        <w:t xml:space="preserve">a két Önkormányzat közötti vagyonmegosztás elszámolását alátámasztó dokumentációt. </w:t>
      </w:r>
      <w:r>
        <w:t>Feltártuk</w:t>
      </w:r>
      <w:r w:rsidRPr="00A0530F">
        <w:t xml:space="preserve"> azokat a problémákat, amelyek a két Önkormányzat döntéseit igénylik a vagyonmegosztás tényleges realizálásához. </w:t>
      </w:r>
      <w:r>
        <w:t>A vagyonmegosztás előkészítése érdekében a szakértői egyeztetések folyamatban vannak.</w:t>
      </w:r>
    </w:p>
    <w:p w:rsidR="00E57BD9" w:rsidRPr="002E1975" w:rsidRDefault="00E57BD9" w:rsidP="001940B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360" w:line="276" w:lineRule="auto"/>
        <w:ind w:left="720" w:hanging="720"/>
        <w:jc w:val="both"/>
        <w:textAlignment w:val="baseline"/>
      </w:pPr>
      <w:r>
        <w:t xml:space="preserve">Elvégeztük a 2011. évre előírt </w:t>
      </w:r>
      <w:r w:rsidRPr="002E1975">
        <w:t>fenntartási feladatok</w:t>
      </w:r>
      <w:r>
        <w:t>at.</w:t>
      </w:r>
      <w:r w:rsidRPr="002E1975">
        <w:t xml:space="preserve"> </w:t>
      </w:r>
    </w:p>
    <w:p w:rsidR="00012BFA" w:rsidRPr="000B1174" w:rsidRDefault="00D65F38" w:rsidP="001940B9">
      <w:pPr>
        <w:pStyle w:val="Listaszerbekezds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b/>
          <w:i/>
        </w:rPr>
      </w:pPr>
      <w:r w:rsidRPr="000B1174">
        <w:rPr>
          <w:b/>
          <w:i/>
        </w:rPr>
        <w:t xml:space="preserve">Gazdasági </w:t>
      </w:r>
      <w:r w:rsidR="00C30777" w:rsidRPr="000B1174">
        <w:rPr>
          <w:b/>
          <w:i/>
        </w:rPr>
        <w:t>mu</w:t>
      </w:r>
      <w:r w:rsidRPr="000B1174">
        <w:rPr>
          <w:b/>
          <w:i/>
        </w:rPr>
        <w:t>tatók</w:t>
      </w:r>
    </w:p>
    <w:p w:rsidR="004C4C9A" w:rsidRPr="004C4C9A" w:rsidRDefault="00D65F38" w:rsidP="001940B9">
      <w:pPr>
        <w:pStyle w:val="Listaszerbekezds"/>
        <w:numPr>
          <w:ilvl w:val="1"/>
          <w:numId w:val="11"/>
        </w:numPr>
        <w:spacing w:after="120" w:line="360" w:lineRule="auto"/>
        <w:ind w:left="851" w:hanging="851"/>
        <w:jc w:val="both"/>
        <w:rPr>
          <w:i/>
        </w:rPr>
      </w:pPr>
      <w:r w:rsidRPr="00682F8A">
        <w:rPr>
          <w:i/>
        </w:rPr>
        <w:t xml:space="preserve"> Bevételek</w:t>
      </w:r>
    </w:p>
    <w:p w:rsidR="00944DF0" w:rsidRDefault="00944DF0" w:rsidP="003B0CFD">
      <w:pPr>
        <w:spacing w:after="120" w:line="276" w:lineRule="auto"/>
        <w:ind w:firstLine="357"/>
        <w:jc w:val="both"/>
        <w:rPr>
          <w:b/>
        </w:rPr>
      </w:pPr>
      <w:r w:rsidRPr="009E7F62">
        <w:t>A Zrt</w:t>
      </w:r>
      <w:r>
        <w:t>. értékesítési</w:t>
      </w:r>
      <w:r w:rsidRPr="009E7F62">
        <w:t xml:space="preserve"> bevételei két nagy csoportba sorolhatók. Egyrészt a saj</w:t>
      </w:r>
      <w:r>
        <w:t xml:space="preserve">át bevételekből állnak, amelyek az </w:t>
      </w:r>
      <w:r w:rsidRPr="009E7F62">
        <w:t>ingatlaneladás</w:t>
      </w:r>
      <w:r w:rsidR="00E77498">
        <w:t xml:space="preserve"> utáni </w:t>
      </w:r>
      <w:r w:rsidRPr="009E7F62">
        <w:t>jutalékból</w:t>
      </w:r>
      <w:r>
        <w:t xml:space="preserve"> és az ezekhez kapcsolódó egyéb bevételből</w:t>
      </w:r>
      <w:r w:rsidRPr="009E7F62">
        <w:t xml:space="preserve"> származnak, </w:t>
      </w:r>
      <w:r>
        <w:t>má</w:t>
      </w:r>
      <w:r w:rsidR="00845036">
        <w:t>srészt az aktiválás</w:t>
      </w:r>
      <w:r w:rsidR="00E77498">
        <w:t>ra átadott beruházások</w:t>
      </w:r>
      <w:r w:rsidR="00845036">
        <w:t xml:space="preserve"> </w:t>
      </w:r>
      <w:r>
        <w:t>és az elvégzett fenntartások után</w:t>
      </w:r>
      <w:r w:rsidRPr="009E7F62">
        <w:t xml:space="preserve"> </w:t>
      </w:r>
      <w:r>
        <w:t>j</w:t>
      </w:r>
      <w:r w:rsidRPr="009E7F62">
        <w:t>ele</w:t>
      </w:r>
      <w:r>
        <w:t>n</w:t>
      </w:r>
      <w:r w:rsidRPr="009E7F62">
        <w:t>tkező</w:t>
      </w:r>
      <w:r>
        <w:t xml:space="preserve"> továbbszámlázott</w:t>
      </w:r>
      <w:r w:rsidRPr="009E7F62">
        <w:t xml:space="preserve"> bevételek</w:t>
      </w:r>
      <w:r>
        <w:t>ből keletkeznek</w:t>
      </w:r>
      <w:r w:rsidRPr="009E7F62">
        <w:t>.</w:t>
      </w:r>
      <w:r w:rsidR="008623CC">
        <w:t xml:space="preserve"> A </w:t>
      </w:r>
      <w:r w:rsidR="008623CC" w:rsidRPr="00352A72">
        <w:rPr>
          <w:b/>
        </w:rPr>
        <w:t>20</w:t>
      </w:r>
      <w:r w:rsidR="00E77498">
        <w:rPr>
          <w:b/>
        </w:rPr>
        <w:t>1</w:t>
      </w:r>
      <w:r w:rsidR="00E57BD9">
        <w:rPr>
          <w:b/>
        </w:rPr>
        <w:t>1</w:t>
      </w:r>
      <w:r w:rsidR="00EA2BE6">
        <w:rPr>
          <w:b/>
        </w:rPr>
        <w:t>. </w:t>
      </w:r>
      <w:r w:rsidR="008623CC" w:rsidRPr="00352A72">
        <w:rPr>
          <w:b/>
        </w:rPr>
        <w:t xml:space="preserve">évi </w:t>
      </w:r>
      <w:r w:rsidR="001F4001">
        <w:rPr>
          <w:b/>
        </w:rPr>
        <w:t xml:space="preserve">összes </w:t>
      </w:r>
      <w:r w:rsidR="008623CC" w:rsidRPr="00775061">
        <w:rPr>
          <w:b/>
        </w:rPr>
        <w:t xml:space="preserve">bevétel </w:t>
      </w:r>
      <w:r w:rsidR="00EB5C76" w:rsidRPr="00775061">
        <w:rPr>
          <w:b/>
        </w:rPr>
        <w:t>55,1</w:t>
      </w:r>
      <w:r w:rsidR="00EA2BE6" w:rsidRPr="00775061">
        <w:rPr>
          <w:b/>
        </w:rPr>
        <w:t> </w:t>
      </w:r>
      <w:r w:rsidR="00E77498" w:rsidRPr="00775061">
        <w:rPr>
          <w:b/>
        </w:rPr>
        <w:t>%-</w:t>
      </w:r>
      <w:r w:rsidR="00E77498">
        <w:rPr>
          <w:b/>
        </w:rPr>
        <w:t>kal marad el a tervezettől</w:t>
      </w:r>
      <w:r w:rsidR="00B07180">
        <w:rPr>
          <w:b/>
        </w:rPr>
        <w:t xml:space="preserve">. </w:t>
      </w:r>
      <w:r w:rsidR="001F4001">
        <w:rPr>
          <w:b/>
        </w:rPr>
        <w:t xml:space="preserve"> </w:t>
      </w:r>
      <w:r w:rsidR="00B07180">
        <w:rPr>
          <w:b/>
        </w:rPr>
        <w:t>A</w:t>
      </w:r>
      <w:r w:rsidR="001F4001">
        <w:rPr>
          <w:b/>
        </w:rPr>
        <w:t xml:space="preserve"> tá</w:t>
      </w:r>
      <w:r w:rsidR="00E77498">
        <w:rPr>
          <w:b/>
        </w:rPr>
        <w:t xml:space="preserve">rsaság </w:t>
      </w:r>
      <w:r w:rsidR="001F4001">
        <w:rPr>
          <w:b/>
        </w:rPr>
        <w:t xml:space="preserve">a </w:t>
      </w:r>
      <w:r w:rsidR="00475BE3">
        <w:rPr>
          <w:b/>
        </w:rPr>
        <w:t xml:space="preserve">tervezetnél </w:t>
      </w:r>
      <w:r w:rsidR="00D872FF">
        <w:rPr>
          <w:b/>
        </w:rPr>
        <w:t>kevesebb,</w:t>
      </w:r>
      <w:r w:rsidR="00B07180">
        <w:rPr>
          <w:b/>
        </w:rPr>
        <w:t xml:space="preserve"> </w:t>
      </w:r>
      <w:r w:rsidR="00AE29EB">
        <w:rPr>
          <w:b/>
        </w:rPr>
        <w:t xml:space="preserve">3 </w:t>
      </w:r>
      <w:r w:rsidR="00D872FF">
        <w:rPr>
          <w:b/>
        </w:rPr>
        <w:t>(tekeosztás után 6)</w:t>
      </w:r>
      <w:r w:rsidR="00B07180">
        <w:rPr>
          <w:b/>
        </w:rPr>
        <w:t xml:space="preserve"> helyett mindössze </w:t>
      </w:r>
      <w:r w:rsidR="00AE29EB">
        <w:rPr>
          <w:b/>
        </w:rPr>
        <w:t xml:space="preserve">1 </w:t>
      </w:r>
      <w:r w:rsidR="00475BE3">
        <w:rPr>
          <w:b/>
        </w:rPr>
        <w:t xml:space="preserve">ingatlan </w:t>
      </w:r>
      <w:r w:rsidR="00B07180">
        <w:rPr>
          <w:b/>
        </w:rPr>
        <w:t>értékesítés</w:t>
      </w:r>
      <w:r w:rsidR="00475BE3">
        <w:rPr>
          <w:b/>
        </w:rPr>
        <w:t>e</w:t>
      </w:r>
      <w:r w:rsidR="00B07180">
        <w:rPr>
          <w:b/>
        </w:rPr>
        <w:t xml:space="preserve"> után </w:t>
      </w:r>
      <w:r w:rsidR="00E77498">
        <w:rPr>
          <w:b/>
        </w:rPr>
        <w:t>realizál</w:t>
      </w:r>
      <w:r w:rsidR="00AF1D93">
        <w:rPr>
          <w:b/>
        </w:rPr>
        <w:t>t</w:t>
      </w:r>
      <w:r w:rsidR="00E77498">
        <w:rPr>
          <w:b/>
        </w:rPr>
        <w:t xml:space="preserve"> jutalékbevételt</w:t>
      </w:r>
      <w:r w:rsidR="00E57BD9">
        <w:rPr>
          <w:b/>
        </w:rPr>
        <w:t xml:space="preserve"> valamint egy másik ingatlan esetében opciós vételi szerződés megkötésére került sor. </w:t>
      </w:r>
      <w:r w:rsidR="00AE29EB">
        <w:rPr>
          <w:b/>
        </w:rPr>
        <w:t>Ennek következtében</w:t>
      </w:r>
      <w:r w:rsidR="00E57BD9">
        <w:rPr>
          <w:b/>
        </w:rPr>
        <w:t xml:space="preserve"> a társaság </w:t>
      </w:r>
      <w:r w:rsidR="00D872FF">
        <w:rPr>
          <w:b/>
        </w:rPr>
        <w:t xml:space="preserve">2011. évi </w:t>
      </w:r>
      <w:r w:rsidR="00E57BD9">
        <w:rPr>
          <w:b/>
        </w:rPr>
        <w:t>jutalékbevétele</w:t>
      </w:r>
      <w:r w:rsidR="00D872FF">
        <w:rPr>
          <w:b/>
        </w:rPr>
        <w:t xml:space="preserve"> </w:t>
      </w:r>
      <w:r w:rsidR="00AE29EB">
        <w:rPr>
          <w:b/>
        </w:rPr>
        <w:t xml:space="preserve">mindössze </w:t>
      </w:r>
      <w:r w:rsidR="00D872FF">
        <w:rPr>
          <w:b/>
        </w:rPr>
        <w:t>a tervezett 15</w:t>
      </w:r>
      <w:r w:rsidR="00AC3E7C">
        <w:rPr>
          <w:b/>
        </w:rPr>
        <w:t>%</w:t>
      </w:r>
      <w:r w:rsidR="00D872FF">
        <w:rPr>
          <w:b/>
        </w:rPr>
        <w:t>-</w:t>
      </w:r>
      <w:proofErr w:type="gramStart"/>
      <w:r w:rsidR="00D872FF">
        <w:rPr>
          <w:b/>
        </w:rPr>
        <w:t>a.</w:t>
      </w:r>
      <w:proofErr w:type="gramEnd"/>
    </w:p>
    <w:p w:rsidR="00944DF0" w:rsidRDefault="005E24A6" w:rsidP="00801983">
      <w:pPr>
        <w:spacing w:after="120" w:line="276" w:lineRule="auto"/>
        <w:jc w:val="both"/>
        <w:rPr>
          <w:b/>
        </w:rPr>
      </w:pPr>
      <w:r>
        <w:lastRenderedPageBreak/>
        <w:t>Az ÉPIT </w:t>
      </w:r>
      <w:r w:rsidR="00944DF0">
        <w:t>Zrt. bevételeit az alábbi táblázat mutatja:</w:t>
      </w:r>
    </w:p>
    <w:p w:rsidR="00944DF0" w:rsidRDefault="00944DF0" w:rsidP="00801983">
      <w:pPr>
        <w:spacing w:line="276" w:lineRule="auto"/>
        <w:jc w:val="right"/>
        <w:rPr>
          <w:sz w:val="18"/>
          <w:szCs w:val="18"/>
        </w:rPr>
      </w:pPr>
      <w:proofErr w:type="gramStart"/>
      <w:r w:rsidRPr="00944DF0">
        <w:rPr>
          <w:sz w:val="18"/>
          <w:szCs w:val="18"/>
        </w:rPr>
        <w:t>adatok</w:t>
      </w:r>
      <w:proofErr w:type="gramEnd"/>
      <w:r w:rsidRPr="00944DF0">
        <w:rPr>
          <w:sz w:val="18"/>
          <w:szCs w:val="18"/>
        </w:rPr>
        <w:t xml:space="preserve"> e</w:t>
      </w:r>
      <w:r w:rsidR="00EA2BE6">
        <w:rPr>
          <w:sz w:val="18"/>
          <w:szCs w:val="18"/>
        </w:rPr>
        <w:t> </w:t>
      </w:r>
      <w:r w:rsidRPr="00944DF0">
        <w:rPr>
          <w:sz w:val="18"/>
          <w:szCs w:val="18"/>
        </w:rPr>
        <w:t>Ft-ban</w:t>
      </w:r>
    </w:p>
    <w:tbl>
      <w:tblPr>
        <w:tblW w:w="9560" w:type="dxa"/>
        <w:tblInd w:w="-110" w:type="dxa"/>
        <w:tblCellMar>
          <w:left w:w="70" w:type="dxa"/>
          <w:right w:w="70" w:type="dxa"/>
        </w:tblCellMar>
        <w:tblLook w:val="0000"/>
      </w:tblPr>
      <w:tblGrid>
        <w:gridCol w:w="3240"/>
        <w:gridCol w:w="1260"/>
        <w:gridCol w:w="1080"/>
        <w:gridCol w:w="985"/>
        <w:gridCol w:w="1555"/>
        <w:gridCol w:w="1440"/>
      </w:tblGrid>
      <w:tr w:rsidR="008623CC" w:rsidRPr="003B0CFD">
        <w:trPr>
          <w:trHeight w:val="315"/>
        </w:trPr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CC"/>
            <w:vAlign w:val="center"/>
          </w:tcPr>
          <w:p w:rsidR="008623CC" w:rsidRPr="003B0CFD" w:rsidRDefault="008623CC">
            <w:pPr>
              <w:jc w:val="center"/>
              <w:rPr>
                <w:i/>
                <w:iCs/>
                <w:color w:val="000000"/>
              </w:rPr>
            </w:pPr>
            <w:r w:rsidRPr="003B0CFD">
              <w:rPr>
                <w:i/>
                <w:iCs/>
                <w:color w:val="000000"/>
              </w:rPr>
              <w:t>Megnevezés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CC"/>
            <w:vAlign w:val="center"/>
          </w:tcPr>
          <w:p w:rsidR="008623CC" w:rsidRPr="003B0CFD" w:rsidRDefault="00E57BD9" w:rsidP="00616FB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2010</w:t>
            </w:r>
            <w:r w:rsidR="00EA2BE6" w:rsidRPr="003B0CFD">
              <w:rPr>
                <w:b/>
                <w:bCs/>
                <w:i/>
                <w:iCs/>
                <w:color w:val="000000"/>
              </w:rPr>
              <w:t>.</w:t>
            </w:r>
            <w:r w:rsidR="008623CC" w:rsidRPr="003B0CFD">
              <w:rPr>
                <w:b/>
                <w:bCs/>
                <w:i/>
                <w:iCs/>
                <w:color w:val="000000"/>
              </w:rPr>
              <w:t xml:space="preserve"> tény</w:t>
            </w:r>
          </w:p>
        </w:tc>
        <w:tc>
          <w:tcPr>
            <w:tcW w:w="20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CFFCC"/>
            <w:noWrap/>
            <w:vAlign w:val="bottom"/>
          </w:tcPr>
          <w:p w:rsidR="008623CC" w:rsidRPr="003B0CFD" w:rsidRDefault="00E57BD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2011.</w:t>
            </w:r>
          </w:p>
        </w:tc>
        <w:tc>
          <w:tcPr>
            <w:tcW w:w="1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8623CC" w:rsidRPr="003B0CFD" w:rsidRDefault="008623CC" w:rsidP="00E57BD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B0CFD">
              <w:rPr>
                <w:b/>
                <w:bCs/>
                <w:i/>
                <w:iCs/>
                <w:color w:val="000000"/>
              </w:rPr>
              <w:t>20</w:t>
            </w:r>
            <w:r w:rsidR="00E77498" w:rsidRPr="003B0CFD">
              <w:rPr>
                <w:b/>
                <w:bCs/>
                <w:i/>
                <w:iCs/>
                <w:color w:val="000000"/>
              </w:rPr>
              <w:t>1</w:t>
            </w:r>
            <w:r w:rsidR="00E57BD9">
              <w:rPr>
                <w:b/>
                <w:bCs/>
                <w:i/>
                <w:iCs/>
                <w:color w:val="000000"/>
              </w:rPr>
              <w:t>1</w:t>
            </w:r>
            <w:r w:rsidR="00EA2BE6" w:rsidRPr="003B0CFD">
              <w:rPr>
                <w:b/>
                <w:bCs/>
                <w:i/>
                <w:iCs/>
                <w:color w:val="000000"/>
              </w:rPr>
              <w:t>.</w:t>
            </w:r>
            <w:r w:rsidRPr="003B0CFD">
              <w:rPr>
                <w:b/>
                <w:bCs/>
                <w:i/>
                <w:iCs/>
                <w:color w:val="000000"/>
              </w:rPr>
              <w:t xml:space="preserve"> tény/</w:t>
            </w:r>
            <w:r w:rsidR="00EA2BE6" w:rsidRPr="003B0CFD">
              <w:rPr>
                <w:b/>
                <w:bCs/>
                <w:i/>
                <w:iCs/>
                <w:color w:val="000000"/>
              </w:rPr>
              <w:br/>
            </w:r>
            <w:r w:rsidRPr="003B0CFD">
              <w:rPr>
                <w:b/>
                <w:bCs/>
                <w:i/>
                <w:iCs/>
                <w:color w:val="000000"/>
              </w:rPr>
              <w:t>20</w:t>
            </w:r>
            <w:r w:rsidR="00E57BD9">
              <w:rPr>
                <w:b/>
                <w:bCs/>
                <w:i/>
                <w:iCs/>
                <w:color w:val="000000"/>
              </w:rPr>
              <w:t>10</w:t>
            </w:r>
            <w:r w:rsidR="00EA2BE6" w:rsidRPr="003B0CFD">
              <w:rPr>
                <w:b/>
                <w:bCs/>
                <w:i/>
                <w:iCs/>
                <w:color w:val="000000"/>
              </w:rPr>
              <w:t>.</w:t>
            </w:r>
            <w:r w:rsidR="00E77498" w:rsidRPr="003B0CFD">
              <w:rPr>
                <w:b/>
                <w:bCs/>
                <w:i/>
                <w:iCs/>
                <w:color w:val="000000"/>
              </w:rPr>
              <w:t>tény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8623CC" w:rsidRPr="003B0CFD" w:rsidRDefault="008623CC" w:rsidP="00E57BD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B0CFD">
              <w:rPr>
                <w:b/>
                <w:bCs/>
                <w:i/>
                <w:iCs/>
                <w:color w:val="000000"/>
              </w:rPr>
              <w:t>20</w:t>
            </w:r>
            <w:r w:rsidR="00E77498" w:rsidRPr="003B0CFD">
              <w:rPr>
                <w:b/>
                <w:bCs/>
                <w:i/>
                <w:iCs/>
                <w:color w:val="000000"/>
              </w:rPr>
              <w:t>1</w:t>
            </w:r>
            <w:r w:rsidR="00E57BD9">
              <w:rPr>
                <w:b/>
                <w:bCs/>
                <w:i/>
                <w:iCs/>
                <w:color w:val="000000"/>
              </w:rPr>
              <w:t>1</w:t>
            </w:r>
            <w:r w:rsidR="00EA2BE6" w:rsidRPr="003B0CFD">
              <w:rPr>
                <w:b/>
                <w:bCs/>
                <w:i/>
                <w:iCs/>
                <w:color w:val="000000"/>
              </w:rPr>
              <w:t>.</w:t>
            </w:r>
            <w:r w:rsidRPr="003B0CFD">
              <w:rPr>
                <w:b/>
                <w:bCs/>
                <w:i/>
                <w:iCs/>
                <w:color w:val="000000"/>
              </w:rPr>
              <w:t xml:space="preserve"> tény/</w:t>
            </w:r>
            <w:r w:rsidR="00EA2BE6" w:rsidRPr="003B0CFD">
              <w:rPr>
                <w:b/>
                <w:bCs/>
                <w:i/>
                <w:iCs/>
                <w:color w:val="000000"/>
              </w:rPr>
              <w:br/>
            </w:r>
            <w:r w:rsidRPr="003B0CFD">
              <w:rPr>
                <w:b/>
                <w:bCs/>
                <w:i/>
                <w:iCs/>
                <w:color w:val="000000"/>
              </w:rPr>
              <w:t>20</w:t>
            </w:r>
            <w:r w:rsidR="00E77498" w:rsidRPr="003B0CFD">
              <w:rPr>
                <w:b/>
                <w:bCs/>
                <w:i/>
                <w:iCs/>
                <w:color w:val="000000"/>
              </w:rPr>
              <w:t>1</w:t>
            </w:r>
            <w:r w:rsidR="00E57BD9">
              <w:rPr>
                <w:b/>
                <w:bCs/>
                <w:i/>
                <w:iCs/>
                <w:color w:val="000000"/>
              </w:rPr>
              <w:t>1</w:t>
            </w:r>
            <w:r w:rsidR="00EA2BE6" w:rsidRPr="003B0CFD">
              <w:rPr>
                <w:b/>
                <w:bCs/>
                <w:i/>
                <w:iCs/>
                <w:color w:val="000000"/>
              </w:rPr>
              <w:t xml:space="preserve">. </w:t>
            </w:r>
            <w:r w:rsidRPr="003B0CFD">
              <w:rPr>
                <w:b/>
                <w:bCs/>
                <w:i/>
                <w:iCs/>
                <w:color w:val="000000"/>
              </w:rPr>
              <w:t>terv</w:t>
            </w:r>
          </w:p>
        </w:tc>
      </w:tr>
      <w:tr w:rsidR="008623CC" w:rsidRPr="003B0CFD">
        <w:trPr>
          <w:trHeight w:val="300"/>
        </w:trPr>
        <w:tc>
          <w:tcPr>
            <w:tcW w:w="3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23CC" w:rsidRPr="003B0CFD" w:rsidRDefault="008623CC">
            <w:pPr>
              <w:rPr>
                <w:i/>
                <w:iCs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23CC" w:rsidRPr="003B0CFD" w:rsidRDefault="008623CC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8623CC" w:rsidRPr="003B0CFD" w:rsidRDefault="008623C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B0CFD">
              <w:rPr>
                <w:b/>
                <w:bCs/>
                <w:i/>
                <w:iCs/>
                <w:color w:val="000000"/>
              </w:rPr>
              <w:t>terv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8623CC" w:rsidRPr="003B0CFD" w:rsidRDefault="004B11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B0CFD">
              <w:rPr>
                <w:b/>
                <w:bCs/>
                <w:i/>
                <w:iCs/>
                <w:color w:val="000000"/>
              </w:rPr>
              <w:t>T</w:t>
            </w:r>
            <w:r w:rsidR="008623CC" w:rsidRPr="003B0CFD">
              <w:rPr>
                <w:b/>
                <w:bCs/>
                <w:i/>
                <w:iCs/>
                <w:color w:val="000000"/>
              </w:rPr>
              <w:t xml:space="preserve">ény </w:t>
            </w:r>
          </w:p>
        </w:tc>
        <w:tc>
          <w:tcPr>
            <w:tcW w:w="1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623CC" w:rsidRPr="003B0CFD" w:rsidRDefault="008623CC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623CC" w:rsidRPr="003B0CFD" w:rsidRDefault="008623CC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57BD9" w:rsidRPr="003B0CFD" w:rsidTr="00430280">
        <w:trPr>
          <w:trHeight w:val="369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57BD9" w:rsidRPr="003B0CFD" w:rsidRDefault="00E57BD9">
            <w:r w:rsidRPr="003B0CFD">
              <w:t>Értékesítési jutalék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57BD9" w:rsidRPr="003B0CFD" w:rsidRDefault="00E57BD9" w:rsidP="00430280">
            <w:pPr>
              <w:jc w:val="center"/>
              <w:rPr>
                <w:color w:val="000000"/>
              </w:rPr>
            </w:pPr>
            <w:r w:rsidRPr="003B0CFD">
              <w:rPr>
                <w:color w:val="000000"/>
              </w:rPr>
              <w:t>65 119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7BD9" w:rsidRPr="003B0CFD" w:rsidRDefault="007D31CB" w:rsidP="0043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115 672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57BD9" w:rsidRPr="003B0CFD" w:rsidRDefault="0098595B" w:rsidP="0043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17 717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57BD9" w:rsidRPr="003B0CFD" w:rsidRDefault="00EB5C76" w:rsidP="0043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27,2%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57BD9" w:rsidRPr="003B0CFD" w:rsidRDefault="00EB5C76" w:rsidP="0043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15,3%</w:t>
            </w:r>
          </w:p>
        </w:tc>
      </w:tr>
      <w:tr w:rsidR="00E57BD9" w:rsidRPr="003B0CFD" w:rsidTr="00430280">
        <w:trPr>
          <w:trHeight w:val="369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57BD9" w:rsidRPr="003B0CFD" w:rsidRDefault="00E57BD9">
            <w:r w:rsidRPr="003B0CFD">
              <w:t>ÉPIT Zrt. egyéb bevétel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57BD9" w:rsidRPr="003B0CFD" w:rsidRDefault="00E57BD9" w:rsidP="00430280">
            <w:pPr>
              <w:jc w:val="center"/>
              <w:rPr>
                <w:color w:val="000000"/>
              </w:rPr>
            </w:pPr>
            <w:r w:rsidRPr="003B0CFD">
              <w:rPr>
                <w:color w:val="000000"/>
              </w:rPr>
              <w:t>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7BD9" w:rsidRPr="003B0CFD" w:rsidRDefault="007D31CB" w:rsidP="0043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57BD9" w:rsidRPr="003B0CFD" w:rsidRDefault="0098595B" w:rsidP="0043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57BD9" w:rsidRPr="003B0CFD" w:rsidRDefault="00EB5C76" w:rsidP="0043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57BD9" w:rsidRPr="003B0CFD" w:rsidRDefault="00EB5C76" w:rsidP="0043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1 219%</w:t>
            </w:r>
          </w:p>
        </w:tc>
      </w:tr>
      <w:tr w:rsidR="00E57BD9" w:rsidRPr="003B0CFD" w:rsidTr="00430280">
        <w:trPr>
          <w:trHeight w:val="369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57BD9" w:rsidRPr="003B0CFD" w:rsidRDefault="00E57BD9">
            <w:proofErr w:type="spellStart"/>
            <w:r w:rsidRPr="003B0CFD">
              <w:t>Közv</w:t>
            </w:r>
            <w:proofErr w:type="spellEnd"/>
            <w:r w:rsidRPr="003B0CFD">
              <w:t xml:space="preserve">. </w:t>
            </w:r>
            <w:proofErr w:type="spellStart"/>
            <w:r w:rsidRPr="003B0CFD">
              <w:t>szolg</w:t>
            </w:r>
            <w:proofErr w:type="spellEnd"/>
            <w:r w:rsidRPr="003B0CFD">
              <w:t>. (beruh</w:t>
            </w:r>
            <w:proofErr w:type="gramStart"/>
            <w:r w:rsidRPr="003B0CFD">
              <w:t>.,</w:t>
            </w:r>
            <w:proofErr w:type="gramEnd"/>
            <w:r w:rsidRPr="003B0CFD">
              <w:t xml:space="preserve"> fenntart)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57BD9" w:rsidRPr="003B0CFD" w:rsidRDefault="00E57BD9" w:rsidP="00430280">
            <w:pPr>
              <w:jc w:val="center"/>
              <w:rPr>
                <w:color w:val="000000"/>
              </w:rPr>
            </w:pPr>
            <w:r w:rsidRPr="003B0CFD">
              <w:rPr>
                <w:color w:val="000000"/>
              </w:rPr>
              <w:t>69 000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7BD9" w:rsidRPr="003B0CFD" w:rsidRDefault="007D31CB" w:rsidP="0043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112 047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57BD9" w:rsidRPr="003B0CFD" w:rsidRDefault="0098595B" w:rsidP="0043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77 392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57BD9" w:rsidRPr="003B0CFD" w:rsidRDefault="00EB5C76" w:rsidP="0043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112,2%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57BD9" w:rsidRPr="003B0CFD" w:rsidRDefault="00EB5C76" w:rsidP="0043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69,1%</w:t>
            </w:r>
          </w:p>
        </w:tc>
      </w:tr>
      <w:tr w:rsidR="00E57BD9" w:rsidRPr="003B0CFD" w:rsidTr="00430280">
        <w:trPr>
          <w:trHeight w:val="369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57BD9" w:rsidRPr="003B0CFD" w:rsidRDefault="00E57BD9">
            <w:pPr>
              <w:rPr>
                <w:b/>
                <w:bCs/>
              </w:rPr>
            </w:pPr>
            <w:r w:rsidRPr="003B0CFD">
              <w:rPr>
                <w:b/>
                <w:bCs/>
              </w:rPr>
              <w:t>ÉRTÉKESÍTÉS NETTÓ ÁRBEVÉTELE ÖSSZESEN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57BD9" w:rsidRPr="003B0CFD" w:rsidRDefault="00E57BD9" w:rsidP="00430280">
            <w:pPr>
              <w:jc w:val="center"/>
              <w:rPr>
                <w:b/>
                <w:bCs/>
                <w:color w:val="000000"/>
              </w:rPr>
            </w:pPr>
            <w:r w:rsidRPr="003B0CFD">
              <w:rPr>
                <w:b/>
                <w:bCs/>
                <w:color w:val="000000"/>
              </w:rPr>
              <w:t>134 457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57BD9" w:rsidRPr="003B0CFD" w:rsidRDefault="007D31CB" w:rsidP="004302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227 819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57BD9" w:rsidRPr="003B0CFD" w:rsidRDefault="0098595B" w:rsidP="004302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96 328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57BD9" w:rsidRPr="003B0CFD" w:rsidRDefault="00EB5C76" w:rsidP="004302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71,6%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57BD9" w:rsidRPr="003B0CFD" w:rsidRDefault="00EB5C76" w:rsidP="004302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42,3%</w:t>
            </w:r>
          </w:p>
        </w:tc>
      </w:tr>
      <w:tr w:rsidR="00E57BD9" w:rsidRPr="003B0CFD" w:rsidTr="00430280">
        <w:trPr>
          <w:trHeight w:val="369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57BD9" w:rsidRPr="003B0CFD" w:rsidRDefault="00E57BD9">
            <w:r w:rsidRPr="003B0CFD">
              <w:t>Egyéb bevétel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57BD9" w:rsidRPr="003B0CFD" w:rsidRDefault="00E57BD9" w:rsidP="00430280">
            <w:pPr>
              <w:jc w:val="center"/>
              <w:rPr>
                <w:color w:val="000000"/>
              </w:rPr>
            </w:pPr>
            <w:r w:rsidRPr="003B0CFD">
              <w:rPr>
                <w:color w:val="00000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7BD9" w:rsidRPr="003B0CFD" w:rsidRDefault="007D31CB" w:rsidP="0043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57BD9" w:rsidRPr="003B0CFD" w:rsidRDefault="0098595B" w:rsidP="0043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5 981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57BD9" w:rsidRPr="003B0CFD" w:rsidRDefault="00EB5C76" w:rsidP="0043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19 936,7%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57BD9" w:rsidRPr="003B0CFD" w:rsidRDefault="00EB5C76" w:rsidP="0043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57BD9" w:rsidRPr="003B0CFD" w:rsidTr="00430280">
        <w:trPr>
          <w:trHeight w:val="369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9966"/>
            <w:noWrap/>
            <w:vAlign w:val="bottom"/>
          </w:tcPr>
          <w:p w:rsidR="00E57BD9" w:rsidRPr="003B0CFD" w:rsidRDefault="00E57BD9">
            <w:pPr>
              <w:rPr>
                <w:b/>
                <w:bCs/>
                <w:i/>
                <w:iCs/>
                <w:color w:val="FFFFFF"/>
              </w:rPr>
            </w:pPr>
            <w:r w:rsidRPr="003B0CFD">
              <w:rPr>
                <w:b/>
                <w:bCs/>
                <w:i/>
                <w:iCs/>
                <w:color w:val="FFFFFF"/>
              </w:rPr>
              <w:t>BEVÉTEL ÖSSZESEN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9966"/>
            <w:noWrap/>
            <w:vAlign w:val="center"/>
          </w:tcPr>
          <w:p w:rsidR="00E57BD9" w:rsidRPr="003B0CFD" w:rsidRDefault="00E57BD9" w:rsidP="00AE7ACC">
            <w:pPr>
              <w:jc w:val="center"/>
              <w:rPr>
                <w:b/>
                <w:bCs/>
                <w:i/>
                <w:iCs/>
                <w:color w:val="FFFFFF"/>
              </w:rPr>
            </w:pPr>
            <w:r w:rsidRPr="003B0CFD">
              <w:rPr>
                <w:b/>
                <w:bCs/>
                <w:i/>
                <w:iCs/>
                <w:color w:val="FFFFFF"/>
              </w:rPr>
              <w:t>134 4</w:t>
            </w:r>
            <w:r w:rsidR="00AE7ACC">
              <w:rPr>
                <w:b/>
                <w:bCs/>
                <w:i/>
                <w:iCs/>
                <w:color w:val="FFFFFF"/>
              </w:rPr>
              <w:t>8</w:t>
            </w:r>
            <w:r w:rsidRPr="003B0CFD">
              <w:rPr>
                <w:b/>
                <w:bCs/>
                <w:i/>
                <w:iCs/>
                <w:color w:val="FFFFFF"/>
              </w:rPr>
              <w:t>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9966"/>
            <w:noWrap/>
            <w:vAlign w:val="center"/>
          </w:tcPr>
          <w:p w:rsidR="00E57BD9" w:rsidRPr="003B0CFD" w:rsidRDefault="007D31CB" w:rsidP="00430280">
            <w:pPr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b/>
                <w:bCs/>
                <w:i/>
                <w:iCs/>
                <w:color w:val="FFFFFF"/>
              </w:rPr>
              <w:t>227 819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9966"/>
            <w:noWrap/>
            <w:vAlign w:val="center"/>
          </w:tcPr>
          <w:p w:rsidR="00E57BD9" w:rsidRPr="003B0CFD" w:rsidRDefault="00EB5C76" w:rsidP="00430280">
            <w:pPr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b/>
                <w:bCs/>
                <w:i/>
                <w:iCs/>
                <w:color w:val="FFFFFF"/>
              </w:rPr>
              <w:t>102 309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9966"/>
            <w:noWrap/>
            <w:vAlign w:val="center"/>
          </w:tcPr>
          <w:p w:rsidR="00E57BD9" w:rsidRPr="003B0CFD" w:rsidRDefault="00EB5C76" w:rsidP="00430280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76,1%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9966"/>
            <w:noWrap/>
            <w:vAlign w:val="center"/>
          </w:tcPr>
          <w:p w:rsidR="00E57BD9" w:rsidRPr="003B0CFD" w:rsidRDefault="00EB5C76" w:rsidP="00430280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44,9%</w:t>
            </w:r>
          </w:p>
        </w:tc>
      </w:tr>
    </w:tbl>
    <w:p w:rsidR="00511314" w:rsidRPr="00511314" w:rsidRDefault="00CF7331" w:rsidP="001940B9">
      <w:pPr>
        <w:pStyle w:val="Listaszerbekezds"/>
        <w:numPr>
          <w:ilvl w:val="1"/>
          <w:numId w:val="12"/>
        </w:numPr>
        <w:spacing w:before="480" w:after="120" w:line="360" w:lineRule="auto"/>
        <w:ind w:left="709" w:hanging="709"/>
        <w:jc w:val="both"/>
        <w:rPr>
          <w:i/>
        </w:rPr>
      </w:pPr>
      <w:r w:rsidRPr="00682F8A">
        <w:rPr>
          <w:i/>
        </w:rPr>
        <w:t>A belföldi értékesítés bevétele</w:t>
      </w:r>
    </w:p>
    <w:p w:rsidR="005359AA" w:rsidRDefault="003560E5" w:rsidP="003B0CFD">
      <w:pPr>
        <w:spacing w:after="120" w:line="276" w:lineRule="auto"/>
        <w:ind w:right="-108" w:firstLine="357"/>
        <w:jc w:val="both"/>
      </w:pPr>
      <w:r>
        <w:t xml:space="preserve">A </w:t>
      </w:r>
      <w:r w:rsidR="00E57BD9">
        <w:t>2011</w:t>
      </w:r>
      <w:r w:rsidR="00B12457">
        <w:t>. </w:t>
      </w:r>
      <w:r w:rsidR="005359AA">
        <w:t xml:space="preserve">évi üzleti terv </w:t>
      </w:r>
      <w:r w:rsidR="007D31CB">
        <w:t>227.819</w:t>
      </w:r>
      <w:r w:rsidR="005359AA">
        <w:t> millió Ft nettó árbevétel elérését tűzte ki célul.</w:t>
      </w:r>
      <w:r w:rsidR="005359AA" w:rsidRPr="00734C45">
        <w:t xml:space="preserve"> </w:t>
      </w:r>
      <w:r w:rsidR="00C4642E">
        <w:t xml:space="preserve">A tervezett </w:t>
      </w:r>
      <w:r>
        <w:t xml:space="preserve">árbevétel </w:t>
      </w:r>
      <w:r w:rsidR="007D31CB">
        <w:t>49,2</w:t>
      </w:r>
      <w:r>
        <w:t> %-</w:t>
      </w:r>
      <w:proofErr w:type="gramStart"/>
      <w:r>
        <w:t>a</w:t>
      </w:r>
      <w:proofErr w:type="gramEnd"/>
      <w:r>
        <w:t xml:space="preserve">, </w:t>
      </w:r>
      <w:r w:rsidR="007D31CB">
        <w:t> 112.047 </w:t>
      </w:r>
      <w:r w:rsidR="005359AA">
        <w:t>millió</w:t>
      </w:r>
      <w:r w:rsidR="00B12457">
        <w:t> </w:t>
      </w:r>
      <w:r w:rsidR="00D74D99">
        <w:t xml:space="preserve">Ft közvetített szolgáltatás, </w:t>
      </w:r>
      <w:r w:rsidR="007D31CB">
        <w:t>50,8</w:t>
      </w:r>
      <w:r w:rsidR="00E83B78">
        <w:t> </w:t>
      </w:r>
      <w:r w:rsidR="00D74D99">
        <w:t xml:space="preserve">%-a, </w:t>
      </w:r>
      <w:r w:rsidR="007D31CB">
        <w:t>115.672</w:t>
      </w:r>
      <w:r w:rsidR="00E83B78">
        <w:t> </w:t>
      </w:r>
      <w:r w:rsidR="005359AA">
        <w:t>millió</w:t>
      </w:r>
      <w:r w:rsidR="00B12457">
        <w:t> </w:t>
      </w:r>
      <w:r w:rsidR="005359AA">
        <w:t>Ft az ingatlanértékesítés jutalékának árbevétele volt.</w:t>
      </w:r>
    </w:p>
    <w:p w:rsidR="005359AA" w:rsidRDefault="005359AA" w:rsidP="003B0CFD">
      <w:pPr>
        <w:spacing w:after="120" w:line="276" w:lineRule="auto"/>
        <w:ind w:right="-108" w:firstLine="357"/>
        <w:jc w:val="both"/>
      </w:pPr>
      <w:r>
        <w:t xml:space="preserve">A </w:t>
      </w:r>
      <w:r w:rsidR="00E57BD9">
        <w:t>2011</w:t>
      </w:r>
      <w:r>
        <w:t xml:space="preserve">. évi üzleti terv </w:t>
      </w:r>
      <w:r w:rsidR="000F3DC8">
        <w:t>3</w:t>
      </w:r>
      <w:r>
        <w:t xml:space="preserve"> ingatlan értékesítését irányozta elő, független értékbecslő által meghatározott árakon. </w:t>
      </w:r>
      <w:r w:rsidR="00D74D99">
        <w:t>Az árakat a Közgyűlés az Üzleti terv keretében hagyta jóvá</w:t>
      </w:r>
      <w:r w:rsidR="00AF1D93">
        <w:t xml:space="preserve">. </w:t>
      </w:r>
      <w:r>
        <w:t xml:space="preserve">Az üzleti év folyamán az ingatlanokra </w:t>
      </w:r>
      <w:r w:rsidR="000F3DC8">
        <w:t xml:space="preserve">négy </w:t>
      </w:r>
      <w:r w:rsidRPr="00616FB2">
        <w:t>nyilvános pályázatot bonyolítottunk le. A pályázatok</w:t>
      </w:r>
      <w:r w:rsidR="00AB1F37" w:rsidRPr="00616FB2">
        <w:t xml:space="preserve"> során 1-1 ingatlanra érkezett érvényes ajánlat. A 76512/4</w:t>
      </w:r>
      <w:r w:rsidR="000F3DC8">
        <w:t>9</w:t>
      </w:r>
      <w:r w:rsidR="00AC7819">
        <w:t>1</w:t>
      </w:r>
      <w:r w:rsidR="00AB1F37" w:rsidRPr="00616FB2">
        <w:t xml:space="preserve"> hrsz.-ú ingatlanra </w:t>
      </w:r>
      <w:r w:rsidR="00C4642E">
        <w:t xml:space="preserve">opciós vételi ajánlat, </w:t>
      </w:r>
      <w:r w:rsidR="00AB1F37" w:rsidRPr="00616FB2">
        <w:t>a 76512/</w:t>
      </w:r>
      <w:r w:rsidR="00AC7819">
        <w:t>490</w:t>
      </w:r>
      <w:r w:rsidR="00AB1F37" w:rsidRPr="00616FB2">
        <w:t xml:space="preserve"> hrsz.-ú ingatlan esetében a terv szerinti értékesítési ár</w:t>
      </w:r>
      <w:r w:rsidR="006B1F3E" w:rsidRPr="00616FB2">
        <w:t>nál</w:t>
      </w:r>
      <w:r w:rsidR="00AB1F37" w:rsidRPr="00616FB2">
        <w:t xml:space="preserve"> </w:t>
      </w:r>
      <w:r w:rsidR="00D74D99" w:rsidRPr="00616FB2">
        <w:t>magasabb</w:t>
      </w:r>
      <w:r w:rsidRPr="00616FB2">
        <w:t xml:space="preserve"> értékű </w:t>
      </w:r>
      <w:r w:rsidR="00C4642E">
        <w:t xml:space="preserve">vételi </w:t>
      </w:r>
      <w:r w:rsidRPr="00616FB2">
        <w:t>ajánlat érkez</w:t>
      </w:r>
      <w:r w:rsidR="00C4642E">
        <w:t>ett</w:t>
      </w:r>
      <w:r w:rsidRPr="00616FB2">
        <w:t xml:space="preserve"> be</w:t>
      </w:r>
      <w:r w:rsidR="006B1F3E" w:rsidRPr="00616FB2">
        <w:t xml:space="preserve">. A </w:t>
      </w:r>
      <w:r w:rsidR="00D74D99" w:rsidRPr="00616FB2">
        <w:t>két ingatlan tekintetében</w:t>
      </w:r>
      <w:r w:rsidRPr="00616FB2">
        <w:t>,</w:t>
      </w:r>
      <w:r w:rsidR="00D74D99" w:rsidRPr="00616FB2">
        <w:t xml:space="preserve"> az ajánlatokat az Igazgatóság elfogadta, így a 76512/4</w:t>
      </w:r>
      <w:r w:rsidR="000F3DC8">
        <w:t>9</w:t>
      </w:r>
      <w:r w:rsidR="00D74D99" w:rsidRPr="00616FB2">
        <w:t>0 hrsz.</w:t>
      </w:r>
      <w:r w:rsidR="00E6208A" w:rsidRPr="00616FB2">
        <w:t>-</w:t>
      </w:r>
      <w:r w:rsidR="00D74D99" w:rsidRPr="00616FB2">
        <w:t xml:space="preserve">ú </w:t>
      </w:r>
      <w:r w:rsidR="00AC7819">
        <w:t>ingatlan</w:t>
      </w:r>
      <w:r w:rsidR="00D74D99" w:rsidRPr="00616FB2">
        <w:t xml:space="preserve"> értékesítése megtörtént</w:t>
      </w:r>
      <w:r w:rsidR="00FD3DF4" w:rsidRPr="00616FB2">
        <w:t>.</w:t>
      </w:r>
      <w:r w:rsidR="00D74D99">
        <w:t xml:space="preserve"> </w:t>
      </w:r>
      <w:r w:rsidR="007D31CB">
        <w:t xml:space="preserve"> A másik ingatlan esetében opciós vételi jogú adásvételi szerződést kötöttünk meg, melynek határideje 2012. évben lesz esedékes. </w:t>
      </w:r>
      <w:r w:rsidR="00D74D99">
        <w:t>Ezen ingatlanértékesítések után</w:t>
      </w:r>
      <w:r w:rsidR="00FD3DF4" w:rsidRPr="00FD3DF4">
        <w:rPr>
          <w:b/>
        </w:rPr>
        <w:t xml:space="preserve"> az </w:t>
      </w:r>
      <w:r w:rsidRPr="00FD3DF4">
        <w:rPr>
          <w:b/>
        </w:rPr>
        <w:t xml:space="preserve">ÉPIT Zrt. értékesítés utáni jutalékbevételt </w:t>
      </w:r>
      <w:r w:rsidR="00AC7819">
        <w:rPr>
          <w:b/>
        </w:rPr>
        <w:t>17.</w:t>
      </w:r>
      <w:r w:rsidR="000F3DC8">
        <w:rPr>
          <w:b/>
        </w:rPr>
        <w:t xml:space="preserve">717 </w:t>
      </w:r>
      <w:r w:rsidR="00D74D99">
        <w:rPr>
          <w:b/>
        </w:rPr>
        <w:t xml:space="preserve">millió </w:t>
      </w:r>
      <w:proofErr w:type="gramStart"/>
      <w:r w:rsidR="00D74D99">
        <w:rPr>
          <w:b/>
        </w:rPr>
        <w:t>forint</w:t>
      </w:r>
      <w:r w:rsidR="00801983">
        <w:rPr>
          <w:b/>
        </w:rPr>
        <w:t xml:space="preserve"> </w:t>
      </w:r>
      <w:r w:rsidR="00D74D99">
        <w:rPr>
          <w:b/>
        </w:rPr>
        <w:t>értékben</w:t>
      </w:r>
      <w:proofErr w:type="gramEnd"/>
      <w:r w:rsidRPr="00FD3DF4">
        <w:rPr>
          <w:b/>
        </w:rPr>
        <w:t xml:space="preserve"> realizált</w:t>
      </w:r>
      <w:r w:rsidR="00FD3DF4" w:rsidRPr="00FD3DF4">
        <w:rPr>
          <w:b/>
        </w:rPr>
        <w:t>.</w:t>
      </w:r>
      <w:r>
        <w:t xml:space="preserve"> A </w:t>
      </w:r>
      <w:r w:rsidR="00422340">
        <w:t xml:space="preserve">tényleges </w:t>
      </w:r>
      <w:r>
        <w:t xml:space="preserve">saját jogú bevétel </w:t>
      </w:r>
      <w:r w:rsidR="00D74D99">
        <w:t xml:space="preserve">az egyéb bevételekkel együtt összesen </w:t>
      </w:r>
      <w:r w:rsidR="00AC7819">
        <w:t xml:space="preserve">18.936 </w:t>
      </w:r>
      <w:r>
        <w:t>millió Ft volt.</w:t>
      </w:r>
    </w:p>
    <w:p w:rsidR="00430280" w:rsidRDefault="00C76EC8" w:rsidP="003B0CFD">
      <w:pPr>
        <w:spacing w:after="240" w:line="276" w:lineRule="auto"/>
        <w:jc w:val="both"/>
      </w:pPr>
      <w:r>
        <w:t>A közvetített szolgáltatások bevételeinek tényleges nagyságrendjét az e</w:t>
      </w:r>
      <w:r w:rsidR="00D74D99">
        <w:t xml:space="preserve">lvégzett fenntartási </w:t>
      </w:r>
      <w:r w:rsidR="00D74D99" w:rsidRPr="00381CE2">
        <w:t>munkák</w:t>
      </w:r>
      <w:r w:rsidR="00AF1D93" w:rsidRPr="00381CE2">
        <w:t xml:space="preserve"> </w:t>
      </w:r>
      <w:r w:rsidR="00B70729" w:rsidRPr="00381CE2">
        <w:t xml:space="preserve">8 </w:t>
      </w:r>
      <w:r w:rsidR="00D74D99" w:rsidRPr="00381CE2">
        <w:t>millió forintos</w:t>
      </w:r>
      <w:r w:rsidR="00150810" w:rsidRPr="00381CE2">
        <w:t xml:space="preserve"> kaszálási és sarjirtási feladat</w:t>
      </w:r>
      <w:r w:rsidR="00D74D99" w:rsidRPr="00381CE2">
        <w:t xml:space="preserve"> </w:t>
      </w:r>
      <w:r w:rsidR="006B1F3E" w:rsidRPr="00381CE2">
        <w:t xml:space="preserve">elszámolásából </w:t>
      </w:r>
      <w:r w:rsidR="00D74D99" w:rsidRPr="00381CE2">
        <w:t>fakadó</w:t>
      </w:r>
      <w:r w:rsidR="00150810" w:rsidRPr="00381CE2">
        <w:t xml:space="preserve"> munka </w:t>
      </w:r>
      <w:r w:rsidR="00D74D99" w:rsidRPr="00381CE2">
        <w:t>értéke</w:t>
      </w:r>
      <w:r w:rsidR="0087043D" w:rsidRPr="00381CE2">
        <w:t xml:space="preserve"> határozta meg, míg a</w:t>
      </w:r>
      <w:r w:rsidRPr="00381CE2">
        <w:t xml:space="preserve"> </w:t>
      </w:r>
      <w:r w:rsidR="00D74D99" w:rsidRPr="00381CE2">
        <w:t xml:space="preserve">befejezett beruházások </w:t>
      </w:r>
      <w:r w:rsidRPr="00381CE2">
        <w:t>aktiválás</w:t>
      </w:r>
      <w:r w:rsidR="00150810" w:rsidRPr="00381CE2">
        <w:t xml:space="preserve"> céljából történő</w:t>
      </w:r>
      <w:r w:rsidRPr="00381CE2">
        <w:t xml:space="preserve"> kiszámlázás </w:t>
      </w:r>
      <w:r w:rsidR="00B70729" w:rsidRPr="00381CE2">
        <w:t xml:space="preserve">69,4 </w:t>
      </w:r>
      <w:r w:rsidR="0087043D" w:rsidRPr="00381CE2">
        <w:t xml:space="preserve">millió forint volt </w:t>
      </w:r>
      <w:r w:rsidR="00E57BD9" w:rsidRPr="00381CE2">
        <w:t>2011</w:t>
      </w:r>
      <w:r w:rsidR="0087043D" w:rsidRPr="00381CE2">
        <w:t>-ben.</w:t>
      </w:r>
      <w:r w:rsidR="00150810" w:rsidRPr="00381CE2">
        <w:t xml:space="preserve"> Ebben benne foglaltatik a csereerdősítési kötelezettségből adódó feladathoz kapcsolódó 8,5 hektár csereerdő átadása, az Észak-pesti Ipari Parkban található utak tervezési, forgalomba-helyezési eljárásainak díja is. </w:t>
      </w:r>
      <w:r w:rsidR="0087043D" w:rsidRPr="00381CE2">
        <w:t xml:space="preserve">Ezen </w:t>
      </w:r>
      <w:r w:rsidRPr="00381CE2">
        <w:t xml:space="preserve">a soron </w:t>
      </w:r>
      <w:r w:rsidR="00E83B78" w:rsidRPr="00381CE2">
        <w:br/>
      </w:r>
      <w:r w:rsidR="00E57BD9" w:rsidRPr="00381CE2">
        <w:t>2011</w:t>
      </w:r>
      <w:r w:rsidRPr="00381CE2">
        <w:t xml:space="preserve">-ben elért nettó árbevétel </w:t>
      </w:r>
      <w:r w:rsidR="00B70729" w:rsidRPr="00381CE2">
        <w:t>77,</w:t>
      </w:r>
      <w:r w:rsidR="00483FCE" w:rsidRPr="00381CE2">
        <w:t>3</w:t>
      </w:r>
      <w:r w:rsidR="00B70729" w:rsidRPr="00381CE2">
        <w:t xml:space="preserve"> </w:t>
      </w:r>
      <w:r w:rsidRPr="00381CE2">
        <w:t xml:space="preserve">millió Ft-ot tett </w:t>
      </w:r>
      <w:r w:rsidR="002A7C1A" w:rsidRPr="00381CE2">
        <w:t>ki, amely</w:t>
      </w:r>
      <w:r w:rsidR="00520EAD" w:rsidRPr="00381CE2">
        <w:t xml:space="preserve"> 3</w:t>
      </w:r>
      <w:r w:rsidR="0087043D" w:rsidRPr="00381CE2">
        <w:t>0</w:t>
      </w:r>
      <w:r w:rsidR="00B12457" w:rsidRPr="00381CE2">
        <w:t> </w:t>
      </w:r>
      <w:r w:rsidR="0087043D" w:rsidRPr="00381CE2">
        <w:t>%-kal</w:t>
      </w:r>
      <w:r w:rsidR="00520EAD" w:rsidRPr="00381CE2">
        <w:t xml:space="preserve"> elmaradt </w:t>
      </w:r>
      <w:r w:rsidR="0087043D" w:rsidRPr="00381CE2">
        <w:t>tervezetthez</w:t>
      </w:r>
      <w:r w:rsidR="00B6429E">
        <w:t xml:space="preserve"> képest, mert néhány beruházási tétel befejezetlen marad év végére, ezért kiszámlázásuk nem valósulhatott meg.</w:t>
      </w:r>
      <w:r w:rsidR="0087043D">
        <w:t xml:space="preserve"> </w:t>
      </w:r>
      <w:r w:rsidR="006D4212" w:rsidRPr="00B12457">
        <w:t>Tekintettel arr</w:t>
      </w:r>
      <w:r w:rsidR="006C6124" w:rsidRPr="00B12457">
        <w:t xml:space="preserve">a, hogy </w:t>
      </w:r>
      <w:r w:rsidR="006D4212" w:rsidRPr="00B12457">
        <w:t>a</w:t>
      </w:r>
      <w:r w:rsidR="00AF1D93">
        <w:t xml:space="preserve"> fejlesztési</w:t>
      </w:r>
      <w:r w:rsidR="006D4212" w:rsidRPr="00B12457">
        <w:t xml:space="preserve"> tevékenységen, illetve ehhez a tevékenységhez kapcsolódóan nyereség</w:t>
      </w:r>
      <w:r w:rsidR="006C6124" w:rsidRPr="00B12457">
        <w:t xml:space="preserve">e </w:t>
      </w:r>
      <w:r w:rsidR="006D4212" w:rsidRPr="00B12457">
        <w:t>nem keletkezik</w:t>
      </w:r>
      <w:r w:rsidR="006C6124" w:rsidRPr="00B12457">
        <w:t xml:space="preserve"> a </w:t>
      </w:r>
      <w:proofErr w:type="spellStart"/>
      <w:r w:rsidR="006C6124" w:rsidRPr="00B12457">
        <w:t>Zrt.-nek</w:t>
      </w:r>
      <w:proofErr w:type="spellEnd"/>
      <w:r w:rsidR="006D4212" w:rsidRPr="00B12457">
        <w:t xml:space="preserve">, így </w:t>
      </w:r>
      <w:r w:rsidR="006C6124" w:rsidRPr="00B12457">
        <w:t>a terv</w:t>
      </w:r>
      <w:r w:rsidR="0087043D">
        <w:t xml:space="preserve"> alul</w:t>
      </w:r>
      <w:r w:rsidR="006C6124" w:rsidRPr="00B12457">
        <w:t>teljesítés</w:t>
      </w:r>
      <w:r w:rsidR="00625DD4" w:rsidRPr="00B12457">
        <w:t>e</w:t>
      </w:r>
      <w:r w:rsidR="006C6124" w:rsidRPr="00B12457">
        <w:t xml:space="preserve"> </w:t>
      </w:r>
      <w:r w:rsidR="006C6124" w:rsidRPr="00430280">
        <w:t>nem befolyásolta az összeredményességet.</w:t>
      </w:r>
    </w:p>
    <w:p w:rsidR="006D4212" w:rsidRPr="00B12457" w:rsidRDefault="00430280" w:rsidP="003B0CFD">
      <w:pPr>
        <w:spacing w:after="240" w:line="276" w:lineRule="auto"/>
        <w:jc w:val="both"/>
      </w:pPr>
      <w:r>
        <w:lastRenderedPageBreak/>
        <w:t>Az ÉPIT</w:t>
      </w:r>
      <w:r w:rsidR="00E83B78">
        <w:t> </w:t>
      </w:r>
      <w:r>
        <w:t>Zrt</w:t>
      </w:r>
      <w:r w:rsidR="00C4642E">
        <w:t>.</w:t>
      </w:r>
      <w:r>
        <w:t xml:space="preserve"> árbevétele a Keretszerződésben foglaltakkal ellentétben kizárólag a fenti tételeket </w:t>
      </w:r>
      <w:r w:rsidR="00475BE3">
        <w:t>tartalmazza.</w:t>
      </w:r>
      <w:r>
        <w:t xml:space="preserve"> </w:t>
      </w:r>
      <w:r w:rsidR="00475BE3">
        <w:t xml:space="preserve">Társaságunk </w:t>
      </w:r>
      <w:r w:rsidR="00E57BD9">
        <w:t>2011</w:t>
      </w:r>
      <w:r>
        <w:t xml:space="preserve">-ben sem – mint ahogy a korábbi években sem </w:t>
      </w:r>
      <w:r w:rsidR="00475BE3">
        <w:t xml:space="preserve">- számlázta </w:t>
      </w:r>
      <w:r>
        <w:t xml:space="preserve">a Keretszerződés szerinti értéknövekedési </w:t>
      </w:r>
      <w:r w:rsidR="00475BE3">
        <w:t xml:space="preserve">jutalékot </w:t>
      </w:r>
      <w:r>
        <w:t>a fejlesztési területen elvégzett</w:t>
      </w:r>
      <w:r w:rsidR="00475BE3">
        <w:t>, az Önkormányzatoknál aktivált</w:t>
      </w:r>
      <w:r>
        <w:t xml:space="preserve"> beruházások után. </w:t>
      </w:r>
      <w:r w:rsidR="00AF1D93">
        <w:t xml:space="preserve"> </w:t>
      </w:r>
      <w:r w:rsidR="00D872FF">
        <w:t>Az új típusú</w:t>
      </w:r>
      <w:r w:rsidR="00C4642E">
        <w:t>, a Keretszerződésen kívüli</w:t>
      </w:r>
      <w:r w:rsidR="00D872FF">
        <w:t xml:space="preserve"> szerződésekből fakadó saját teljesítmények továbbszámlázása legkorábban </w:t>
      </w:r>
      <w:proofErr w:type="gramStart"/>
      <w:r w:rsidR="00D872FF">
        <w:t>2012. tavaszán</w:t>
      </w:r>
      <w:proofErr w:type="gramEnd"/>
      <w:r w:rsidR="00D872FF">
        <w:t xml:space="preserve"> realizálódik.</w:t>
      </w:r>
    </w:p>
    <w:p w:rsidR="00A81BE6" w:rsidRPr="00682F8A" w:rsidRDefault="00CF7331" w:rsidP="001940B9">
      <w:pPr>
        <w:pStyle w:val="Listaszerbekezds"/>
        <w:numPr>
          <w:ilvl w:val="2"/>
          <w:numId w:val="12"/>
        </w:numPr>
        <w:tabs>
          <w:tab w:val="left" w:pos="3465"/>
        </w:tabs>
        <w:spacing w:after="120" w:line="276" w:lineRule="auto"/>
        <w:ind w:left="709" w:hanging="709"/>
        <w:jc w:val="both"/>
        <w:rPr>
          <w:i/>
        </w:rPr>
      </w:pPr>
      <w:r w:rsidRPr="00682F8A">
        <w:rPr>
          <w:i/>
        </w:rPr>
        <w:t>Egyéb bevételek</w:t>
      </w:r>
    </w:p>
    <w:p w:rsidR="00D872FF" w:rsidRPr="00D872FF" w:rsidRDefault="00D872FF" w:rsidP="009E251D">
      <w:pPr>
        <w:spacing w:after="240" w:line="276" w:lineRule="auto"/>
        <w:ind w:firstLine="425"/>
        <w:jc w:val="both"/>
      </w:pPr>
      <w:r w:rsidRPr="00D872FF">
        <w:t>Egyéb bevételek 5.981 e Ft, ezen a soron káreseménnyel kapcsolatos bevétel, valamint a 2009-ben 3.631 e Ft értékben képzett céltartalék feloldása és egy szállítási szerződésből fakadó késedelmi kamat összege (2.090 eFt) szerepel.</w:t>
      </w:r>
    </w:p>
    <w:p w:rsidR="00A81BE6" w:rsidRPr="00682F8A" w:rsidRDefault="00A81BE6" w:rsidP="001940B9">
      <w:pPr>
        <w:pStyle w:val="Listaszerbekezds"/>
        <w:numPr>
          <w:ilvl w:val="1"/>
          <w:numId w:val="16"/>
        </w:numPr>
        <w:tabs>
          <w:tab w:val="left" w:pos="3465"/>
        </w:tabs>
        <w:spacing w:after="120" w:line="276" w:lineRule="auto"/>
        <w:ind w:left="709" w:hanging="709"/>
        <w:jc w:val="both"/>
        <w:rPr>
          <w:i/>
        </w:rPr>
      </w:pPr>
      <w:r w:rsidRPr="00682F8A">
        <w:rPr>
          <w:i/>
        </w:rPr>
        <w:t xml:space="preserve">Aktivált saját teljesítmények értéke </w:t>
      </w:r>
    </w:p>
    <w:p w:rsidR="00A81BE6" w:rsidRPr="00A81BE6" w:rsidRDefault="00A81BE6" w:rsidP="00A81BE6">
      <w:pPr>
        <w:spacing w:after="240" w:line="276" w:lineRule="auto"/>
        <w:ind w:firstLine="357"/>
        <w:jc w:val="both"/>
      </w:pPr>
      <w:r w:rsidRPr="00A81BE6">
        <w:t>Társaságunk 2011-ben két fejlesztéssel kapcsolatosan számolt el saját teljesítmények értékét, méghozzá oly módon, hogy a befejezetlen beruházások készleteire átvezette, majd a 2012. évben ezeket kiszámlázza.</w:t>
      </w:r>
    </w:p>
    <w:p w:rsidR="00A81BE6" w:rsidRDefault="00A81BE6" w:rsidP="00A81BE6">
      <w:pPr>
        <w:spacing w:line="276" w:lineRule="auto"/>
        <w:jc w:val="right"/>
        <w:rPr>
          <w:sz w:val="18"/>
          <w:szCs w:val="18"/>
        </w:rPr>
      </w:pPr>
      <w:proofErr w:type="gramStart"/>
      <w:r w:rsidRPr="00944DF0">
        <w:rPr>
          <w:sz w:val="18"/>
          <w:szCs w:val="18"/>
        </w:rPr>
        <w:t>adatok</w:t>
      </w:r>
      <w:proofErr w:type="gramEnd"/>
      <w:r w:rsidRPr="00944DF0">
        <w:rPr>
          <w:sz w:val="18"/>
          <w:szCs w:val="18"/>
        </w:rPr>
        <w:t xml:space="preserve"> e</w:t>
      </w:r>
      <w:r>
        <w:rPr>
          <w:sz w:val="18"/>
          <w:szCs w:val="18"/>
        </w:rPr>
        <w:t> </w:t>
      </w:r>
      <w:r w:rsidRPr="00944DF0">
        <w:rPr>
          <w:sz w:val="18"/>
          <w:szCs w:val="18"/>
        </w:rPr>
        <w:t>Ft-ban</w:t>
      </w:r>
    </w:p>
    <w:tbl>
      <w:tblPr>
        <w:tblW w:w="9560" w:type="dxa"/>
        <w:tblInd w:w="-110" w:type="dxa"/>
        <w:tblCellMar>
          <w:left w:w="70" w:type="dxa"/>
          <w:right w:w="70" w:type="dxa"/>
        </w:tblCellMar>
        <w:tblLook w:val="0000"/>
      </w:tblPr>
      <w:tblGrid>
        <w:gridCol w:w="3240"/>
        <w:gridCol w:w="1260"/>
        <w:gridCol w:w="1080"/>
        <w:gridCol w:w="985"/>
        <w:gridCol w:w="1555"/>
        <w:gridCol w:w="1440"/>
      </w:tblGrid>
      <w:tr w:rsidR="00A81BE6" w:rsidRPr="003B0CFD" w:rsidTr="00FD63F6">
        <w:trPr>
          <w:trHeight w:val="315"/>
        </w:trPr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CC"/>
            <w:vAlign w:val="center"/>
          </w:tcPr>
          <w:p w:rsidR="00A81BE6" w:rsidRPr="003B0CFD" w:rsidRDefault="00A81BE6" w:rsidP="00FD63F6">
            <w:pPr>
              <w:jc w:val="center"/>
              <w:rPr>
                <w:i/>
                <w:iCs/>
                <w:color w:val="000000"/>
              </w:rPr>
            </w:pPr>
            <w:r w:rsidRPr="003B0CFD">
              <w:rPr>
                <w:i/>
                <w:iCs/>
                <w:color w:val="000000"/>
              </w:rPr>
              <w:t>Megnevezés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CC"/>
            <w:vAlign w:val="center"/>
          </w:tcPr>
          <w:p w:rsidR="00A81BE6" w:rsidRPr="003B0CFD" w:rsidRDefault="00A81BE6" w:rsidP="00A81BE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2010</w:t>
            </w:r>
            <w:r w:rsidRPr="003B0CFD">
              <w:rPr>
                <w:b/>
                <w:bCs/>
                <w:i/>
                <w:iCs/>
                <w:color w:val="000000"/>
              </w:rPr>
              <w:t>. tény</w:t>
            </w:r>
          </w:p>
        </w:tc>
        <w:tc>
          <w:tcPr>
            <w:tcW w:w="20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CFFCC"/>
            <w:noWrap/>
            <w:vAlign w:val="bottom"/>
          </w:tcPr>
          <w:p w:rsidR="00A81BE6" w:rsidRPr="003B0CFD" w:rsidRDefault="00A81BE6" w:rsidP="00FD63F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2011.</w:t>
            </w:r>
          </w:p>
        </w:tc>
        <w:tc>
          <w:tcPr>
            <w:tcW w:w="1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A81BE6" w:rsidRPr="003B0CFD" w:rsidRDefault="00A81BE6" w:rsidP="00FD63F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B0CFD">
              <w:rPr>
                <w:b/>
                <w:bCs/>
                <w:i/>
                <w:iCs/>
                <w:color w:val="000000"/>
              </w:rPr>
              <w:t>201</w:t>
            </w:r>
            <w:r>
              <w:rPr>
                <w:b/>
                <w:bCs/>
                <w:i/>
                <w:iCs/>
                <w:color w:val="000000"/>
              </w:rPr>
              <w:t>1</w:t>
            </w:r>
            <w:r w:rsidRPr="003B0CFD">
              <w:rPr>
                <w:b/>
                <w:bCs/>
                <w:i/>
                <w:iCs/>
                <w:color w:val="000000"/>
              </w:rPr>
              <w:t>. tény/</w:t>
            </w:r>
            <w:r w:rsidRPr="003B0CFD">
              <w:rPr>
                <w:b/>
                <w:bCs/>
                <w:i/>
                <w:iCs/>
                <w:color w:val="000000"/>
              </w:rPr>
              <w:br/>
              <w:t>20</w:t>
            </w:r>
            <w:r>
              <w:rPr>
                <w:b/>
                <w:bCs/>
                <w:i/>
                <w:iCs/>
                <w:color w:val="000000"/>
              </w:rPr>
              <w:t>10</w:t>
            </w:r>
            <w:r w:rsidRPr="003B0CFD">
              <w:rPr>
                <w:b/>
                <w:bCs/>
                <w:i/>
                <w:iCs/>
                <w:color w:val="000000"/>
              </w:rPr>
              <w:t>.tény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A81BE6" w:rsidRPr="003B0CFD" w:rsidRDefault="00A81BE6" w:rsidP="00FD63F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B0CFD">
              <w:rPr>
                <w:b/>
                <w:bCs/>
                <w:i/>
                <w:iCs/>
                <w:color w:val="000000"/>
              </w:rPr>
              <w:t>201</w:t>
            </w:r>
            <w:r>
              <w:rPr>
                <w:b/>
                <w:bCs/>
                <w:i/>
                <w:iCs/>
                <w:color w:val="000000"/>
              </w:rPr>
              <w:t>1</w:t>
            </w:r>
            <w:r w:rsidRPr="003B0CFD">
              <w:rPr>
                <w:b/>
                <w:bCs/>
                <w:i/>
                <w:iCs/>
                <w:color w:val="000000"/>
              </w:rPr>
              <w:t>. tény/</w:t>
            </w:r>
            <w:r w:rsidRPr="003B0CFD">
              <w:rPr>
                <w:b/>
                <w:bCs/>
                <w:i/>
                <w:iCs/>
                <w:color w:val="000000"/>
              </w:rPr>
              <w:br/>
              <w:t>201</w:t>
            </w:r>
            <w:r>
              <w:rPr>
                <w:b/>
                <w:bCs/>
                <w:i/>
                <w:iCs/>
                <w:color w:val="000000"/>
              </w:rPr>
              <w:t>1</w:t>
            </w:r>
            <w:r w:rsidRPr="003B0CFD">
              <w:rPr>
                <w:b/>
                <w:bCs/>
                <w:i/>
                <w:iCs/>
                <w:color w:val="000000"/>
              </w:rPr>
              <w:t>. terv</w:t>
            </w:r>
          </w:p>
        </w:tc>
      </w:tr>
      <w:tr w:rsidR="00A81BE6" w:rsidRPr="003B0CFD" w:rsidTr="00FD63F6">
        <w:trPr>
          <w:trHeight w:val="300"/>
        </w:trPr>
        <w:tc>
          <w:tcPr>
            <w:tcW w:w="3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81BE6" w:rsidRPr="003B0CFD" w:rsidRDefault="00A81BE6" w:rsidP="00FD63F6">
            <w:pPr>
              <w:rPr>
                <w:i/>
                <w:iCs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81BE6" w:rsidRPr="003B0CFD" w:rsidRDefault="00A81BE6" w:rsidP="00FD63F6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81BE6" w:rsidRPr="003B0CFD" w:rsidRDefault="00A81BE6" w:rsidP="00FD63F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B0CFD">
              <w:rPr>
                <w:b/>
                <w:bCs/>
                <w:i/>
                <w:iCs/>
                <w:color w:val="000000"/>
              </w:rPr>
              <w:t>terv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A81BE6" w:rsidRPr="003B0CFD" w:rsidRDefault="00A81BE6" w:rsidP="00FD63F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B0CFD">
              <w:rPr>
                <w:b/>
                <w:bCs/>
                <w:i/>
                <w:iCs/>
                <w:color w:val="000000"/>
              </w:rPr>
              <w:t xml:space="preserve">Tény </w:t>
            </w:r>
          </w:p>
        </w:tc>
        <w:tc>
          <w:tcPr>
            <w:tcW w:w="1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81BE6" w:rsidRPr="003B0CFD" w:rsidRDefault="00A81BE6" w:rsidP="00FD63F6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81BE6" w:rsidRPr="003B0CFD" w:rsidRDefault="00A81BE6" w:rsidP="00FD63F6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A81BE6" w:rsidRPr="003B0CFD" w:rsidTr="00FD63F6">
        <w:trPr>
          <w:trHeight w:val="369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A81BE6" w:rsidRPr="003B0CFD" w:rsidRDefault="00A81BE6" w:rsidP="00FD63F6">
            <w:r>
              <w:t>Aktivált saját teljesítmények értéke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81BE6" w:rsidRPr="003B0CFD" w:rsidRDefault="00A81BE6" w:rsidP="00FD6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1BE6" w:rsidRPr="003B0CFD" w:rsidRDefault="00A81BE6" w:rsidP="00FD6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81BE6" w:rsidRPr="003B0CFD" w:rsidRDefault="00A81BE6" w:rsidP="00FD6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34 596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81BE6" w:rsidRPr="003B0CFD" w:rsidRDefault="00A81BE6" w:rsidP="00FD6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81BE6" w:rsidRPr="003B0CFD" w:rsidRDefault="00A81BE6" w:rsidP="00FD6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81BE6" w:rsidRPr="003B0CFD" w:rsidTr="00FD63F6">
        <w:trPr>
          <w:trHeight w:val="369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9966"/>
            <w:noWrap/>
            <w:vAlign w:val="bottom"/>
          </w:tcPr>
          <w:p w:rsidR="00A81BE6" w:rsidRPr="003B0CFD" w:rsidRDefault="00A81BE6" w:rsidP="00FD63F6">
            <w:pPr>
              <w:rPr>
                <w:b/>
                <w:bCs/>
                <w:i/>
                <w:iCs/>
                <w:color w:val="FFFFFF"/>
              </w:rPr>
            </w:pPr>
            <w:r w:rsidRPr="003B0CFD">
              <w:rPr>
                <w:b/>
                <w:bCs/>
                <w:i/>
                <w:iCs/>
                <w:color w:val="FFFFFF"/>
              </w:rPr>
              <w:t>ÖSSZESEN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9966"/>
            <w:noWrap/>
            <w:vAlign w:val="center"/>
          </w:tcPr>
          <w:p w:rsidR="00A81BE6" w:rsidRPr="003B0CFD" w:rsidRDefault="00A81BE6" w:rsidP="00FD63F6">
            <w:pPr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b/>
                <w:bCs/>
                <w:i/>
                <w:iCs/>
                <w:color w:val="FFFFFF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9966"/>
            <w:noWrap/>
            <w:vAlign w:val="center"/>
          </w:tcPr>
          <w:p w:rsidR="00A81BE6" w:rsidRPr="003B0CFD" w:rsidRDefault="00A81BE6" w:rsidP="00FD63F6">
            <w:pPr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b/>
                <w:bCs/>
                <w:i/>
                <w:iCs/>
                <w:color w:val="FFFFFF"/>
              </w:rPr>
              <w:t>0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9966"/>
            <w:noWrap/>
            <w:vAlign w:val="center"/>
          </w:tcPr>
          <w:p w:rsidR="00A81BE6" w:rsidRPr="003B0CFD" w:rsidRDefault="00A81BE6" w:rsidP="00FD63F6">
            <w:pPr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b/>
                <w:bCs/>
                <w:i/>
                <w:iCs/>
                <w:color w:val="FFFFFF"/>
              </w:rPr>
              <w:t>34 596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9966"/>
            <w:noWrap/>
            <w:vAlign w:val="center"/>
          </w:tcPr>
          <w:p w:rsidR="00A81BE6" w:rsidRPr="003B0CFD" w:rsidRDefault="00A81BE6" w:rsidP="00FD63F6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-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9966"/>
            <w:noWrap/>
            <w:vAlign w:val="center"/>
          </w:tcPr>
          <w:p w:rsidR="00A81BE6" w:rsidRPr="003B0CFD" w:rsidRDefault="009E251D" w:rsidP="00FD63F6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-</w:t>
            </w:r>
          </w:p>
        </w:tc>
      </w:tr>
    </w:tbl>
    <w:p w:rsidR="00A81BE6" w:rsidRDefault="00A81BE6" w:rsidP="003B0CFD">
      <w:pPr>
        <w:spacing w:after="240" w:line="276" w:lineRule="auto"/>
        <w:ind w:firstLine="357"/>
        <w:jc w:val="both"/>
      </w:pPr>
    </w:p>
    <w:p w:rsidR="004201C3" w:rsidRPr="004201C3" w:rsidRDefault="00A77280" w:rsidP="001940B9">
      <w:pPr>
        <w:pStyle w:val="Listaszerbekezds"/>
        <w:numPr>
          <w:ilvl w:val="1"/>
          <w:numId w:val="13"/>
        </w:numPr>
        <w:spacing w:after="120" w:line="276" w:lineRule="auto"/>
        <w:ind w:left="567" w:hanging="567"/>
        <w:jc w:val="both"/>
        <w:rPr>
          <w:i/>
        </w:rPr>
      </w:pPr>
      <w:r w:rsidRPr="00682F8A">
        <w:rPr>
          <w:i/>
        </w:rPr>
        <w:t xml:space="preserve"> </w:t>
      </w:r>
      <w:r w:rsidR="00520EAD" w:rsidRPr="00682F8A">
        <w:rPr>
          <w:i/>
        </w:rPr>
        <w:t xml:space="preserve">Költségek és </w:t>
      </w:r>
      <w:r w:rsidR="000E7AFA" w:rsidRPr="00682F8A">
        <w:rPr>
          <w:i/>
        </w:rPr>
        <w:t>ráfordítások</w:t>
      </w:r>
    </w:p>
    <w:p w:rsidR="00181FDA" w:rsidRPr="00B12457" w:rsidRDefault="00181FDA" w:rsidP="003B0CFD">
      <w:pPr>
        <w:spacing w:after="120" w:line="276" w:lineRule="auto"/>
        <w:ind w:firstLine="360"/>
        <w:jc w:val="both"/>
      </w:pPr>
      <w:r w:rsidRPr="00B12457">
        <w:t>Az É</w:t>
      </w:r>
      <w:r w:rsidR="00B12457" w:rsidRPr="00B12457">
        <w:t>PIT </w:t>
      </w:r>
      <w:r w:rsidRPr="00B12457">
        <w:t>Zrt</w:t>
      </w:r>
      <w:r w:rsidR="006B1F3E">
        <w:t>.</w:t>
      </w:r>
      <w:r w:rsidRPr="00B12457">
        <w:t xml:space="preserve"> menedzsmentje </w:t>
      </w:r>
      <w:r w:rsidR="00E57BD9">
        <w:t>2011</w:t>
      </w:r>
      <w:r w:rsidRPr="00B12457">
        <w:t>-ben</w:t>
      </w:r>
      <w:r w:rsidR="0087043D">
        <w:t xml:space="preserve"> is</w:t>
      </w:r>
      <w:r w:rsidRPr="00B12457">
        <w:t xml:space="preserve"> </w:t>
      </w:r>
      <w:r w:rsidR="006B1F3E">
        <w:t xml:space="preserve">a </w:t>
      </w:r>
      <w:r w:rsidRPr="00B12457">
        <w:t>költségtakarékosság jegyében folytat</w:t>
      </w:r>
      <w:r w:rsidR="009C16D2" w:rsidRPr="00B12457">
        <w:t xml:space="preserve">ta gazdálkodását. </w:t>
      </w:r>
      <w:r w:rsidR="00EB15E0" w:rsidRPr="00B12457">
        <w:t>A</w:t>
      </w:r>
      <w:r w:rsidR="009C16D2" w:rsidRPr="00B12457">
        <w:t xml:space="preserve"> bemutatott adatokból kiderül, hogy a költségek és ráfordítások t</w:t>
      </w:r>
      <w:r w:rsidR="00EB15E0" w:rsidRPr="00B12457">
        <w:t xml:space="preserve">ényszámai, </w:t>
      </w:r>
      <w:r w:rsidR="0087043D">
        <w:t>a</w:t>
      </w:r>
      <w:r w:rsidR="009E251D">
        <w:t xml:space="preserve"> tervhez képest 31,6%-kal lettek alacsonyabbak, míg a 2010. évhez képest 4,3%-kal magasabbak.</w:t>
      </w:r>
      <w:r w:rsidR="00EB15E0" w:rsidRPr="00B12457">
        <w:t xml:space="preserve"> A tényszámok tervhe</w:t>
      </w:r>
      <w:r w:rsidR="00845036" w:rsidRPr="00B12457">
        <w:t>z viszonyított adatait torzítja</w:t>
      </w:r>
      <w:r w:rsidR="00EB15E0" w:rsidRPr="00B12457">
        <w:t xml:space="preserve"> a</w:t>
      </w:r>
      <w:r w:rsidR="009C16D2" w:rsidRPr="00B12457">
        <w:t xml:space="preserve"> közvetített szolgáltatások </w:t>
      </w:r>
      <w:r w:rsidR="005B49B2">
        <w:t>magas értéke</w:t>
      </w:r>
      <w:r w:rsidR="00352A72" w:rsidRPr="00B12457">
        <w:t xml:space="preserve">, amelynek eredmény </w:t>
      </w:r>
      <w:r w:rsidR="00EB15E0" w:rsidRPr="00B12457">
        <w:t>vonzata</w:t>
      </w:r>
      <w:r w:rsidR="00352A72" w:rsidRPr="00B12457">
        <w:t xml:space="preserve"> ugyan</w:t>
      </w:r>
      <w:r w:rsidR="00EB15E0" w:rsidRPr="00B12457">
        <w:t xml:space="preserve"> nincs, de a költség össz</w:t>
      </w:r>
      <w:r w:rsidR="005E24A6">
        <w:t>-</w:t>
      </w:r>
      <w:r w:rsidR="00EB15E0" w:rsidRPr="00B12457">
        <w:t xml:space="preserve">volumenébe beszámít. Ennek figyelembe vétele nélkül, az </w:t>
      </w:r>
      <w:r w:rsidR="008621C4">
        <w:rPr>
          <w:b/>
        </w:rPr>
        <w:t>ÉPIT </w:t>
      </w:r>
      <w:r w:rsidR="00EB15E0" w:rsidRPr="00B12457">
        <w:rPr>
          <w:b/>
        </w:rPr>
        <w:t xml:space="preserve">Zrt. költségei és ráfordításai </w:t>
      </w:r>
      <w:r w:rsidR="008621C4">
        <w:rPr>
          <w:b/>
        </w:rPr>
        <w:t xml:space="preserve">abszolút értékben </w:t>
      </w:r>
      <w:r w:rsidR="004B23C8">
        <w:rPr>
          <w:b/>
        </w:rPr>
        <w:t>50,3</w:t>
      </w:r>
      <w:r w:rsidR="008621C4">
        <w:rPr>
          <w:b/>
        </w:rPr>
        <w:t> millió </w:t>
      </w:r>
      <w:r w:rsidR="00D05BD0" w:rsidRPr="00B12457">
        <w:rPr>
          <w:b/>
        </w:rPr>
        <w:t>Ft-tal, viszony</w:t>
      </w:r>
      <w:r w:rsidR="00285047">
        <w:rPr>
          <w:b/>
        </w:rPr>
        <w:t xml:space="preserve">ítottan </w:t>
      </w:r>
      <w:r w:rsidR="007146E2">
        <w:rPr>
          <w:b/>
        </w:rPr>
        <w:t>32 </w:t>
      </w:r>
      <w:r w:rsidR="00D05BD0" w:rsidRPr="00B12457">
        <w:rPr>
          <w:b/>
        </w:rPr>
        <w:t>%-kal kisebbek</w:t>
      </w:r>
      <w:r w:rsidR="00D05BD0" w:rsidRPr="00B12457">
        <w:t xml:space="preserve">, mint a tervezett értékek. </w:t>
      </w:r>
      <w:r w:rsidR="009C16D2" w:rsidRPr="00B12457">
        <w:t xml:space="preserve"> </w:t>
      </w:r>
    </w:p>
    <w:p w:rsidR="004B23C8" w:rsidRDefault="00181FDA" w:rsidP="00ED500D">
      <w:pPr>
        <w:spacing w:after="360" w:line="276" w:lineRule="auto"/>
        <w:jc w:val="both"/>
      </w:pPr>
      <w:r>
        <w:t>A költségek és ráfordítások összesített adatait az alábbi táblázat mutatja:</w:t>
      </w:r>
    </w:p>
    <w:p w:rsidR="00ED500D" w:rsidRDefault="00ED500D">
      <w:r>
        <w:br w:type="page"/>
      </w:r>
    </w:p>
    <w:p w:rsidR="00CA0C93" w:rsidRPr="00CA0C93" w:rsidRDefault="009E251D" w:rsidP="009E251D">
      <w:pPr>
        <w:spacing w:line="360" w:lineRule="auto"/>
        <w:ind w:right="-428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</w:t>
      </w:r>
      <w:proofErr w:type="gramStart"/>
      <w:r w:rsidR="00CA0C93" w:rsidRPr="00CA0C93">
        <w:rPr>
          <w:sz w:val="18"/>
          <w:szCs w:val="18"/>
        </w:rPr>
        <w:t>adatok</w:t>
      </w:r>
      <w:proofErr w:type="gramEnd"/>
      <w:r w:rsidR="00CA0C93" w:rsidRPr="00CA0C93">
        <w:rPr>
          <w:sz w:val="18"/>
          <w:szCs w:val="18"/>
        </w:rPr>
        <w:t xml:space="preserve"> e</w:t>
      </w:r>
      <w:r w:rsidR="008621C4">
        <w:rPr>
          <w:sz w:val="18"/>
          <w:szCs w:val="18"/>
        </w:rPr>
        <w:t> </w:t>
      </w:r>
      <w:r w:rsidR="00CA0C93" w:rsidRPr="00CA0C93">
        <w:rPr>
          <w:sz w:val="18"/>
          <w:szCs w:val="18"/>
        </w:rPr>
        <w:t>Ft-ban</w:t>
      </w:r>
    </w:p>
    <w:tbl>
      <w:tblPr>
        <w:tblW w:w="9553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235"/>
        <w:gridCol w:w="1413"/>
        <w:gridCol w:w="1080"/>
        <w:gridCol w:w="1080"/>
        <w:gridCol w:w="1305"/>
        <w:gridCol w:w="1440"/>
      </w:tblGrid>
      <w:tr w:rsidR="00CA0C93" w:rsidRPr="003B0CFD" w:rsidTr="001D296A">
        <w:trPr>
          <w:trHeight w:val="315"/>
        </w:trPr>
        <w:tc>
          <w:tcPr>
            <w:tcW w:w="3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CC"/>
            <w:vAlign w:val="center"/>
          </w:tcPr>
          <w:p w:rsidR="00CA0C93" w:rsidRPr="003B0CFD" w:rsidRDefault="00CA0C93">
            <w:pPr>
              <w:jc w:val="center"/>
              <w:rPr>
                <w:i/>
                <w:iCs/>
                <w:color w:val="000000"/>
              </w:rPr>
            </w:pPr>
            <w:r w:rsidRPr="003B0CFD">
              <w:rPr>
                <w:i/>
                <w:iCs/>
                <w:color w:val="000000"/>
              </w:rPr>
              <w:t>Megnevezés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CC"/>
            <w:vAlign w:val="center"/>
          </w:tcPr>
          <w:p w:rsidR="00CA0C93" w:rsidRPr="003B0CFD" w:rsidRDefault="00E57BD9" w:rsidP="00CA0C93">
            <w:pPr>
              <w:ind w:right="259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2010</w:t>
            </w:r>
            <w:r w:rsidR="008621C4" w:rsidRPr="003B0CFD">
              <w:rPr>
                <w:b/>
                <w:bCs/>
                <w:i/>
                <w:iCs/>
                <w:color w:val="000000"/>
              </w:rPr>
              <w:t>. </w:t>
            </w:r>
            <w:r w:rsidR="00CA0C93" w:rsidRPr="003B0CFD">
              <w:rPr>
                <w:b/>
                <w:bCs/>
                <w:i/>
                <w:iCs/>
                <w:color w:val="000000"/>
              </w:rPr>
              <w:t>tény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CFFCC"/>
            <w:noWrap/>
            <w:vAlign w:val="bottom"/>
          </w:tcPr>
          <w:p w:rsidR="00CA0C93" w:rsidRPr="003B0CFD" w:rsidRDefault="00E57BD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2011</w:t>
            </w:r>
            <w:r w:rsidR="008621C4" w:rsidRPr="003B0CFD">
              <w:rPr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13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CA0C93" w:rsidRPr="003B0CFD" w:rsidRDefault="00E57BD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2011</w:t>
            </w:r>
            <w:r w:rsidR="008621C4" w:rsidRPr="003B0CFD">
              <w:rPr>
                <w:b/>
                <w:bCs/>
                <w:i/>
                <w:iCs/>
                <w:color w:val="000000"/>
              </w:rPr>
              <w:t>. </w:t>
            </w:r>
            <w:r w:rsidR="00CA0C93" w:rsidRPr="003B0CFD">
              <w:rPr>
                <w:b/>
                <w:bCs/>
                <w:i/>
                <w:iCs/>
                <w:color w:val="000000"/>
              </w:rPr>
              <w:t>tény</w:t>
            </w:r>
            <w:r w:rsidR="00B27882" w:rsidRPr="003B0CFD">
              <w:rPr>
                <w:b/>
                <w:bCs/>
                <w:i/>
                <w:iCs/>
                <w:color w:val="000000"/>
              </w:rPr>
              <w:t>/</w:t>
            </w:r>
            <w:r w:rsidR="008621C4" w:rsidRPr="003B0CFD">
              <w:rPr>
                <w:b/>
                <w:bCs/>
                <w:i/>
                <w:iCs/>
                <w:color w:val="000000"/>
              </w:rPr>
              <w:br/>
            </w:r>
            <w:r>
              <w:rPr>
                <w:b/>
                <w:bCs/>
                <w:i/>
                <w:iCs/>
                <w:color w:val="000000"/>
              </w:rPr>
              <w:t>2010</w:t>
            </w:r>
            <w:r w:rsidR="008621C4" w:rsidRPr="003B0CFD">
              <w:rPr>
                <w:b/>
                <w:bCs/>
                <w:i/>
                <w:iCs/>
                <w:color w:val="000000"/>
              </w:rPr>
              <w:t>.</w:t>
            </w:r>
            <w:r w:rsidR="00C20930" w:rsidRPr="003B0CFD">
              <w:rPr>
                <w:b/>
                <w:bCs/>
                <w:i/>
                <w:iCs/>
                <w:color w:val="000000"/>
              </w:rPr>
              <w:t>tény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CA0C93" w:rsidRPr="003B0CFD" w:rsidRDefault="00E57BD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2011</w:t>
            </w:r>
            <w:r w:rsidR="008621C4" w:rsidRPr="003B0CFD">
              <w:rPr>
                <w:b/>
                <w:bCs/>
                <w:i/>
                <w:iCs/>
                <w:color w:val="000000"/>
              </w:rPr>
              <w:t>. </w:t>
            </w:r>
            <w:r w:rsidR="00CA0C93" w:rsidRPr="003B0CFD">
              <w:rPr>
                <w:b/>
                <w:bCs/>
                <w:i/>
                <w:iCs/>
                <w:color w:val="000000"/>
              </w:rPr>
              <w:t>tény/</w:t>
            </w:r>
            <w:r w:rsidR="008621C4" w:rsidRPr="003B0CFD">
              <w:rPr>
                <w:b/>
                <w:bCs/>
                <w:i/>
                <w:iCs/>
                <w:color w:val="000000"/>
              </w:rPr>
              <w:br/>
            </w:r>
            <w:r>
              <w:rPr>
                <w:b/>
                <w:bCs/>
                <w:i/>
                <w:iCs/>
                <w:color w:val="000000"/>
              </w:rPr>
              <w:t>2011</w:t>
            </w:r>
            <w:r w:rsidR="008621C4" w:rsidRPr="003B0CFD">
              <w:rPr>
                <w:b/>
                <w:bCs/>
                <w:i/>
                <w:iCs/>
                <w:color w:val="000000"/>
              </w:rPr>
              <w:t>. </w:t>
            </w:r>
            <w:r w:rsidR="00CA0C93" w:rsidRPr="003B0CFD">
              <w:rPr>
                <w:b/>
                <w:bCs/>
                <w:i/>
                <w:iCs/>
                <w:color w:val="000000"/>
              </w:rPr>
              <w:t>terv</w:t>
            </w:r>
          </w:p>
        </w:tc>
      </w:tr>
      <w:tr w:rsidR="00CA0C93" w:rsidRPr="003B0CFD" w:rsidTr="001D296A">
        <w:trPr>
          <w:trHeight w:val="300"/>
        </w:trPr>
        <w:tc>
          <w:tcPr>
            <w:tcW w:w="3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0C93" w:rsidRPr="003B0CFD" w:rsidRDefault="00CA0C93">
            <w:pPr>
              <w:rPr>
                <w:i/>
                <w:iCs/>
                <w:color w:val="000000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0C93" w:rsidRPr="003B0CFD" w:rsidRDefault="00CA0C93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A0C93" w:rsidRPr="003B0CFD" w:rsidRDefault="00CA0C9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B0CFD">
              <w:rPr>
                <w:b/>
                <w:bCs/>
                <w:i/>
                <w:iCs/>
                <w:color w:val="000000"/>
              </w:rPr>
              <w:t>terv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CA0C93" w:rsidRPr="003B0CFD" w:rsidRDefault="00CA0C9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B0CFD">
              <w:rPr>
                <w:b/>
                <w:bCs/>
                <w:i/>
                <w:iCs/>
                <w:color w:val="000000"/>
              </w:rPr>
              <w:t xml:space="preserve">tény </w:t>
            </w:r>
          </w:p>
        </w:tc>
        <w:tc>
          <w:tcPr>
            <w:tcW w:w="13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A0C93" w:rsidRPr="003B0CFD" w:rsidRDefault="00CA0C93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A0C93" w:rsidRPr="003B0CFD" w:rsidRDefault="00CA0C93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1D296A" w:rsidRPr="003B0CFD" w:rsidTr="001D296A">
        <w:trPr>
          <w:trHeight w:val="369"/>
        </w:trPr>
        <w:tc>
          <w:tcPr>
            <w:tcW w:w="3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D296A" w:rsidRPr="003B0CFD" w:rsidRDefault="001D296A">
            <w:pPr>
              <w:rPr>
                <w:b/>
                <w:bCs/>
                <w:i/>
                <w:iCs/>
              </w:rPr>
            </w:pPr>
            <w:r w:rsidRPr="003B0CFD">
              <w:rPr>
                <w:b/>
                <w:bCs/>
                <w:i/>
                <w:iCs/>
              </w:rPr>
              <w:t>ANYAGJELLEGŰ RÁFORDÍTÁSOK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296A" w:rsidRPr="003B0CFD" w:rsidRDefault="001D296A" w:rsidP="00536BBC">
            <w:pPr>
              <w:jc w:val="center"/>
              <w:rPr>
                <w:b/>
                <w:bCs/>
                <w:color w:val="000000"/>
              </w:rPr>
            </w:pPr>
            <w:r w:rsidRPr="003B0CFD">
              <w:rPr>
                <w:b/>
                <w:bCs/>
                <w:color w:val="000000"/>
              </w:rPr>
              <w:t>104 458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D296A" w:rsidRPr="003B0CFD" w:rsidRDefault="001D296A" w:rsidP="004302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159 287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296A" w:rsidRPr="003B0CFD" w:rsidRDefault="001D296A" w:rsidP="004302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108 913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296A" w:rsidRPr="003B0CFD" w:rsidRDefault="001D296A" w:rsidP="004302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104,3%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296A" w:rsidRPr="003B0CFD" w:rsidRDefault="001D296A" w:rsidP="0047259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68,4%</w:t>
            </w:r>
          </w:p>
        </w:tc>
      </w:tr>
      <w:tr w:rsidR="001D296A" w:rsidRPr="003B0CFD" w:rsidTr="001D296A">
        <w:trPr>
          <w:trHeight w:val="369"/>
        </w:trPr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D296A" w:rsidRPr="003B0CFD" w:rsidRDefault="001D296A">
            <w:pPr>
              <w:rPr>
                <w:i/>
                <w:iCs/>
              </w:rPr>
            </w:pPr>
            <w:r w:rsidRPr="003B0CFD">
              <w:rPr>
                <w:i/>
                <w:iCs/>
              </w:rPr>
              <w:t>ANYAGKÖLTSÉG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296A" w:rsidRPr="003B0CFD" w:rsidRDefault="001D296A" w:rsidP="00536BBC">
            <w:pPr>
              <w:jc w:val="center"/>
              <w:rPr>
                <w:i/>
                <w:iCs/>
                <w:color w:val="000000"/>
              </w:rPr>
            </w:pPr>
            <w:r w:rsidRPr="003B0CFD">
              <w:rPr>
                <w:i/>
                <w:iCs/>
                <w:color w:val="000000"/>
              </w:rPr>
              <w:t>2 949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D296A" w:rsidRPr="003B0CFD" w:rsidRDefault="001D296A" w:rsidP="004302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3 888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296A" w:rsidRPr="003B0CFD" w:rsidRDefault="001D296A" w:rsidP="004302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3 481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296A" w:rsidRPr="003B0CFD" w:rsidRDefault="001D296A" w:rsidP="004302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118,1%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296A" w:rsidRPr="003B0CFD" w:rsidRDefault="001D296A" w:rsidP="0047259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89,6%</w:t>
            </w:r>
          </w:p>
        </w:tc>
      </w:tr>
      <w:tr w:rsidR="001D296A" w:rsidRPr="003B0CFD" w:rsidTr="001D296A">
        <w:trPr>
          <w:trHeight w:val="369"/>
        </w:trPr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D296A" w:rsidRPr="003B0CFD" w:rsidRDefault="001D296A">
            <w:pPr>
              <w:rPr>
                <w:i/>
                <w:iCs/>
              </w:rPr>
            </w:pPr>
            <w:r w:rsidRPr="003B0CFD">
              <w:rPr>
                <w:i/>
                <w:iCs/>
              </w:rPr>
              <w:t>IGÉNYBE VETT ANYAGJELL. SZOLG. ÉRTÉKE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296A" w:rsidRPr="003B0CFD" w:rsidRDefault="001D296A" w:rsidP="00536BBC">
            <w:pPr>
              <w:jc w:val="center"/>
              <w:rPr>
                <w:i/>
                <w:iCs/>
                <w:color w:val="000000"/>
              </w:rPr>
            </w:pPr>
            <w:r w:rsidRPr="003B0CFD">
              <w:rPr>
                <w:i/>
                <w:iCs/>
                <w:color w:val="000000"/>
              </w:rPr>
              <w:t>31 004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D296A" w:rsidRPr="003B0CFD" w:rsidRDefault="001D296A" w:rsidP="001D296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41 837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296A" w:rsidRPr="003B0CFD" w:rsidRDefault="001D296A" w:rsidP="004302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26 972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296A" w:rsidRPr="003B0CFD" w:rsidRDefault="001D296A" w:rsidP="0047259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87%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296A" w:rsidRPr="003B0CFD" w:rsidRDefault="001D296A" w:rsidP="0047259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64,5%</w:t>
            </w:r>
          </w:p>
        </w:tc>
      </w:tr>
      <w:tr w:rsidR="001D296A" w:rsidRPr="003B0CFD" w:rsidTr="001D296A">
        <w:trPr>
          <w:trHeight w:val="369"/>
        </w:trPr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D296A" w:rsidRPr="003B0CFD" w:rsidRDefault="001D296A">
            <w:pPr>
              <w:rPr>
                <w:i/>
                <w:iCs/>
              </w:rPr>
            </w:pPr>
            <w:r w:rsidRPr="003B0CFD">
              <w:rPr>
                <w:i/>
                <w:iCs/>
              </w:rPr>
              <w:t>EGYÉB IGÉNYBEVETT SZOLGÁLTATÁSOK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296A" w:rsidRPr="003B0CFD" w:rsidRDefault="001D296A" w:rsidP="00536BBC">
            <w:pPr>
              <w:jc w:val="center"/>
              <w:rPr>
                <w:i/>
                <w:iCs/>
                <w:color w:val="000000"/>
              </w:rPr>
            </w:pPr>
            <w:r w:rsidRPr="003B0CFD">
              <w:rPr>
                <w:i/>
                <w:iCs/>
                <w:color w:val="000000"/>
              </w:rPr>
              <w:t>1 504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D296A" w:rsidRPr="003B0CFD" w:rsidRDefault="001D296A" w:rsidP="004302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1 516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296A" w:rsidRPr="003B0CFD" w:rsidRDefault="001D296A" w:rsidP="004302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998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296A" w:rsidRPr="003B0CFD" w:rsidRDefault="001D296A" w:rsidP="004302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66,4%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296A" w:rsidRPr="003B0CFD" w:rsidRDefault="001D296A" w:rsidP="0047259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65,9%</w:t>
            </w:r>
          </w:p>
        </w:tc>
      </w:tr>
      <w:tr w:rsidR="001D296A" w:rsidRPr="003B0CFD" w:rsidTr="001D296A">
        <w:trPr>
          <w:trHeight w:val="369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296A" w:rsidRPr="003B0CFD" w:rsidRDefault="001D296A" w:rsidP="001D296A">
            <w:pPr>
              <w:rPr>
                <w:i/>
                <w:iCs/>
              </w:rPr>
            </w:pPr>
            <w:r w:rsidRPr="003B0CFD">
              <w:rPr>
                <w:i/>
                <w:iCs/>
              </w:rPr>
              <w:t xml:space="preserve">ELADOTT </w:t>
            </w:r>
            <w:r>
              <w:rPr>
                <w:i/>
                <w:iCs/>
              </w:rPr>
              <w:t xml:space="preserve">ÁRUK </w:t>
            </w:r>
            <w:proofErr w:type="gramStart"/>
            <w:r>
              <w:rPr>
                <w:i/>
                <w:iCs/>
              </w:rPr>
              <w:t>ÉS</w:t>
            </w:r>
            <w:proofErr w:type="gramEnd"/>
            <w:r>
              <w:rPr>
                <w:i/>
                <w:iCs/>
              </w:rPr>
              <w:t xml:space="preserve"> KÖZVETÍTETT </w:t>
            </w:r>
            <w:r w:rsidRPr="003B0CFD">
              <w:rPr>
                <w:i/>
                <w:iCs/>
              </w:rPr>
              <w:t xml:space="preserve"> SZOLGÁLTATÁS</w:t>
            </w:r>
            <w:r>
              <w:rPr>
                <w:i/>
                <w:iCs/>
              </w:rPr>
              <w:t>OK</w:t>
            </w:r>
            <w:r w:rsidRPr="003B0CFD">
              <w:rPr>
                <w:i/>
                <w:iCs/>
              </w:rPr>
              <w:t xml:space="preserve"> ÉRTÉKE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296A" w:rsidRPr="003B0CFD" w:rsidRDefault="001D296A" w:rsidP="00536BBC">
            <w:pPr>
              <w:jc w:val="center"/>
              <w:rPr>
                <w:i/>
                <w:color w:val="000000"/>
              </w:rPr>
            </w:pPr>
            <w:r w:rsidRPr="003B0CFD">
              <w:rPr>
                <w:i/>
                <w:color w:val="000000"/>
              </w:rPr>
              <w:t>69 001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96A" w:rsidRPr="003B0CFD" w:rsidRDefault="001D296A" w:rsidP="0043028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112 47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296A" w:rsidRPr="003B0CFD" w:rsidRDefault="001D296A" w:rsidP="0043028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77 462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296A" w:rsidRPr="003B0CFD" w:rsidRDefault="001D296A" w:rsidP="0043028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112,3%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296A" w:rsidRPr="003B0CFD" w:rsidRDefault="001D296A" w:rsidP="004725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69,7%</w:t>
            </w:r>
          </w:p>
        </w:tc>
      </w:tr>
      <w:tr w:rsidR="001D296A" w:rsidRPr="003B0CFD" w:rsidTr="001D296A">
        <w:trPr>
          <w:trHeight w:val="369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D296A" w:rsidRPr="003B0CFD" w:rsidRDefault="001D296A">
            <w:pPr>
              <w:rPr>
                <w:b/>
                <w:bCs/>
                <w:i/>
                <w:iCs/>
              </w:rPr>
            </w:pPr>
            <w:r w:rsidRPr="003B0CFD">
              <w:rPr>
                <w:b/>
                <w:bCs/>
                <w:i/>
                <w:iCs/>
              </w:rPr>
              <w:t>SZEMÉLYI JELLEGŰ RÁFORDÍTÁSOK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296A" w:rsidRPr="003B0CFD" w:rsidRDefault="00D16A49" w:rsidP="00536BB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86 276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D296A" w:rsidRPr="003B0CFD" w:rsidRDefault="001D296A" w:rsidP="004302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97 587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296A" w:rsidRPr="003B0CFD" w:rsidRDefault="001D296A" w:rsidP="004302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89 704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296A" w:rsidRPr="003B0CFD" w:rsidRDefault="001D296A" w:rsidP="00D16A4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  <w:r w:rsidR="00D16A49">
              <w:rPr>
                <w:b/>
                <w:bCs/>
                <w:i/>
                <w:iCs/>
                <w:color w:val="000000"/>
              </w:rPr>
              <w:t>3,9</w:t>
            </w:r>
            <w:r>
              <w:rPr>
                <w:b/>
                <w:bCs/>
                <w:i/>
                <w:iCs/>
                <w:color w:val="000000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296A" w:rsidRPr="003B0CFD" w:rsidRDefault="001D296A" w:rsidP="0047259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92%</w:t>
            </w:r>
          </w:p>
        </w:tc>
      </w:tr>
      <w:tr w:rsidR="001D296A" w:rsidRPr="003B0CFD" w:rsidTr="001D296A">
        <w:trPr>
          <w:trHeight w:val="369"/>
        </w:trPr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D296A" w:rsidRPr="003B0CFD" w:rsidRDefault="001D296A">
            <w:pPr>
              <w:rPr>
                <w:b/>
                <w:bCs/>
                <w:i/>
                <w:iCs/>
              </w:rPr>
            </w:pPr>
            <w:r w:rsidRPr="003B0CFD">
              <w:rPr>
                <w:b/>
                <w:bCs/>
                <w:i/>
                <w:iCs/>
              </w:rPr>
              <w:t>EGYÉB RÁFORDÍTÁSOK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296A" w:rsidRPr="003B0CFD" w:rsidRDefault="001D296A" w:rsidP="00536BB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B0CFD">
              <w:rPr>
                <w:b/>
                <w:bCs/>
                <w:i/>
                <w:iCs/>
                <w:color w:val="000000"/>
              </w:rPr>
              <w:t>1 627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D296A" w:rsidRPr="003B0CFD" w:rsidRDefault="001D296A" w:rsidP="004302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1 570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296A" w:rsidRPr="003B0CFD" w:rsidRDefault="001D296A" w:rsidP="004302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571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296A" w:rsidRPr="003B0CFD" w:rsidRDefault="001D296A" w:rsidP="004302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35,1%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296A" w:rsidRPr="003B0CFD" w:rsidRDefault="001D296A" w:rsidP="004302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36,4%</w:t>
            </w:r>
          </w:p>
        </w:tc>
      </w:tr>
      <w:tr w:rsidR="001D296A" w:rsidRPr="003B0CFD" w:rsidTr="001D296A">
        <w:trPr>
          <w:trHeight w:val="369"/>
        </w:trPr>
        <w:tc>
          <w:tcPr>
            <w:tcW w:w="3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D296A" w:rsidRPr="003B0CFD" w:rsidRDefault="001D296A">
            <w:pPr>
              <w:rPr>
                <w:b/>
                <w:bCs/>
                <w:i/>
                <w:iCs/>
              </w:rPr>
            </w:pPr>
            <w:r w:rsidRPr="003B0CFD">
              <w:rPr>
                <w:b/>
                <w:bCs/>
                <w:i/>
                <w:iCs/>
              </w:rPr>
              <w:t>ÉCS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296A" w:rsidRPr="003B0CFD" w:rsidRDefault="001D296A" w:rsidP="00536BB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B0CFD">
              <w:rPr>
                <w:b/>
                <w:bCs/>
                <w:i/>
                <w:iCs/>
                <w:color w:val="000000"/>
              </w:rPr>
              <w:t>1 212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D296A" w:rsidRPr="003B0CFD" w:rsidRDefault="001D296A" w:rsidP="004302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1 255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296A" w:rsidRPr="003B0CFD" w:rsidRDefault="001D296A" w:rsidP="004302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1 182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296A" w:rsidRPr="003B0CFD" w:rsidRDefault="001D296A" w:rsidP="004302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97,6%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296A" w:rsidRPr="003B0CFD" w:rsidRDefault="001D296A" w:rsidP="004302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94,2%</w:t>
            </w:r>
          </w:p>
        </w:tc>
      </w:tr>
      <w:tr w:rsidR="001D296A" w:rsidRPr="003B0CFD" w:rsidTr="001D296A">
        <w:trPr>
          <w:trHeight w:val="369"/>
        </w:trPr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CC"/>
            <w:noWrap/>
            <w:vAlign w:val="bottom"/>
          </w:tcPr>
          <w:p w:rsidR="001D296A" w:rsidRPr="007A7F1E" w:rsidRDefault="001D296A">
            <w:pPr>
              <w:rPr>
                <w:b/>
                <w:bCs/>
                <w:i/>
                <w:iCs/>
                <w:color w:val="FFFFFF"/>
              </w:rPr>
            </w:pPr>
            <w:r w:rsidRPr="007A7F1E">
              <w:rPr>
                <w:b/>
                <w:bCs/>
                <w:i/>
                <w:iCs/>
                <w:color w:val="FFFFFF"/>
              </w:rPr>
              <w:t>Költségek, ráfordítások Összesen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noWrap/>
            <w:vAlign w:val="center"/>
          </w:tcPr>
          <w:p w:rsidR="001D296A" w:rsidRPr="007A7F1E" w:rsidRDefault="00D16A49" w:rsidP="001D296A">
            <w:pPr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b/>
                <w:bCs/>
                <w:i/>
                <w:iCs/>
                <w:color w:val="FFFFFF"/>
              </w:rPr>
              <w:t>193 573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99CC"/>
            <w:noWrap/>
            <w:vAlign w:val="center"/>
          </w:tcPr>
          <w:p w:rsidR="001D296A" w:rsidRPr="007A7F1E" w:rsidRDefault="001D296A" w:rsidP="00430280">
            <w:pPr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b/>
                <w:bCs/>
                <w:i/>
                <w:iCs/>
                <w:color w:val="FFFFFF"/>
              </w:rPr>
              <w:t>259 699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99CC"/>
            <w:noWrap/>
            <w:vAlign w:val="center"/>
          </w:tcPr>
          <w:p w:rsidR="001D296A" w:rsidRPr="007A7F1E" w:rsidRDefault="001D296A" w:rsidP="00430280">
            <w:pPr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b/>
                <w:bCs/>
                <w:i/>
                <w:iCs/>
                <w:color w:val="FFFFFF"/>
              </w:rPr>
              <w:t>200 370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</w:tcPr>
          <w:p w:rsidR="001D296A" w:rsidRPr="007A7F1E" w:rsidRDefault="00D16A49" w:rsidP="00472594">
            <w:pPr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b/>
                <w:bCs/>
                <w:i/>
                <w:iCs/>
                <w:color w:val="FFFFFF"/>
              </w:rPr>
              <w:t>103,5</w:t>
            </w:r>
            <w:r w:rsidR="001D296A">
              <w:rPr>
                <w:b/>
                <w:bCs/>
                <w:i/>
                <w:iCs/>
                <w:color w:val="FFFFFF"/>
              </w:rPr>
              <w:t>%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99CC"/>
            <w:noWrap/>
            <w:vAlign w:val="center"/>
          </w:tcPr>
          <w:p w:rsidR="001D296A" w:rsidRPr="007A7F1E" w:rsidRDefault="001D296A" w:rsidP="00472594">
            <w:pPr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b/>
                <w:bCs/>
                <w:i/>
                <w:iCs/>
                <w:color w:val="FFFFFF"/>
              </w:rPr>
              <w:t>77,2%</w:t>
            </w:r>
          </w:p>
        </w:tc>
      </w:tr>
      <w:tr w:rsidR="001D296A" w:rsidRPr="003B0CFD" w:rsidTr="00B6429E">
        <w:trPr>
          <w:trHeight w:val="369"/>
        </w:trPr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CC"/>
            <w:noWrap/>
            <w:vAlign w:val="bottom"/>
          </w:tcPr>
          <w:p w:rsidR="001D296A" w:rsidRPr="007A7F1E" w:rsidRDefault="001D296A">
            <w:pPr>
              <w:rPr>
                <w:b/>
                <w:bCs/>
                <w:i/>
                <w:iCs/>
                <w:color w:val="FFFFFF"/>
              </w:rPr>
            </w:pPr>
            <w:proofErr w:type="spellStart"/>
            <w:r w:rsidRPr="007A7F1E">
              <w:rPr>
                <w:b/>
                <w:bCs/>
                <w:i/>
                <w:iCs/>
                <w:color w:val="FFFFFF"/>
              </w:rPr>
              <w:t>Ktg.-ek</w:t>
            </w:r>
            <w:proofErr w:type="spellEnd"/>
            <w:r w:rsidRPr="007A7F1E">
              <w:rPr>
                <w:b/>
                <w:bCs/>
                <w:i/>
                <w:iCs/>
                <w:color w:val="FFFFFF"/>
              </w:rPr>
              <w:t xml:space="preserve"> összesen Közvetített szolgáltatás nélkül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noWrap/>
            <w:vAlign w:val="center"/>
          </w:tcPr>
          <w:p w:rsidR="001D296A" w:rsidRPr="007A7F1E" w:rsidRDefault="001D296A" w:rsidP="00D16A49">
            <w:pPr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b/>
                <w:bCs/>
                <w:i/>
                <w:iCs/>
                <w:color w:val="FFFFFF"/>
              </w:rPr>
              <w:t>12</w:t>
            </w:r>
            <w:r w:rsidR="00D16A49">
              <w:rPr>
                <w:b/>
                <w:bCs/>
                <w:i/>
                <w:iCs/>
                <w:color w:val="FFFFFF"/>
              </w:rPr>
              <w:t>4</w:t>
            </w:r>
            <w:r w:rsidRPr="007A7F1E">
              <w:rPr>
                <w:b/>
                <w:bCs/>
                <w:i/>
                <w:iCs/>
                <w:color w:val="FFFFFF"/>
              </w:rPr>
              <w:t xml:space="preserve"> </w:t>
            </w:r>
            <w:r w:rsidR="00D16A49">
              <w:rPr>
                <w:b/>
                <w:bCs/>
                <w:i/>
                <w:iCs/>
                <w:color w:val="FFFFFF"/>
              </w:rPr>
              <w:t>572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99CC"/>
            <w:noWrap/>
            <w:vAlign w:val="center"/>
          </w:tcPr>
          <w:p w:rsidR="001D296A" w:rsidRPr="007A7F1E" w:rsidRDefault="001D296A" w:rsidP="00430280">
            <w:pPr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b/>
                <w:bCs/>
                <w:i/>
                <w:iCs/>
                <w:color w:val="FFFFFF"/>
              </w:rPr>
              <w:t>147 652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noWrap/>
            <w:vAlign w:val="center"/>
          </w:tcPr>
          <w:p w:rsidR="001D296A" w:rsidRPr="007A7F1E" w:rsidRDefault="001D296A" w:rsidP="00430280">
            <w:pPr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b/>
                <w:bCs/>
                <w:i/>
                <w:iCs/>
                <w:color w:val="FFFFFF"/>
              </w:rPr>
              <w:t>122 908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center"/>
          </w:tcPr>
          <w:p w:rsidR="001D296A" w:rsidRPr="007A7F1E" w:rsidRDefault="001D296A" w:rsidP="00D16A49">
            <w:pPr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b/>
                <w:bCs/>
                <w:i/>
                <w:iCs/>
                <w:color w:val="FFFFFF"/>
              </w:rPr>
              <w:t>9</w:t>
            </w:r>
            <w:r w:rsidR="00D16A49">
              <w:rPr>
                <w:b/>
                <w:bCs/>
                <w:i/>
                <w:iCs/>
                <w:color w:val="FFFFFF"/>
              </w:rPr>
              <w:t>8</w:t>
            </w:r>
            <w:r>
              <w:rPr>
                <w:b/>
                <w:bCs/>
                <w:i/>
                <w:iCs/>
                <w:color w:val="FFFFFF"/>
              </w:rPr>
              <w:t>,6%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noWrap/>
            <w:vAlign w:val="center"/>
          </w:tcPr>
          <w:p w:rsidR="001D296A" w:rsidRPr="007A7F1E" w:rsidRDefault="001D296A" w:rsidP="00472594">
            <w:pPr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b/>
                <w:bCs/>
                <w:i/>
                <w:iCs/>
                <w:color w:val="FFFFFF"/>
              </w:rPr>
              <w:t>83,3%</w:t>
            </w:r>
          </w:p>
        </w:tc>
      </w:tr>
    </w:tbl>
    <w:p w:rsidR="00B6429E" w:rsidRDefault="00B6429E" w:rsidP="00B6429E">
      <w:pPr>
        <w:pStyle w:val="Listaszerbekezds"/>
        <w:spacing w:before="360" w:after="120" w:line="276" w:lineRule="auto"/>
        <w:ind w:left="709"/>
        <w:jc w:val="both"/>
        <w:rPr>
          <w:i/>
        </w:rPr>
      </w:pPr>
    </w:p>
    <w:p w:rsidR="00B6429E" w:rsidRDefault="00B6429E" w:rsidP="00B6429E">
      <w:pPr>
        <w:pStyle w:val="Listaszerbekezds"/>
        <w:spacing w:before="360" w:after="120" w:line="276" w:lineRule="auto"/>
        <w:ind w:left="709"/>
        <w:jc w:val="both"/>
        <w:rPr>
          <w:i/>
        </w:rPr>
      </w:pPr>
    </w:p>
    <w:p w:rsidR="004C4C9A" w:rsidRPr="004C4C9A" w:rsidRDefault="0079731B" w:rsidP="001940B9">
      <w:pPr>
        <w:pStyle w:val="Listaszerbekezds"/>
        <w:numPr>
          <w:ilvl w:val="1"/>
          <w:numId w:val="14"/>
        </w:numPr>
        <w:spacing w:before="360" w:after="120" w:line="276" w:lineRule="auto"/>
        <w:ind w:left="709" w:hanging="709"/>
        <w:jc w:val="both"/>
        <w:rPr>
          <w:i/>
        </w:rPr>
      </w:pPr>
      <w:r w:rsidRPr="00682F8A">
        <w:rPr>
          <w:i/>
        </w:rPr>
        <w:t>Anyagjellegű ráfordítások</w:t>
      </w:r>
    </w:p>
    <w:p w:rsidR="0079731B" w:rsidRDefault="00551944" w:rsidP="003B0CFD">
      <w:pPr>
        <w:spacing w:after="120" w:line="276" w:lineRule="auto"/>
        <w:ind w:firstLine="360"/>
        <w:jc w:val="both"/>
      </w:pPr>
      <w:r>
        <w:t xml:space="preserve">Itt </w:t>
      </w:r>
      <w:r w:rsidR="0079731B">
        <w:t>mutatjuk ki az Anyagköltségeket, az igénybe vett szolgáltatások értékét, az Egyéb szolgáltatások értékét, az eladott áruk beszerzési értékét, az Eladott (közvetített) szolgáltatások értékét.</w:t>
      </w:r>
    </w:p>
    <w:p w:rsidR="00EB7CF6" w:rsidRDefault="009E251D" w:rsidP="003B0CFD">
      <w:pPr>
        <w:spacing w:line="276" w:lineRule="auto"/>
        <w:jc w:val="both"/>
      </w:pPr>
      <w:r>
        <w:br w:type="page"/>
      </w:r>
      <w:r w:rsidR="00EB7CF6">
        <w:lastRenderedPageBreak/>
        <w:t>Az al</w:t>
      </w:r>
      <w:r w:rsidR="0006334A">
        <w:t>ábbi táblázatban bemutatjuk az A</w:t>
      </w:r>
      <w:r w:rsidR="00EB7CF6">
        <w:t>nyagjellegű ráfordítások alakulását:</w:t>
      </w:r>
    </w:p>
    <w:p w:rsidR="00EB7CF6" w:rsidRPr="0062485E" w:rsidRDefault="0062485E" w:rsidP="002F085E">
      <w:pPr>
        <w:spacing w:line="360" w:lineRule="auto"/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>a</w:t>
      </w:r>
      <w:r w:rsidR="002F085E">
        <w:rPr>
          <w:sz w:val="18"/>
          <w:szCs w:val="18"/>
        </w:rPr>
        <w:t>datok</w:t>
      </w:r>
      <w:proofErr w:type="gramEnd"/>
      <w:r w:rsidR="002F085E">
        <w:rPr>
          <w:sz w:val="18"/>
          <w:szCs w:val="18"/>
        </w:rPr>
        <w:t xml:space="preserve"> e </w:t>
      </w:r>
      <w:r w:rsidR="00EB7CF6" w:rsidRPr="0062485E">
        <w:rPr>
          <w:sz w:val="18"/>
          <w:szCs w:val="18"/>
        </w:rPr>
        <w:t>Ft</w:t>
      </w:r>
    </w:p>
    <w:tbl>
      <w:tblPr>
        <w:tblW w:w="9471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337"/>
        <w:gridCol w:w="1282"/>
        <w:gridCol w:w="1143"/>
        <w:gridCol w:w="997"/>
        <w:gridCol w:w="1356"/>
        <w:gridCol w:w="1356"/>
      </w:tblGrid>
      <w:tr w:rsidR="000E7AFA" w:rsidRPr="003B0CFD" w:rsidTr="000E7AFA">
        <w:trPr>
          <w:trHeight w:val="315"/>
        </w:trPr>
        <w:tc>
          <w:tcPr>
            <w:tcW w:w="33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621C4" w:rsidRPr="003B0CFD" w:rsidRDefault="008621C4">
            <w:pPr>
              <w:jc w:val="center"/>
              <w:rPr>
                <w:i/>
                <w:iCs/>
                <w:color w:val="000000"/>
              </w:rPr>
            </w:pPr>
            <w:r w:rsidRPr="003B0CFD">
              <w:rPr>
                <w:i/>
                <w:iCs/>
                <w:color w:val="000000"/>
              </w:rPr>
              <w:t>Megnevezés</w:t>
            </w:r>
          </w:p>
        </w:tc>
        <w:tc>
          <w:tcPr>
            <w:tcW w:w="1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621C4" w:rsidRPr="003B0CFD" w:rsidRDefault="00E57BD9" w:rsidP="004302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2010</w:t>
            </w:r>
            <w:r w:rsidR="008621C4" w:rsidRPr="003B0CFD">
              <w:rPr>
                <w:b/>
                <w:bCs/>
                <w:i/>
                <w:iCs/>
                <w:color w:val="000000"/>
              </w:rPr>
              <w:t>. tény</w:t>
            </w:r>
          </w:p>
        </w:tc>
        <w:tc>
          <w:tcPr>
            <w:tcW w:w="21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621C4" w:rsidRPr="003B0CFD" w:rsidRDefault="00E57BD9" w:rsidP="004302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2011</w:t>
            </w:r>
            <w:r w:rsidR="008621C4" w:rsidRPr="003B0CFD">
              <w:rPr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1C4" w:rsidRPr="003B0CFD" w:rsidRDefault="00E57BD9" w:rsidP="004302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2011</w:t>
            </w:r>
            <w:r w:rsidR="008621C4" w:rsidRPr="003B0CFD">
              <w:rPr>
                <w:b/>
                <w:bCs/>
                <w:i/>
                <w:iCs/>
                <w:color w:val="000000"/>
              </w:rPr>
              <w:t>. tény</w:t>
            </w:r>
            <w:r w:rsidR="00B27882" w:rsidRPr="003B0CFD">
              <w:rPr>
                <w:b/>
                <w:bCs/>
                <w:i/>
                <w:iCs/>
                <w:color w:val="000000"/>
              </w:rPr>
              <w:t>/</w:t>
            </w:r>
            <w:r w:rsidR="00285047" w:rsidRPr="003B0CFD">
              <w:rPr>
                <w:b/>
                <w:bCs/>
                <w:i/>
                <w:iCs/>
                <w:color w:val="000000"/>
              </w:rPr>
              <w:br/>
            </w:r>
            <w:r>
              <w:rPr>
                <w:b/>
                <w:bCs/>
                <w:i/>
                <w:iCs/>
                <w:color w:val="000000"/>
              </w:rPr>
              <w:t>2010</w:t>
            </w:r>
            <w:r w:rsidR="008621C4" w:rsidRPr="003B0CFD">
              <w:rPr>
                <w:b/>
                <w:bCs/>
                <w:i/>
                <w:iCs/>
                <w:color w:val="000000"/>
              </w:rPr>
              <w:t>. </w:t>
            </w:r>
            <w:r w:rsidR="00285047" w:rsidRPr="003B0CFD">
              <w:rPr>
                <w:b/>
                <w:bCs/>
                <w:i/>
                <w:iCs/>
                <w:color w:val="000000"/>
              </w:rPr>
              <w:t>tény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1C4" w:rsidRPr="003B0CFD" w:rsidRDefault="00E57BD9" w:rsidP="004302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2011</w:t>
            </w:r>
            <w:r w:rsidR="008621C4" w:rsidRPr="003B0CFD">
              <w:rPr>
                <w:b/>
                <w:bCs/>
                <w:i/>
                <w:iCs/>
                <w:color w:val="000000"/>
              </w:rPr>
              <w:t>. tény/</w:t>
            </w:r>
            <w:r w:rsidR="008621C4" w:rsidRPr="003B0CFD">
              <w:rPr>
                <w:b/>
                <w:bCs/>
                <w:i/>
                <w:iCs/>
                <w:color w:val="000000"/>
              </w:rPr>
              <w:br/>
            </w:r>
            <w:r>
              <w:rPr>
                <w:b/>
                <w:bCs/>
                <w:i/>
                <w:iCs/>
                <w:color w:val="000000"/>
              </w:rPr>
              <w:t>2011</w:t>
            </w:r>
            <w:r w:rsidR="008621C4" w:rsidRPr="003B0CFD">
              <w:rPr>
                <w:b/>
                <w:bCs/>
                <w:i/>
                <w:iCs/>
                <w:color w:val="000000"/>
              </w:rPr>
              <w:t>. terv</w:t>
            </w:r>
          </w:p>
        </w:tc>
      </w:tr>
      <w:tr w:rsidR="000E7AFA" w:rsidRPr="003B0CFD" w:rsidTr="004B23C8">
        <w:trPr>
          <w:trHeight w:val="300"/>
        </w:trPr>
        <w:tc>
          <w:tcPr>
            <w:tcW w:w="33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27882" w:rsidRPr="003B0CFD" w:rsidRDefault="00B27882">
            <w:pPr>
              <w:rPr>
                <w:i/>
                <w:iCs/>
                <w:color w:val="000000"/>
              </w:rPr>
            </w:pPr>
          </w:p>
        </w:tc>
        <w:tc>
          <w:tcPr>
            <w:tcW w:w="1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27882" w:rsidRPr="003B0CFD" w:rsidRDefault="00B27882" w:rsidP="00430280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82" w:rsidRPr="003B0CFD" w:rsidRDefault="00B27882" w:rsidP="004302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B0CFD">
              <w:rPr>
                <w:b/>
                <w:bCs/>
                <w:i/>
                <w:iCs/>
                <w:color w:val="000000"/>
              </w:rPr>
              <w:t>terv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7882" w:rsidRPr="003B0CFD" w:rsidRDefault="0091607B" w:rsidP="004302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B0CFD">
              <w:rPr>
                <w:b/>
                <w:bCs/>
                <w:i/>
                <w:iCs/>
                <w:color w:val="000000"/>
              </w:rPr>
              <w:t>T</w:t>
            </w:r>
            <w:r w:rsidR="00B27882" w:rsidRPr="003B0CFD">
              <w:rPr>
                <w:b/>
                <w:bCs/>
                <w:i/>
                <w:iCs/>
                <w:color w:val="000000"/>
              </w:rPr>
              <w:t>ény</w:t>
            </w: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7882" w:rsidRPr="003B0CFD" w:rsidRDefault="00B27882" w:rsidP="00430280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7882" w:rsidRPr="003B0CFD" w:rsidRDefault="00B27882" w:rsidP="00430280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4B23C8" w:rsidRPr="003B0CFD" w:rsidTr="004B23C8">
        <w:trPr>
          <w:trHeight w:val="367"/>
        </w:trPr>
        <w:tc>
          <w:tcPr>
            <w:tcW w:w="33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C8" w:rsidRPr="003B0CFD" w:rsidRDefault="004B23C8">
            <w:pPr>
              <w:rPr>
                <w:b/>
                <w:bCs/>
                <w:i/>
                <w:iCs/>
              </w:rPr>
            </w:pPr>
            <w:r w:rsidRPr="003B0CFD">
              <w:rPr>
                <w:b/>
                <w:bCs/>
                <w:i/>
                <w:iCs/>
              </w:rPr>
              <w:t>ANYAGJELLEGŰ RÁFORDÍTÁSOK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23C8" w:rsidRPr="003B0CFD" w:rsidRDefault="004B23C8" w:rsidP="004B23C8">
            <w:pPr>
              <w:jc w:val="center"/>
              <w:rPr>
                <w:b/>
                <w:bCs/>
                <w:color w:val="000000"/>
              </w:rPr>
            </w:pPr>
            <w:r w:rsidRPr="003B0CFD">
              <w:rPr>
                <w:b/>
                <w:bCs/>
                <w:color w:val="000000"/>
              </w:rPr>
              <w:t>104 458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3C8" w:rsidRPr="003B0CFD" w:rsidRDefault="004B23C8" w:rsidP="004302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159 287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23C8" w:rsidRPr="003B0CFD" w:rsidRDefault="004B23C8" w:rsidP="004302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108 913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23C8" w:rsidRPr="003B0CFD" w:rsidRDefault="004B23C8" w:rsidP="004302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104,3%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23C8" w:rsidRPr="003B0CFD" w:rsidRDefault="00D1069F" w:rsidP="0047259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68,4%</w:t>
            </w:r>
          </w:p>
        </w:tc>
      </w:tr>
      <w:tr w:rsidR="004B23C8" w:rsidRPr="003B0CFD" w:rsidTr="004B23C8">
        <w:trPr>
          <w:trHeight w:val="367"/>
        </w:trPr>
        <w:tc>
          <w:tcPr>
            <w:tcW w:w="3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C8" w:rsidRPr="003B0CFD" w:rsidRDefault="004B23C8">
            <w:pPr>
              <w:rPr>
                <w:i/>
                <w:iCs/>
              </w:rPr>
            </w:pPr>
            <w:r w:rsidRPr="003B0CFD">
              <w:rPr>
                <w:i/>
                <w:iCs/>
              </w:rPr>
              <w:t>ANYAGKÖLTSÉG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23C8" w:rsidRPr="003B0CFD" w:rsidRDefault="004B23C8" w:rsidP="004B23C8">
            <w:pPr>
              <w:jc w:val="center"/>
              <w:rPr>
                <w:i/>
                <w:iCs/>
                <w:color w:val="000000"/>
              </w:rPr>
            </w:pPr>
            <w:r w:rsidRPr="003B0CFD">
              <w:rPr>
                <w:i/>
                <w:iCs/>
                <w:color w:val="000000"/>
              </w:rPr>
              <w:t>2 949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3C8" w:rsidRPr="003B0CFD" w:rsidRDefault="004B23C8" w:rsidP="004302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3 888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23C8" w:rsidRPr="003B0CFD" w:rsidRDefault="004B23C8" w:rsidP="004302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3 481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23C8" w:rsidRPr="003B0CFD" w:rsidRDefault="004B23C8" w:rsidP="004302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118,1%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23C8" w:rsidRPr="003B0CFD" w:rsidRDefault="00D1069F" w:rsidP="004302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89,66%</w:t>
            </w:r>
          </w:p>
        </w:tc>
      </w:tr>
      <w:tr w:rsidR="004B23C8" w:rsidRPr="003B0CFD" w:rsidTr="004B23C8">
        <w:trPr>
          <w:trHeight w:val="367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C8" w:rsidRPr="003B0CFD" w:rsidRDefault="004B23C8" w:rsidP="00E26987">
            <w:pPr>
              <w:ind w:firstLineChars="100" w:firstLine="240"/>
            </w:pPr>
            <w:r w:rsidRPr="003B0CFD">
              <w:t>ebből Irodaszer, nyomtatvány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3C8" w:rsidRPr="003B0CFD" w:rsidRDefault="004B23C8" w:rsidP="004B23C8">
            <w:pPr>
              <w:jc w:val="center"/>
              <w:rPr>
                <w:color w:val="000000"/>
              </w:rPr>
            </w:pPr>
            <w:r w:rsidRPr="003B0CFD">
              <w:rPr>
                <w:color w:val="000000"/>
              </w:rPr>
              <w:t>527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3C8" w:rsidRPr="003B0CFD" w:rsidRDefault="004B23C8" w:rsidP="0043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3C8" w:rsidRPr="003B0CFD" w:rsidRDefault="004B23C8" w:rsidP="0043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23C8" w:rsidRPr="003B0CFD" w:rsidRDefault="004B23C8" w:rsidP="0043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68,9%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23C8" w:rsidRPr="003B0CFD" w:rsidRDefault="00D1069F" w:rsidP="0043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57,1%</w:t>
            </w:r>
          </w:p>
        </w:tc>
      </w:tr>
      <w:tr w:rsidR="004B23C8" w:rsidRPr="003B0CFD" w:rsidTr="004B23C8">
        <w:trPr>
          <w:trHeight w:val="367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C8" w:rsidRPr="003B0CFD" w:rsidRDefault="004B23C8" w:rsidP="009E251D">
            <w:pPr>
              <w:ind w:firstLineChars="100" w:firstLine="240"/>
            </w:pPr>
            <w:r w:rsidRPr="003B0CFD">
              <w:t xml:space="preserve">ebből Üzemanyagok, </w:t>
            </w:r>
            <w:proofErr w:type="spellStart"/>
            <w:r w:rsidRPr="003B0CFD">
              <w:t>gk</w:t>
            </w:r>
            <w:proofErr w:type="spellEnd"/>
            <w:r w:rsidRPr="003B0CFD">
              <w:t xml:space="preserve">. </w:t>
            </w:r>
            <w:proofErr w:type="spellStart"/>
            <w:r w:rsidRPr="003B0CFD">
              <w:t>ktg</w:t>
            </w:r>
            <w:proofErr w:type="spellEnd"/>
            <w:r w:rsidRPr="003B0CFD">
              <w:t>.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3C8" w:rsidRPr="003B0CFD" w:rsidRDefault="004B23C8" w:rsidP="004B23C8">
            <w:pPr>
              <w:jc w:val="center"/>
              <w:rPr>
                <w:color w:val="000000"/>
              </w:rPr>
            </w:pPr>
            <w:r w:rsidRPr="003B0CFD">
              <w:rPr>
                <w:color w:val="000000"/>
              </w:rPr>
              <w:t>2 093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3C8" w:rsidRPr="003B0CFD" w:rsidRDefault="004B23C8" w:rsidP="0043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3C8" w:rsidRPr="003B0CFD" w:rsidRDefault="004B23C8" w:rsidP="0043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23C8" w:rsidRPr="003B0CFD" w:rsidRDefault="004B23C8" w:rsidP="0043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23C8" w:rsidRPr="003B0CFD" w:rsidRDefault="00D1069F" w:rsidP="0043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90%</w:t>
            </w:r>
          </w:p>
        </w:tc>
      </w:tr>
      <w:tr w:rsidR="004B23C8" w:rsidRPr="003B0CFD" w:rsidTr="004B23C8">
        <w:trPr>
          <w:trHeight w:val="367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C8" w:rsidRPr="003B0CFD" w:rsidRDefault="004B23C8" w:rsidP="00E26987">
            <w:pPr>
              <w:ind w:firstLineChars="100" w:firstLine="240"/>
            </w:pPr>
            <w:r w:rsidRPr="003B0CFD">
              <w:t>ebből Energia, fűtés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3C8" w:rsidRPr="003B0CFD" w:rsidRDefault="004B23C8" w:rsidP="004B23C8">
            <w:pPr>
              <w:jc w:val="center"/>
              <w:rPr>
                <w:color w:val="000000"/>
              </w:rPr>
            </w:pPr>
            <w:r w:rsidRPr="003B0CFD">
              <w:rPr>
                <w:color w:val="000000"/>
              </w:rPr>
              <w:t>272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3C8" w:rsidRPr="003B0CFD" w:rsidRDefault="004B23C8" w:rsidP="0043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3C8" w:rsidRPr="003B0CFD" w:rsidRDefault="004B23C8" w:rsidP="0043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23C8" w:rsidRPr="003B0CFD" w:rsidRDefault="004B23C8" w:rsidP="0043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127,2%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23C8" w:rsidRPr="003B0CFD" w:rsidRDefault="00D1069F" w:rsidP="0043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115,4%</w:t>
            </w:r>
          </w:p>
        </w:tc>
      </w:tr>
      <w:tr w:rsidR="004B23C8" w:rsidRPr="003B0CFD" w:rsidTr="004B23C8">
        <w:trPr>
          <w:trHeight w:val="367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C8" w:rsidRPr="003B0CFD" w:rsidRDefault="004B23C8" w:rsidP="00E26987">
            <w:pPr>
              <w:ind w:firstLineChars="100" w:firstLine="240"/>
            </w:pPr>
            <w:r w:rsidRPr="003B0CFD">
              <w:t xml:space="preserve">ebből Egyéb más anyag </w:t>
            </w:r>
            <w:proofErr w:type="spellStart"/>
            <w:r w:rsidRPr="003B0CFD">
              <w:t>ktg</w:t>
            </w:r>
            <w:proofErr w:type="spellEnd"/>
            <w:r w:rsidRPr="003B0CFD">
              <w:t>.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3C8" w:rsidRPr="003B0CFD" w:rsidRDefault="004B23C8" w:rsidP="004B23C8">
            <w:pPr>
              <w:jc w:val="center"/>
              <w:rPr>
                <w:color w:val="000000"/>
              </w:rPr>
            </w:pPr>
            <w:r w:rsidRPr="003B0CFD">
              <w:rPr>
                <w:color w:val="000000"/>
              </w:rPr>
              <w:t>57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3C8" w:rsidRPr="003B0CFD" w:rsidRDefault="004B23C8" w:rsidP="0043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3C8" w:rsidRPr="003B0CFD" w:rsidRDefault="004B23C8" w:rsidP="0043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23C8" w:rsidRPr="003B0CFD" w:rsidRDefault="007146E2" w:rsidP="0043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56,2</w:t>
            </w:r>
            <w:r w:rsidR="004B23C8">
              <w:rPr>
                <w:color w:val="000000"/>
              </w:rPr>
              <w:t>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23C8" w:rsidRPr="003B0CFD" w:rsidRDefault="007146E2" w:rsidP="00714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  <w:r w:rsidR="00D1069F">
              <w:rPr>
                <w:color w:val="000000"/>
              </w:rPr>
              <w:t>%</w:t>
            </w:r>
          </w:p>
        </w:tc>
      </w:tr>
      <w:tr w:rsidR="004B23C8" w:rsidRPr="003B0CFD" w:rsidTr="004B23C8">
        <w:trPr>
          <w:trHeight w:val="367"/>
        </w:trPr>
        <w:tc>
          <w:tcPr>
            <w:tcW w:w="3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C8" w:rsidRPr="003B0CFD" w:rsidRDefault="004B23C8">
            <w:pPr>
              <w:rPr>
                <w:i/>
                <w:iCs/>
              </w:rPr>
            </w:pPr>
            <w:r w:rsidRPr="003B0CFD">
              <w:rPr>
                <w:i/>
                <w:iCs/>
              </w:rPr>
              <w:t>IGÉNYBE VETT ANYAGJELLEGŰ SZOLG. ÉRTÉKE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23C8" w:rsidRPr="003B0CFD" w:rsidRDefault="004B23C8" w:rsidP="004B23C8">
            <w:pPr>
              <w:jc w:val="center"/>
              <w:rPr>
                <w:i/>
                <w:iCs/>
                <w:color w:val="000000"/>
              </w:rPr>
            </w:pPr>
            <w:r w:rsidRPr="003B0CFD">
              <w:rPr>
                <w:i/>
                <w:iCs/>
                <w:color w:val="000000"/>
              </w:rPr>
              <w:t>31 004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3C8" w:rsidRPr="003B0CFD" w:rsidRDefault="004B23C8" w:rsidP="004302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41 837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23C8" w:rsidRPr="003B0CFD" w:rsidRDefault="004B23C8" w:rsidP="004302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26 972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23C8" w:rsidRPr="003B0CFD" w:rsidRDefault="004B23C8" w:rsidP="004302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87%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23C8" w:rsidRPr="003B0CFD" w:rsidRDefault="00D1069F" w:rsidP="004302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64,5%</w:t>
            </w:r>
          </w:p>
        </w:tc>
      </w:tr>
      <w:tr w:rsidR="004B23C8" w:rsidRPr="003B0CFD" w:rsidTr="004B23C8">
        <w:trPr>
          <w:trHeight w:val="367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C8" w:rsidRPr="003B0CFD" w:rsidRDefault="004B23C8" w:rsidP="00E26987">
            <w:pPr>
              <w:ind w:firstLineChars="100" w:firstLine="240"/>
            </w:pPr>
            <w:r w:rsidRPr="003B0CFD">
              <w:t xml:space="preserve">ebből Irodabérlet 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3C8" w:rsidRPr="003B0CFD" w:rsidRDefault="004B23C8" w:rsidP="004B23C8">
            <w:pPr>
              <w:jc w:val="center"/>
              <w:rPr>
                <w:color w:val="000000"/>
              </w:rPr>
            </w:pPr>
            <w:r w:rsidRPr="003B0CFD">
              <w:rPr>
                <w:color w:val="000000"/>
              </w:rPr>
              <w:t>3 857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3C8" w:rsidRPr="003B0CFD" w:rsidRDefault="004B23C8" w:rsidP="0043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4 080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3C8" w:rsidRPr="003B0CFD" w:rsidRDefault="004B23C8" w:rsidP="0043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3 710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23C8" w:rsidRPr="003B0CFD" w:rsidRDefault="004B23C8" w:rsidP="0043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96,2%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23C8" w:rsidRPr="003B0CFD" w:rsidRDefault="00D1069F" w:rsidP="0043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58,4%</w:t>
            </w:r>
          </w:p>
        </w:tc>
      </w:tr>
      <w:tr w:rsidR="004B23C8" w:rsidRPr="003B0CFD" w:rsidTr="004B23C8">
        <w:trPr>
          <w:trHeight w:val="367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C8" w:rsidRPr="003B0CFD" w:rsidRDefault="004B23C8" w:rsidP="00E26987">
            <w:pPr>
              <w:ind w:firstLineChars="100" w:firstLine="240"/>
            </w:pPr>
            <w:r w:rsidRPr="003B0CFD">
              <w:t xml:space="preserve">ebből </w:t>
            </w:r>
            <w:proofErr w:type="spellStart"/>
            <w:r w:rsidRPr="003B0CFD">
              <w:t>Gki</w:t>
            </w:r>
            <w:proofErr w:type="spellEnd"/>
            <w:r w:rsidRPr="003B0CFD">
              <w:t xml:space="preserve">. bérleti díj  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3C8" w:rsidRPr="003B0CFD" w:rsidRDefault="004B23C8" w:rsidP="004B23C8">
            <w:pPr>
              <w:jc w:val="center"/>
              <w:rPr>
                <w:color w:val="000000"/>
              </w:rPr>
            </w:pPr>
            <w:r w:rsidRPr="003B0CFD">
              <w:rPr>
                <w:color w:val="000000"/>
              </w:rPr>
              <w:t>5 970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3C8" w:rsidRPr="003B0CFD" w:rsidRDefault="004B23C8" w:rsidP="0043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6 360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3C8" w:rsidRPr="003B0CFD" w:rsidRDefault="004B23C8" w:rsidP="0043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5 979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23C8" w:rsidRPr="003B0CFD" w:rsidRDefault="004B23C8" w:rsidP="0043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100,2%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23C8" w:rsidRPr="003B0CFD" w:rsidRDefault="00D1069F" w:rsidP="0043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94%</w:t>
            </w:r>
          </w:p>
        </w:tc>
      </w:tr>
      <w:tr w:rsidR="004B23C8" w:rsidRPr="003B0CFD" w:rsidTr="004B23C8">
        <w:trPr>
          <w:trHeight w:val="367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C8" w:rsidRPr="003B0CFD" w:rsidRDefault="004B23C8" w:rsidP="009E251D">
            <w:pPr>
              <w:ind w:left="229" w:firstLineChars="4" w:firstLine="10"/>
            </w:pPr>
            <w:r w:rsidRPr="003B0CFD">
              <w:t xml:space="preserve">ebből Reklám, </w:t>
            </w:r>
            <w:proofErr w:type="gramStart"/>
            <w:r w:rsidRPr="003B0CFD">
              <w:t xml:space="preserve">propaganda </w:t>
            </w:r>
            <w:r w:rsidR="009E251D">
              <w:t xml:space="preserve"> </w:t>
            </w:r>
            <w:proofErr w:type="spellStart"/>
            <w:r w:rsidRPr="003B0CFD">
              <w:t>ktg</w:t>
            </w:r>
            <w:proofErr w:type="spellEnd"/>
            <w:proofErr w:type="gramEnd"/>
            <w:r w:rsidRPr="003B0CFD">
              <w:t xml:space="preserve">. 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3C8" w:rsidRPr="003B0CFD" w:rsidRDefault="004B23C8" w:rsidP="004B23C8">
            <w:pPr>
              <w:jc w:val="center"/>
              <w:rPr>
                <w:color w:val="000000"/>
              </w:rPr>
            </w:pPr>
            <w:r w:rsidRPr="003B0CFD">
              <w:rPr>
                <w:color w:val="000000"/>
              </w:rPr>
              <w:t>1 605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3C8" w:rsidRPr="003B0CFD" w:rsidRDefault="004B23C8" w:rsidP="0043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3C8" w:rsidRPr="003B0CFD" w:rsidRDefault="004B23C8" w:rsidP="0043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23C8" w:rsidRPr="003B0CFD" w:rsidRDefault="004B23C8" w:rsidP="0043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41,8%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23C8" w:rsidRPr="003B0CFD" w:rsidRDefault="00D1069F" w:rsidP="0043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33,5%</w:t>
            </w:r>
          </w:p>
        </w:tc>
      </w:tr>
      <w:tr w:rsidR="004B23C8" w:rsidRPr="003B0CFD" w:rsidTr="004B23C8">
        <w:trPr>
          <w:trHeight w:val="367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C8" w:rsidRPr="003B0CFD" w:rsidRDefault="004B23C8" w:rsidP="00E26987">
            <w:pPr>
              <w:ind w:firstLineChars="100" w:firstLine="240"/>
            </w:pPr>
            <w:r w:rsidRPr="003B0CFD">
              <w:t xml:space="preserve">ebből Ügyviteli szolgáltatások 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3C8" w:rsidRPr="003B0CFD" w:rsidRDefault="004B23C8" w:rsidP="004B23C8">
            <w:pPr>
              <w:jc w:val="center"/>
              <w:rPr>
                <w:color w:val="000000"/>
              </w:rPr>
            </w:pPr>
            <w:r w:rsidRPr="003B0CFD">
              <w:rPr>
                <w:color w:val="000000"/>
              </w:rPr>
              <w:t>4 244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3C8" w:rsidRPr="003B0CFD" w:rsidRDefault="004B23C8" w:rsidP="004B23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4 260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3C8" w:rsidRPr="003B0CFD" w:rsidRDefault="004B23C8" w:rsidP="0043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3 744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23C8" w:rsidRPr="003B0CFD" w:rsidRDefault="00D1069F" w:rsidP="0043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88,3%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23C8" w:rsidRPr="003B0CFD" w:rsidRDefault="00D1069F" w:rsidP="0043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87,9%</w:t>
            </w:r>
          </w:p>
        </w:tc>
      </w:tr>
      <w:tr w:rsidR="004B23C8" w:rsidRPr="003B0CFD" w:rsidTr="004B23C8">
        <w:trPr>
          <w:trHeight w:val="367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C8" w:rsidRPr="003B0CFD" w:rsidRDefault="004B23C8" w:rsidP="00E26987">
            <w:pPr>
              <w:ind w:firstLineChars="100" w:firstLine="240"/>
            </w:pPr>
            <w:r w:rsidRPr="003B0CFD">
              <w:t xml:space="preserve">ebből Ügyvédi munkadíj 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3C8" w:rsidRPr="003B0CFD" w:rsidRDefault="004B23C8" w:rsidP="004B23C8">
            <w:pPr>
              <w:jc w:val="center"/>
              <w:rPr>
                <w:color w:val="000000"/>
              </w:rPr>
            </w:pPr>
            <w:r w:rsidRPr="003B0CFD">
              <w:rPr>
                <w:color w:val="000000"/>
              </w:rPr>
              <w:t>10 103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3C8" w:rsidRPr="003B0CFD" w:rsidRDefault="004B23C8" w:rsidP="0043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12 033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3C8" w:rsidRPr="003B0CFD" w:rsidRDefault="004B23C8" w:rsidP="0043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7 691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23C8" w:rsidRPr="003B0CFD" w:rsidRDefault="00D1069F" w:rsidP="0043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76,2%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23C8" w:rsidRPr="003B0CFD" w:rsidRDefault="00D1069F" w:rsidP="0043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64%</w:t>
            </w:r>
          </w:p>
        </w:tc>
      </w:tr>
      <w:tr w:rsidR="004B23C8" w:rsidRPr="003B0CFD" w:rsidTr="004B23C8">
        <w:trPr>
          <w:trHeight w:val="367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C8" w:rsidRPr="003B0CFD" w:rsidRDefault="004B23C8" w:rsidP="009E251D">
            <w:pPr>
              <w:ind w:left="229" w:firstLineChars="4" w:firstLine="10"/>
            </w:pPr>
            <w:r w:rsidRPr="003B0CFD">
              <w:t xml:space="preserve">ebből Megbízási, tanácsadói </w:t>
            </w:r>
            <w:proofErr w:type="gramStart"/>
            <w:r w:rsidRPr="003B0CFD">
              <w:t>díjak ,mérnöki</w:t>
            </w:r>
            <w:proofErr w:type="gramEnd"/>
            <w:r w:rsidRPr="003B0CFD">
              <w:t xml:space="preserve"> szakvélemény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3C8" w:rsidRPr="003B0CFD" w:rsidRDefault="004B23C8" w:rsidP="004B23C8">
            <w:pPr>
              <w:jc w:val="center"/>
              <w:rPr>
                <w:color w:val="000000"/>
              </w:rPr>
            </w:pPr>
            <w:r w:rsidRPr="003B0CFD">
              <w:rPr>
                <w:color w:val="000000"/>
              </w:rPr>
              <w:t>320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3C8" w:rsidRPr="003B0CFD" w:rsidRDefault="004B23C8" w:rsidP="004B23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23C8" w:rsidRPr="003B0CFD" w:rsidRDefault="004B23C8" w:rsidP="0043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23C8" w:rsidRPr="003B0CFD" w:rsidRDefault="00D1069F" w:rsidP="0043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216,6%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23C8" w:rsidRPr="003B0CFD" w:rsidRDefault="00D1069F" w:rsidP="0043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13,1%</w:t>
            </w:r>
          </w:p>
        </w:tc>
      </w:tr>
      <w:tr w:rsidR="004B23C8" w:rsidRPr="003B0CFD" w:rsidTr="004B23C8">
        <w:trPr>
          <w:trHeight w:val="367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C8" w:rsidRPr="003B0CFD" w:rsidRDefault="004B23C8" w:rsidP="009E251D">
            <w:pPr>
              <w:ind w:left="229" w:firstLineChars="4" w:firstLine="10"/>
            </w:pPr>
            <w:r w:rsidRPr="003B0CFD">
              <w:t xml:space="preserve">ebből Üzletviteli vendéglátás, üzleti ajándék 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3C8" w:rsidRPr="003B0CFD" w:rsidRDefault="004B23C8" w:rsidP="004B23C8">
            <w:pPr>
              <w:jc w:val="center"/>
              <w:rPr>
                <w:color w:val="000000"/>
              </w:rPr>
            </w:pPr>
            <w:r w:rsidRPr="003B0CFD">
              <w:rPr>
                <w:color w:val="000000"/>
              </w:rPr>
              <w:t>224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3C8" w:rsidRPr="003B0CFD" w:rsidRDefault="004B23C8" w:rsidP="004B23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3C8" w:rsidRPr="003B0CFD" w:rsidRDefault="004B23C8" w:rsidP="0043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23C8" w:rsidRPr="003B0CFD" w:rsidRDefault="00D1069F" w:rsidP="0043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83,3%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23C8" w:rsidRPr="003B0CFD" w:rsidRDefault="00D1069F" w:rsidP="0043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77,4%</w:t>
            </w:r>
          </w:p>
        </w:tc>
      </w:tr>
      <w:tr w:rsidR="004B23C8" w:rsidRPr="003B0CFD" w:rsidTr="004B23C8">
        <w:trPr>
          <w:trHeight w:val="367"/>
        </w:trPr>
        <w:tc>
          <w:tcPr>
            <w:tcW w:w="33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C8" w:rsidRPr="003B0CFD" w:rsidRDefault="004B23C8" w:rsidP="009E251D">
            <w:pPr>
              <w:ind w:left="229" w:firstLineChars="4" w:firstLine="10"/>
            </w:pPr>
            <w:r w:rsidRPr="003B0CFD">
              <w:t xml:space="preserve">ebből Egyéb más igénybevett </w:t>
            </w:r>
            <w:proofErr w:type="spellStart"/>
            <w:r w:rsidRPr="003B0CFD">
              <w:t>szolg</w:t>
            </w:r>
            <w:proofErr w:type="spellEnd"/>
            <w:r w:rsidRPr="003B0CFD">
              <w:t>.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3C8" w:rsidRPr="003B0CFD" w:rsidRDefault="004B23C8" w:rsidP="004B23C8">
            <w:pPr>
              <w:jc w:val="center"/>
              <w:rPr>
                <w:color w:val="000000"/>
              </w:rPr>
            </w:pPr>
            <w:r w:rsidRPr="003B0CFD">
              <w:rPr>
                <w:color w:val="000000"/>
              </w:rPr>
              <w:t>4 681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3C8" w:rsidRPr="003B0CFD" w:rsidRDefault="004B23C8" w:rsidP="004B23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7 530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3C8" w:rsidRPr="003B0CFD" w:rsidRDefault="004B23C8" w:rsidP="0043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4 275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23C8" w:rsidRPr="003B0CFD" w:rsidRDefault="00D1069F" w:rsidP="0043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91,4%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23C8" w:rsidRPr="003B0CFD" w:rsidRDefault="00D1069F" w:rsidP="0043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56,8%</w:t>
            </w:r>
          </w:p>
        </w:tc>
      </w:tr>
      <w:tr w:rsidR="004B23C8" w:rsidRPr="003B0CFD" w:rsidTr="004B23C8">
        <w:trPr>
          <w:trHeight w:val="367"/>
        </w:trPr>
        <w:tc>
          <w:tcPr>
            <w:tcW w:w="3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C8" w:rsidRPr="003B0CFD" w:rsidRDefault="004B23C8">
            <w:pPr>
              <w:rPr>
                <w:i/>
                <w:iCs/>
              </w:rPr>
            </w:pPr>
            <w:r w:rsidRPr="003B0CFD">
              <w:rPr>
                <w:i/>
                <w:iCs/>
              </w:rPr>
              <w:t>EGYÉB IGÉNYBEVETT SZOLGÁLTATÁSOK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23C8" w:rsidRPr="003B0CFD" w:rsidRDefault="004B23C8" w:rsidP="004B23C8">
            <w:pPr>
              <w:jc w:val="center"/>
              <w:rPr>
                <w:i/>
                <w:iCs/>
                <w:color w:val="000000"/>
              </w:rPr>
            </w:pPr>
            <w:r w:rsidRPr="003B0CFD">
              <w:rPr>
                <w:i/>
                <w:iCs/>
                <w:color w:val="000000"/>
              </w:rPr>
              <w:t>1 504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3C8" w:rsidRPr="003B0CFD" w:rsidRDefault="004B23C8" w:rsidP="004B23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1 516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23C8" w:rsidRPr="003B0CFD" w:rsidRDefault="004B23C8" w:rsidP="004302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998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23C8" w:rsidRPr="003B0CFD" w:rsidRDefault="00D1069F" w:rsidP="004302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66,4%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23C8" w:rsidRPr="003B0CFD" w:rsidRDefault="00D1069F" w:rsidP="004302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65,9%</w:t>
            </w:r>
          </w:p>
        </w:tc>
      </w:tr>
      <w:tr w:rsidR="004B23C8" w:rsidRPr="003B0CFD" w:rsidTr="004B23C8">
        <w:trPr>
          <w:trHeight w:val="367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C8" w:rsidRPr="003B0CFD" w:rsidRDefault="004B23C8" w:rsidP="00E26987">
            <w:pPr>
              <w:ind w:firstLineChars="100" w:firstLine="240"/>
            </w:pPr>
            <w:r w:rsidRPr="003B0CFD">
              <w:t xml:space="preserve">ebből Bank </w:t>
            </w:r>
            <w:proofErr w:type="spellStart"/>
            <w:r w:rsidRPr="003B0CFD">
              <w:t>ktg</w:t>
            </w:r>
            <w:proofErr w:type="spellEnd"/>
            <w:r w:rsidRPr="003B0CFD">
              <w:t xml:space="preserve">. 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3C8" w:rsidRPr="003B0CFD" w:rsidRDefault="004B23C8" w:rsidP="004B23C8">
            <w:pPr>
              <w:jc w:val="center"/>
              <w:rPr>
                <w:color w:val="000000"/>
              </w:rPr>
            </w:pPr>
            <w:r w:rsidRPr="003B0CFD">
              <w:rPr>
                <w:color w:val="000000"/>
              </w:rPr>
              <w:t>1119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3C8" w:rsidRPr="003B0CFD" w:rsidRDefault="004B23C8" w:rsidP="004B23C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1 140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3C8" w:rsidRPr="003B0CFD" w:rsidRDefault="004B23C8" w:rsidP="0043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3C8" w:rsidRPr="003B0CFD" w:rsidRDefault="00D1069F" w:rsidP="0043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63,9%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23C8" w:rsidRPr="003B0CFD" w:rsidRDefault="00D1069F" w:rsidP="0043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64,8%</w:t>
            </w:r>
          </w:p>
        </w:tc>
      </w:tr>
      <w:tr w:rsidR="004B23C8" w:rsidRPr="003B0CFD" w:rsidTr="004B23C8">
        <w:trPr>
          <w:trHeight w:val="36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C8" w:rsidRPr="003B0CFD" w:rsidRDefault="004B23C8" w:rsidP="00E26987">
            <w:pPr>
              <w:ind w:firstLineChars="100" w:firstLine="240"/>
            </w:pPr>
            <w:r w:rsidRPr="003B0CFD">
              <w:t xml:space="preserve">ebből Különféle egyéb </w:t>
            </w:r>
            <w:proofErr w:type="spellStart"/>
            <w:r w:rsidRPr="003B0CFD">
              <w:t>ktg</w:t>
            </w:r>
            <w:proofErr w:type="spellEnd"/>
            <w:r w:rsidRPr="003B0CFD">
              <w:t xml:space="preserve">.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3C8" w:rsidRPr="003B0CFD" w:rsidRDefault="004B23C8" w:rsidP="004B23C8">
            <w:pPr>
              <w:jc w:val="center"/>
              <w:rPr>
                <w:color w:val="000000"/>
              </w:rPr>
            </w:pPr>
            <w:r w:rsidRPr="003B0CFD">
              <w:rPr>
                <w:color w:val="000000"/>
              </w:rPr>
              <w:t>385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3C8" w:rsidRPr="003B0CFD" w:rsidRDefault="004B23C8" w:rsidP="004B23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3C8" w:rsidRPr="003B0CFD" w:rsidRDefault="004B23C8" w:rsidP="0043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3C8" w:rsidRPr="003B0CFD" w:rsidRDefault="00D1069F" w:rsidP="0043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73,5%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23C8" w:rsidRPr="003B0CFD" w:rsidRDefault="00D1069F" w:rsidP="0043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75,3%</w:t>
            </w:r>
          </w:p>
        </w:tc>
      </w:tr>
      <w:tr w:rsidR="004B23C8" w:rsidRPr="003B0CFD" w:rsidTr="004B23C8">
        <w:trPr>
          <w:trHeight w:val="367"/>
        </w:trPr>
        <w:tc>
          <w:tcPr>
            <w:tcW w:w="3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C8" w:rsidRPr="003B0CFD" w:rsidRDefault="004B23C8" w:rsidP="009E251D">
            <w:pPr>
              <w:rPr>
                <w:i/>
                <w:iCs/>
              </w:rPr>
            </w:pPr>
            <w:r w:rsidRPr="003B0CFD">
              <w:rPr>
                <w:i/>
                <w:iCs/>
              </w:rPr>
              <w:t xml:space="preserve">ELADOTT </w:t>
            </w:r>
            <w:r w:rsidR="009E251D">
              <w:rPr>
                <w:i/>
                <w:iCs/>
              </w:rPr>
              <w:t xml:space="preserve">ÁRUK </w:t>
            </w:r>
            <w:proofErr w:type="gramStart"/>
            <w:r w:rsidR="009E251D">
              <w:rPr>
                <w:i/>
                <w:iCs/>
              </w:rPr>
              <w:t>ÉS</w:t>
            </w:r>
            <w:proofErr w:type="gramEnd"/>
            <w:r w:rsidR="009E251D">
              <w:rPr>
                <w:i/>
                <w:iCs/>
              </w:rPr>
              <w:t xml:space="preserve"> KÖZVETÍTETT </w:t>
            </w:r>
            <w:r w:rsidRPr="003B0CFD">
              <w:rPr>
                <w:i/>
                <w:iCs/>
              </w:rPr>
              <w:t>SZOLGÁLTATÁS ÉRTÉKE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23C8" w:rsidRPr="003B0CFD" w:rsidRDefault="004B23C8" w:rsidP="004B23C8">
            <w:pPr>
              <w:jc w:val="center"/>
              <w:rPr>
                <w:color w:val="000000"/>
              </w:rPr>
            </w:pPr>
            <w:r w:rsidRPr="003B0CFD">
              <w:rPr>
                <w:color w:val="000000"/>
              </w:rPr>
              <w:t>69 001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3C8" w:rsidRPr="003B0CFD" w:rsidRDefault="004B23C8" w:rsidP="004B23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112 047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23C8" w:rsidRPr="003B0CFD" w:rsidRDefault="004B23C8" w:rsidP="0043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77 462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23C8" w:rsidRPr="003B0CFD" w:rsidRDefault="00D1069F" w:rsidP="0043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112,3%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23C8" w:rsidRPr="003B0CFD" w:rsidRDefault="00D1069F" w:rsidP="0043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69,2%</w:t>
            </w:r>
          </w:p>
        </w:tc>
      </w:tr>
    </w:tbl>
    <w:p w:rsidR="00A75510" w:rsidRPr="00824867" w:rsidRDefault="00EB7CF6" w:rsidP="003B0CFD">
      <w:pPr>
        <w:spacing w:before="240" w:after="120" w:line="276" w:lineRule="auto"/>
        <w:ind w:firstLine="360"/>
        <w:jc w:val="both"/>
      </w:pPr>
      <w:r w:rsidRPr="00824867">
        <w:t xml:space="preserve">Az </w:t>
      </w:r>
      <w:r w:rsidRPr="00824867">
        <w:rPr>
          <w:b/>
          <w:i/>
        </w:rPr>
        <w:t>anyagköltségek</w:t>
      </w:r>
      <w:r w:rsidRPr="00824867">
        <w:t xml:space="preserve"> között mutatjuk ki </w:t>
      </w:r>
      <w:r w:rsidR="0006334A" w:rsidRPr="00824867">
        <w:t>a</w:t>
      </w:r>
      <w:r w:rsidR="00C653C8">
        <w:t>z irodaszereket (</w:t>
      </w:r>
      <w:r w:rsidR="00D1069F">
        <w:t>363</w:t>
      </w:r>
      <w:r w:rsidR="009E251D">
        <w:t xml:space="preserve">,- </w:t>
      </w:r>
      <w:r w:rsidR="00A00AF0" w:rsidRPr="00824867">
        <w:t>e </w:t>
      </w:r>
      <w:r w:rsidRPr="00824867">
        <w:t>Ft), üzema</w:t>
      </w:r>
      <w:r w:rsidR="00A00AF0" w:rsidRPr="00824867">
        <w:t>nyag</w:t>
      </w:r>
      <w:r w:rsidR="00A75510" w:rsidRPr="00824867">
        <w:t xml:space="preserve"> és g</w:t>
      </w:r>
      <w:r w:rsidR="00845036" w:rsidRPr="00824867">
        <w:t>épkocsi</w:t>
      </w:r>
      <w:r w:rsidR="00C653C8">
        <w:t xml:space="preserve"> költségeket (</w:t>
      </w:r>
      <w:r w:rsidR="00D1069F">
        <w:t>2.385</w:t>
      </w:r>
      <w:r w:rsidR="009E251D">
        <w:t>,-</w:t>
      </w:r>
      <w:r w:rsidR="00D1069F">
        <w:t xml:space="preserve"> </w:t>
      </w:r>
      <w:r w:rsidRPr="00824867">
        <w:t>e</w:t>
      </w:r>
      <w:r w:rsidR="00A75510" w:rsidRPr="00824867">
        <w:t xml:space="preserve"> Ft), </w:t>
      </w:r>
      <w:r w:rsidR="00845036" w:rsidRPr="00824867">
        <w:t xml:space="preserve">az </w:t>
      </w:r>
      <w:r w:rsidR="00A00AF0" w:rsidRPr="00824867">
        <w:t>energia, fűtés költsé</w:t>
      </w:r>
      <w:r w:rsidR="00A75510" w:rsidRPr="00824867">
        <w:t>geit (</w:t>
      </w:r>
      <w:r w:rsidR="00D1069F">
        <w:t>346</w:t>
      </w:r>
      <w:r w:rsidR="009E251D">
        <w:t>,-</w:t>
      </w:r>
      <w:r w:rsidR="00D1069F">
        <w:t xml:space="preserve"> </w:t>
      </w:r>
      <w:r w:rsidR="00A00AF0" w:rsidRPr="00824867">
        <w:t>e </w:t>
      </w:r>
      <w:r w:rsidRPr="00824867">
        <w:t>Ft), valamint az egy</w:t>
      </w:r>
      <w:r w:rsidR="00A75510" w:rsidRPr="00824867">
        <w:t>é</w:t>
      </w:r>
      <w:r w:rsidR="00C653C8">
        <w:t>b anyagköltségek összegét (</w:t>
      </w:r>
      <w:r w:rsidR="00D1069F">
        <w:t>382</w:t>
      </w:r>
      <w:r w:rsidR="009E251D">
        <w:t>,-</w:t>
      </w:r>
      <w:r w:rsidR="00A00AF0" w:rsidRPr="00824867">
        <w:t> e </w:t>
      </w:r>
      <w:r w:rsidRPr="00824867">
        <w:t>Ft).</w:t>
      </w:r>
      <w:r w:rsidR="00A75510" w:rsidRPr="00824867">
        <w:t xml:space="preserve"> Az anyagköltsége</w:t>
      </w:r>
      <w:r w:rsidR="00D1069F">
        <w:t xml:space="preserve">k vonatkozásában az éves terv </w:t>
      </w:r>
      <w:r w:rsidR="00D1069F">
        <w:br/>
        <w:t>3.888</w:t>
      </w:r>
      <w:r w:rsidR="009E251D">
        <w:t xml:space="preserve">,- </w:t>
      </w:r>
      <w:r w:rsidR="00A75510" w:rsidRPr="00824867">
        <w:t>e</w:t>
      </w:r>
      <w:r w:rsidR="00824867" w:rsidRPr="00824867">
        <w:t> Ft</w:t>
      </w:r>
      <w:r w:rsidR="00A75510" w:rsidRPr="00824867">
        <w:t xml:space="preserve">, a </w:t>
      </w:r>
      <w:r w:rsidR="00E57BD9">
        <w:t>2011</w:t>
      </w:r>
      <w:r w:rsidR="00824867" w:rsidRPr="00824867">
        <w:t>. </w:t>
      </w:r>
      <w:r w:rsidR="00A75510" w:rsidRPr="00824867">
        <w:t xml:space="preserve">tény </w:t>
      </w:r>
      <w:r w:rsidR="00D1069F">
        <w:t>3.481</w:t>
      </w:r>
      <w:r w:rsidR="009E251D">
        <w:t xml:space="preserve">,- </w:t>
      </w:r>
      <w:r w:rsidR="00A75510" w:rsidRPr="00824867">
        <w:t>e</w:t>
      </w:r>
      <w:r w:rsidR="00824867" w:rsidRPr="00824867">
        <w:t> </w:t>
      </w:r>
      <w:r w:rsidR="00A75510" w:rsidRPr="00824867">
        <w:t xml:space="preserve">Ft volt. Ez a </w:t>
      </w:r>
      <w:r w:rsidR="00A75510" w:rsidRPr="00824867">
        <w:rPr>
          <w:b/>
        </w:rPr>
        <w:t xml:space="preserve">tervezett költség </w:t>
      </w:r>
      <w:r w:rsidR="003F5237">
        <w:rPr>
          <w:b/>
        </w:rPr>
        <w:t>90</w:t>
      </w:r>
      <w:r w:rsidR="003F5237" w:rsidRPr="00824867">
        <w:rPr>
          <w:b/>
        </w:rPr>
        <w:t> </w:t>
      </w:r>
      <w:r w:rsidR="00A75510" w:rsidRPr="00824867">
        <w:rPr>
          <w:b/>
        </w:rPr>
        <w:t>%-</w:t>
      </w:r>
      <w:proofErr w:type="gramStart"/>
      <w:r w:rsidR="00A75510" w:rsidRPr="00824867">
        <w:rPr>
          <w:b/>
        </w:rPr>
        <w:t>a</w:t>
      </w:r>
      <w:proofErr w:type="gramEnd"/>
      <w:r w:rsidR="00A75510" w:rsidRPr="00824867">
        <w:rPr>
          <w:b/>
        </w:rPr>
        <w:t xml:space="preserve">, és </w:t>
      </w:r>
      <w:r w:rsidR="00D1069F">
        <w:rPr>
          <w:b/>
        </w:rPr>
        <w:t>18</w:t>
      </w:r>
      <w:r w:rsidR="005B0647">
        <w:rPr>
          <w:b/>
        </w:rPr>
        <w:t>%-kal  haladta meg az előző év adatait</w:t>
      </w:r>
      <w:r w:rsidR="00A75510" w:rsidRPr="00824867">
        <w:rPr>
          <w:b/>
        </w:rPr>
        <w:t>.</w:t>
      </w:r>
      <w:r w:rsidR="005B0647">
        <w:rPr>
          <w:b/>
        </w:rPr>
        <w:t xml:space="preserve"> </w:t>
      </w:r>
      <w:r w:rsidR="009E251D">
        <w:rPr>
          <w:b/>
        </w:rPr>
        <w:t>A</w:t>
      </w:r>
      <w:r w:rsidR="005B0647">
        <w:rPr>
          <w:b/>
        </w:rPr>
        <w:t xml:space="preserve"> növekedés elsősorban a </w:t>
      </w:r>
      <w:r w:rsidR="00E57BD9">
        <w:rPr>
          <w:b/>
        </w:rPr>
        <w:t>2011</w:t>
      </w:r>
      <w:r w:rsidR="005B0647">
        <w:rPr>
          <w:b/>
        </w:rPr>
        <w:t xml:space="preserve">. évi drasztikus </w:t>
      </w:r>
      <w:r w:rsidR="00BF36B5">
        <w:rPr>
          <w:b/>
        </w:rPr>
        <w:t>üzemanyag-áremeléseknek</w:t>
      </w:r>
      <w:r w:rsidR="005B0647">
        <w:rPr>
          <w:b/>
        </w:rPr>
        <w:t xml:space="preserve"> köszönhető, mely több szolgáltatás árát is jelentősen növelte, de </w:t>
      </w:r>
      <w:r w:rsidR="00D1069F">
        <w:rPr>
          <w:b/>
        </w:rPr>
        <w:t>a tervezett szintet még így sem értük el.</w:t>
      </w:r>
    </w:p>
    <w:p w:rsidR="00761CBE" w:rsidRPr="00824867" w:rsidRDefault="0006334A" w:rsidP="003B0CFD">
      <w:pPr>
        <w:tabs>
          <w:tab w:val="decimal" w:pos="5387"/>
        </w:tabs>
        <w:spacing w:after="120" w:line="276" w:lineRule="auto"/>
        <w:ind w:firstLine="360"/>
        <w:jc w:val="both"/>
      </w:pPr>
      <w:r w:rsidRPr="00824867">
        <w:lastRenderedPageBreak/>
        <w:t xml:space="preserve">Az </w:t>
      </w:r>
      <w:r w:rsidRPr="00824867">
        <w:rPr>
          <w:b/>
          <w:i/>
        </w:rPr>
        <w:t>igénybe vett szolgáltatások</w:t>
      </w:r>
      <w:r w:rsidR="003F5237">
        <w:rPr>
          <w:b/>
          <w:i/>
        </w:rPr>
        <w:t>nak</w:t>
      </w:r>
      <w:r w:rsidRPr="00824867">
        <w:t xml:space="preserve"> széles</w:t>
      </w:r>
      <w:r w:rsidR="003F5237">
        <w:t xml:space="preserve"> a</w:t>
      </w:r>
      <w:r w:rsidRPr="00824867">
        <w:t xml:space="preserve"> </w:t>
      </w:r>
      <w:r w:rsidR="003F5237" w:rsidRPr="00824867">
        <w:t>palettá</w:t>
      </w:r>
      <w:r w:rsidR="003F5237">
        <w:t>ja.</w:t>
      </w:r>
      <w:r w:rsidR="003F5237" w:rsidRPr="00824867">
        <w:t xml:space="preserve"> </w:t>
      </w:r>
      <w:r w:rsidR="00761CBE" w:rsidRPr="00824867">
        <w:t>Az igénybe vett s</w:t>
      </w:r>
      <w:r w:rsidR="00824867" w:rsidRPr="00824867">
        <w:t xml:space="preserve">zolgáltatásokra éves szinten </w:t>
      </w:r>
      <w:r w:rsidR="005B0647">
        <w:t>41</w:t>
      </w:r>
      <w:r w:rsidR="00551944">
        <w:t>.</w:t>
      </w:r>
      <w:r w:rsidR="00D1069F">
        <w:t>837</w:t>
      </w:r>
      <w:r w:rsidR="00782D32">
        <w:t>,</w:t>
      </w:r>
      <w:proofErr w:type="spellStart"/>
      <w:r w:rsidR="00782D32">
        <w:t>-</w:t>
      </w:r>
      <w:r w:rsidR="00761CBE" w:rsidRPr="00824867">
        <w:t>e</w:t>
      </w:r>
      <w:proofErr w:type="spellEnd"/>
      <w:r w:rsidR="00824867" w:rsidRPr="00824867">
        <w:t> </w:t>
      </w:r>
      <w:r w:rsidR="00761CBE" w:rsidRPr="00824867">
        <w:t xml:space="preserve">Ft </w:t>
      </w:r>
      <w:r w:rsidR="00824867" w:rsidRPr="00824867">
        <w:t>–</w:t>
      </w:r>
      <w:proofErr w:type="spellStart"/>
      <w:r w:rsidR="00824867" w:rsidRPr="00824867">
        <w:t>ot</w:t>
      </w:r>
      <w:proofErr w:type="spellEnd"/>
      <w:r w:rsidR="00761CBE" w:rsidRPr="00824867">
        <w:t xml:space="preserve"> tervez</w:t>
      </w:r>
      <w:r w:rsidR="00FF579C" w:rsidRPr="00824867">
        <w:t>tünk</w:t>
      </w:r>
      <w:r w:rsidR="00761CBE" w:rsidRPr="00824867">
        <w:t xml:space="preserve">. </w:t>
      </w:r>
      <w:r w:rsidR="00E57BD9">
        <w:t>2011</w:t>
      </w:r>
      <w:r w:rsidR="00761CBE" w:rsidRPr="00824867">
        <w:t>-ben a ténylegesen kifizetett érték</w:t>
      </w:r>
      <w:r w:rsidR="00761CBE">
        <w:rPr>
          <w:sz w:val="26"/>
          <w:szCs w:val="26"/>
        </w:rPr>
        <w:t xml:space="preserve"> </w:t>
      </w:r>
      <w:r w:rsidR="00D1069F">
        <w:t>26.972</w:t>
      </w:r>
      <w:r w:rsidR="00782D32">
        <w:t>,</w:t>
      </w:r>
      <w:proofErr w:type="spellStart"/>
      <w:r w:rsidR="00782D32">
        <w:t>-</w:t>
      </w:r>
      <w:r w:rsidR="00761CBE" w:rsidRPr="003835AF">
        <w:t>e</w:t>
      </w:r>
      <w:proofErr w:type="spellEnd"/>
      <w:r w:rsidR="00824867" w:rsidRPr="003835AF">
        <w:t> </w:t>
      </w:r>
      <w:r w:rsidR="00761CBE" w:rsidRPr="003835AF">
        <w:t>Ft</w:t>
      </w:r>
      <w:r w:rsidR="00761CBE" w:rsidRPr="00824867">
        <w:t xml:space="preserve">, ami </w:t>
      </w:r>
      <w:r w:rsidR="00761CBE" w:rsidRPr="00824867">
        <w:rPr>
          <w:b/>
        </w:rPr>
        <w:t xml:space="preserve">a tervezettnek a </w:t>
      </w:r>
      <w:r w:rsidR="00D1069F">
        <w:rPr>
          <w:b/>
        </w:rPr>
        <w:t>6</w:t>
      </w:r>
      <w:r w:rsidR="005B0647">
        <w:rPr>
          <w:b/>
        </w:rPr>
        <w:t>5</w:t>
      </w:r>
      <w:r w:rsidR="00824867">
        <w:rPr>
          <w:b/>
        </w:rPr>
        <w:t> </w:t>
      </w:r>
      <w:r w:rsidR="00761CBE" w:rsidRPr="00824867">
        <w:rPr>
          <w:b/>
        </w:rPr>
        <w:t>%-</w:t>
      </w:r>
      <w:proofErr w:type="gramStart"/>
      <w:r w:rsidR="00761CBE" w:rsidRPr="00824867">
        <w:rPr>
          <w:b/>
        </w:rPr>
        <w:t>a</w:t>
      </w:r>
      <w:proofErr w:type="gramEnd"/>
      <w:r w:rsidR="00761CBE" w:rsidRPr="00824867">
        <w:rPr>
          <w:b/>
        </w:rPr>
        <w:t>, és</w:t>
      </w:r>
      <w:r w:rsidR="00472594">
        <w:rPr>
          <w:b/>
        </w:rPr>
        <w:t xml:space="preserve"> mindössze</w:t>
      </w:r>
      <w:r w:rsidR="00761CBE" w:rsidRPr="00824867">
        <w:rPr>
          <w:b/>
        </w:rPr>
        <w:t xml:space="preserve"> </w:t>
      </w:r>
      <w:r w:rsidR="00D1069F">
        <w:rPr>
          <w:b/>
        </w:rPr>
        <w:t>87</w:t>
      </w:r>
      <w:r w:rsidR="00824867">
        <w:rPr>
          <w:b/>
        </w:rPr>
        <w:t> </w:t>
      </w:r>
      <w:r w:rsidR="00761CBE" w:rsidRPr="00824867">
        <w:rPr>
          <w:b/>
        </w:rPr>
        <w:t>%-</w:t>
      </w:r>
      <w:r w:rsidR="00D1069F">
        <w:rPr>
          <w:b/>
        </w:rPr>
        <w:t>a a 2010. évi tényadatnak.</w:t>
      </w:r>
    </w:p>
    <w:p w:rsidR="00761CBE" w:rsidRPr="00824867" w:rsidRDefault="00845036" w:rsidP="003B0CFD">
      <w:pPr>
        <w:spacing w:after="120" w:line="276" w:lineRule="auto"/>
        <w:ind w:firstLine="360"/>
        <w:jc w:val="both"/>
      </w:pPr>
      <w:r w:rsidRPr="00824867">
        <w:t>A költségek a tervhez</w:t>
      </w:r>
      <w:r w:rsidR="00761CBE" w:rsidRPr="00824867">
        <w:t xml:space="preserve"> viszonyított</w:t>
      </w:r>
      <w:r w:rsidR="005B0647">
        <w:t xml:space="preserve"> </w:t>
      </w:r>
      <w:r w:rsidR="00D1069F">
        <w:t>3</w:t>
      </w:r>
      <w:r w:rsidR="005B0647">
        <w:t>5</w:t>
      </w:r>
      <w:r w:rsidR="00782D32">
        <w:t> </w:t>
      </w:r>
      <w:r w:rsidR="005B0647">
        <w:t>%-os</w:t>
      </w:r>
      <w:r w:rsidR="00761CBE" w:rsidRPr="00824867">
        <w:t xml:space="preserve"> csökkenését</w:t>
      </w:r>
      <w:r w:rsidR="005B0647">
        <w:t xml:space="preserve">, a tervezettnél </w:t>
      </w:r>
      <w:r w:rsidR="003F5237">
        <w:t>alacsonyabb</w:t>
      </w:r>
      <w:r w:rsidR="00761CBE" w:rsidRPr="00824867">
        <w:t xml:space="preserve"> ügyv</w:t>
      </w:r>
      <w:r w:rsidR="005B0647">
        <w:t xml:space="preserve">édi díj </w:t>
      </w:r>
      <w:r w:rsidR="003F5237">
        <w:t>és</w:t>
      </w:r>
      <w:r w:rsidR="00305B06">
        <w:t xml:space="preserve"> a költségtakarékos gazdálkodás</w:t>
      </w:r>
      <w:r w:rsidR="003F5237">
        <w:t xml:space="preserve"> eredményezte.</w:t>
      </w:r>
    </w:p>
    <w:p w:rsidR="00824867" w:rsidRPr="00824867" w:rsidRDefault="00761CBE" w:rsidP="003B0CFD">
      <w:pPr>
        <w:spacing w:after="120" w:line="276" w:lineRule="auto"/>
        <w:ind w:firstLine="360"/>
        <w:jc w:val="both"/>
      </w:pPr>
      <w:r w:rsidRPr="00824867">
        <w:t>A legnagyobb költségkategóriákat a fenti táblázat mutatja.</w:t>
      </w:r>
      <w:r w:rsidR="00824867" w:rsidRPr="00824867">
        <w:t xml:space="preserve"> </w:t>
      </w:r>
    </w:p>
    <w:p w:rsidR="00824867" w:rsidRPr="00824867" w:rsidRDefault="00F51785" w:rsidP="003B0CFD">
      <w:pPr>
        <w:spacing w:after="120" w:line="276" w:lineRule="auto"/>
        <w:ind w:firstLine="360"/>
        <w:jc w:val="both"/>
      </w:pPr>
      <w:r w:rsidRPr="00824867">
        <w:t xml:space="preserve">Az </w:t>
      </w:r>
      <w:r w:rsidRPr="00824867">
        <w:rPr>
          <w:b/>
          <w:i/>
        </w:rPr>
        <w:t>egyéb szolgáltatások</w:t>
      </w:r>
      <w:r w:rsidRPr="00824867">
        <w:t xml:space="preserve"> között jellemzően a bankköltségeket, hatósági díjakat mutatjuk ki. Az egyéb szolgáltatások értéke</w:t>
      </w:r>
      <w:r w:rsidR="00824867">
        <w:t xml:space="preserve"> (</w:t>
      </w:r>
      <w:r w:rsidR="00305B06">
        <w:t>998</w:t>
      </w:r>
      <w:r w:rsidR="00824867">
        <w:t>,</w:t>
      </w:r>
      <w:proofErr w:type="spellStart"/>
      <w:r w:rsidR="00481868" w:rsidRPr="00824867">
        <w:t>-e</w:t>
      </w:r>
      <w:proofErr w:type="spellEnd"/>
      <w:r w:rsidR="00824867">
        <w:t> </w:t>
      </w:r>
      <w:r w:rsidR="00481868" w:rsidRPr="00824867">
        <w:t xml:space="preserve">Ft) </w:t>
      </w:r>
      <w:r w:rsidR="00305B06">
        <w:t>66</w:t>
      </w:r>
      <w:r w:rsidR="00824867">
        <w:rPr>
          <w:b/>
        </w:rPr>
        <w:t> </w:t>
      </w:r>
      <w:r w:rsidR="00845036" w:rsidRPr="00824867">
        <w:rPr>
          <w:b/>
        </w:rPr>
        <w:t>%-a tervezettnek</w:t>
      </w:r>
      <w:r w:rsidR="005B0647">
        <w:rPr>
          <w:b/>
        </w:rPr>
        <w:t xml:space="preserve"> és </w:t>
      </w:r>
      <w:r w:rsidR="00305B06">
        <w:rPr>
          <w:b/>
        </w:rPr>
        <w:t>66</w:t>
      </w:r>
      <w:r w:rsidR="00824867">
        <w:rPr>
          <w:b/>
        </w:rPr>
        <w:t> </w:t>
      </w:r>
      <w:r w:rsidR="00481868" w:rsidRPr="00824867">
        <w:rPr>
          <w:b/>
        </w:rPr>
        <w:t>%-</w:t>
      </w:r>
      <w:proofErr w:type="gramStart"/>
      <w:r w:rsidR="00305B06">
        <w:rPr>
          <w:b/>
        </w:rPr>
        <w:t>a</w:t>
      </w:r>
      <w:proofErr w:type="gramEnd"/>
      <w:r w:rsidR="00305B06">
        <w:rPr>
          <w:b/>
        </w:rPr>
        <w:t xml:space="preserve"> a 2010. évi ténynek is.</w:t>
      </w:r>
    </w:p>
    <w:p w:rsidR="0026600F" w:rsidRPr="0026600F" w:rsidRDefault="00B452AD" w:rsidP="0026600F">
      <w:pPr>
        <w:spacing w:after="240" w:line="276" w:lineRule="auto"/>
        <w:ind w:firstLine="357"/>
        <w:jc w:val="both"/>
      </w:pPr>
      <w:r w:rsidRPr="00824867">
        <w:rPr>
          <w:b/>
          <w:i/>
        </w:rPr>
        <w:t>Eladott (közvetített) szolgáltatások érték</w:t>
      </w:r>
      <w:r w:rsidR="00AE19DB" w:rsidRPr="00824867">
        <w:rPr>
          <w:b/>
          <w:i/>
        </w:rPr>
        <w:t xml:space="preserve">e </w:t>
      </w:r>
      <w:r w:rsidR="00305B06">
        <w:rPr>
          <w:b/>
          <w:i/>
        </w:rPr>
        <w:t>31</w:t>
      </w:r>
      <w:r w:rsidR="00AE19DB" w:rsidRPr="00824867">
        <w:t xml:space="preserve">%-kal </w:t>
      </w:r>
      <w:r w:rsidR="005B0647">
        <w:t>alacsonyabb</w:t>
      </w:r>
      <w:r w:rsidR="00AE19DB" w:rsidRPr="00824867">
        <w:t xml:space="preserve"> a t</w:t>
      </w:r>
      <w:r w:rsidR="00845036" w:rsidRPr="00824867">
        <w:t>ervezett</w:t>
      </w:r>
      <w:r w:rsidR="005B0647">
        <w:t>nél</w:t>
      </w:r>
      <w:r w:rsidR="00845036" w:rsidRPr="00824867">
        <w:t xml:space="preserve">. </w:t>
      </w:r>
      <w:r w:rsidR="00845036" w:rsidRPr="00430280">
        <w:t>Az okok</w:t>
      </w:r>
      <w:r w:rsidR="00AE19DB" w:rsidRPr="00430280">
        <w:t xml:space="preserve"> már kifejtésre kerültek a közvetített szolgáltatások bevételeinél</w:t>
      </w:r>
      <w:r w:rsidR="000D0358" w:rsidRPr="00430280">
        <w:t>.</w:t>
      </w:r>
      <w:r w:rsidR="000D0358" w:rsidRPr="00824867">
        <w:t xml:space="preserve"> Az ÉPIT Zrt. tevékenységét megalapozó keretszerződés fő eleme az a tevékenység, amely </w:t>
      </w:r>
      <w:proofErr w:type="gramStart"/>
      <w:r w:rsidR="000D0358" w:rsidRPr="00824867">
        <w:t>ezen</w:t>
      </w:r>
      <w:proofErr w:type="gramEnd"/>
      <w:r w:rsidR="000D0358" w:rsidRPr="00824867">
        <w:t xml:space="preserve"> kategóriába tartozik. A megkezdett beruházások, valamint az éves fenntartások értéke készletszámlán van nyilvántartva egészen addig, amíg a beruházás be nem fejeződik, illetve a fenntartások vonatkozásá</w:t>
      </w:r>
      <w:r w:rsidR="0072088B" w:rsidRPr="00824867">
        <w:t>ban a naptári év véget nem ér</w:t>
      </w:r>
      <w:r w:rsidR="002F2236" w:rsidRPr="00824867">
        <w:t xml:space="preserve">, </w:t>
      </w:r>
      <w:r w:rsidR="0072088B" w:rsidRPr="00824867">
        <w:t>majd a kiszámlázást követően átve</w:t>
      </w:r>
      <w:r w:rsidR="005B0647">
        <w:t>zetésre kerül az eladott szolgáltatások sorra</w:t>
      </w:r>
      <w:r w:rsidR="0072088B" w:rsidRPr="00824867">
        <w:t>.</w:t>
      </w:r>
      <w:r w:rsidR="000D0358" w:rsidRPr="00824867">
        <w:t xml:space="preserve"> </w:t>
      </w:r>
    </w:p>
    <w:p w:rsidR="00F16BFD" w:rsidRPr="00682F8A" w:rsidRDefault="00F16BFD" w:rsidP="001940B9">
      <w:pPr>
        <w:pStyle w:val="Listaszerbekezds"/>
        <w:numPr>
          <w:ilvl w:val="2"/>
          <w:numId w:val="7"/>
        </w:numPr>
        <w:spacing w:after="120" w:line="276" w:lineRule="auto"/>
        <w:ind w:left="851" w:hanging="851"/>
        <w:jc w:val="both"/>
        <w:rPr>
          <w:i/>
        </w:rPr>
      </w:pPr>
      <w:r w:rsidRPr="00682F8A">
        <w:rPr>
          <w:i/>
        </w:rPr>
        <w:t>Személyi jellegű ráfordítások</w:t>
      </w:r>
    </w:p>
    <w:p w:rsidR="00305B06" w:rsidRDefault="002F2236" w:rsidP="003B0CFD">
      <w:pPr>
        <w:spacing w:after="120" w:line="276" w:lineRule="auto"/>
        <w:ind w:firstLine="357"/>
        <w:jc w:val="both"/>
      </w:pPr>
      <w:r w:rsidRPr="00824867">
        <w:t>Ennek a költség</w:t>
      </w:r>
      <w:r w:rsidR="005753E1">
        <w:t>-</w:t>
      </w:r>
      <w:r w:rsidRPr="00824867">
        <w:t>sornak alakulásában az já</w:t>
      </w:r>
      <w:r w:rsidR="0072088B" w:rsidRPr="00824867">
        <w:t xml:space="preserve">tszott szerepet, hogy a </w:t>
      </w:r>
      <w:r w:rsidR="00E57BD9">
        <w:t>2011</w:t>
      </w:r>
      <w:r w:rsidR="00824867">
        <w:t>. </w:t>
      </w:r>
      <w:r w:rsidR="0072088B" w:rsidRPr="00824867">
        <w:t xml:space="preserve">évre tervezett </w:t>
      </w:r>
      <w:r w:rsidR="00D86A67">
        <w:t>vezetői prémium egy részét</w:t>
      </w:r>
      <w:r w:rsidR="0072088B" w:rsidRPr="00824867">
        <w:t xml:space="preserve"> az Igazgatóság </w:t>
      </w:r>
      <w:r w:rsidR="007D3085" w:rsidRPr="00824867">
        <w:t xml:space="preserve">a </w:t>
      </w:r>
      <w:r w:rsidR="00B6429E">
        <w:t>társaság</w:t>
      </w:r>
      <w:r w:rsidR="007D3085" w:rsidRPr="00824867">
        <w:t xml:space="preserve"> nyereségességéhez kötötte</w:t>
      </w:r>
      <w:r w:rsidR="003F5237">
        <w:t>, így ez a rész nem</w:t>
      </w:r>
      <w:r w:rsidR="009E251D">
        <w:t xml:space="preserve"> </w:t>
      </w:r>
      <w:r w:rsidR="00D16A49">
        <w:t>kerülhetett kifizetésre,</w:t>
      </w:r>
      <w:r w:rsidR="009E251D">
        <w:t xml:space="preserve"> </w:t>
      </w:r>
      <w:r w:rsidR="00305B06">
        <w:t>a végrehajtott m</w:t>
      </w:r>
      <w:r w:rsidR="009E251D">
        <w:t>i</w:t>
      </w:r>
      <w:r w:rsidR="00305B06">
        <w:t>nőségi személycserékkel kapcsolatosan a felmondási idő és ki nem vett szabadságok kifizetésével</w:t>
      </w:r>
      <w:r w:rsidR="00DA190F">
        <w:t xml:space="preserve"> bérköltség növekedés keletkezett</w:t>
      </w:r>
      <w:r w:rsidR="00D16A49">
        <w:t xml:space="preserve">, mely a bérköltség </w:t>
      </w:r>
      <w:proofErr w:type="gramStart"/>
      <w:r w:rsidR="00D16A49">
        <w:t>kis mértékű</w:t>
      </w:r>
      <w:proofErr w:type="gramEnd"/>
      <w:r w:rsidR="00D16A49">
        <w:t xml:space="preserve"> emelkedését idézte elő</w:t>
      </w:r>
      <w:r w:rsidR="00DA190F">
        <w:t xml:space="preserve">. </w:t>
      </w:r>
    </w:p>
    <w:p w:rsidR="00824867" w:rsidRPr="00824867" w:rsidRDefault="00305B06" w:rsidP="003B0CFD">
      <w:pPr>
        <w:spacing w:after="120" w:line="276" w:lineRule="auto"/>
        <w:ind w:firstLine="357"/>
        <w:jc w:val="both"/>
      </w:pPr>
      <w:r w:rsidRPr="00824867">
        <w:t xml:space="preserve"> </w:t>
      </w:r>
      <w:r w:rsidR="000D0CCE" w:rsidRPr="00824867">
        <w:t>A személyi jellegű ráfordítások</w:t>
      </w:r>
      <w:r w:rsidR="007E0FED" w:rsidRPr="00824867">
        <w:t xml:space="preserve"> értéke a fenti ok miatt,</w:t>
      </w:r>
      <w:r w:rsidR="000D0CCE" w:rsidRPr="00824867">
        <w:t xml:space="preserve"> </w:t>
      </w:r>
      <w:r w:rsidR="00E57BD9">
        <w:rPr>
          <w:b/>
        </w:rPr>
        <w:t>2011</w:t>
      </w:r>
      <w:r w:rsidR="007E0FED" w:rsidRPr="00824867">
        <w:rPr>
          <w:b/>
        </w:rPr>
        <w:t>-ben</w:t>
      </w:r>
      <w:r w:rsidR="000D0CCE" w:rsidRPr="00824867">
        <w:rPr>
          <w:b/>
        </w:rPr>
        <w:t xml:space="preserve"> </w:t>
      </w:r>
      <w:r>
        <w:rPr>
          <w:b/>
        </w:rPr>
        <w:t>92</w:t>
      </w:r>
      <w:r w:rsidR="000D0CCE" w:rsidRPr="00824867">
        <w:rPr>
          <w:b/>
        </w:rPr>
        <w:t>%-a tervezettnek</w:t>
      </w:r>
      <w:r>
        <w:rPr>
          <w:b/>
        </w:rPr>
        <w:t xml:space="preserve">, és mindössze </w:t>
      </w:r>
      <w:r w:rsidR="00145B31">
        <w:rPr>
          <w:b/>
        </w:rPr>
        <w:t>3,9</w:t>
      </w:r>
      <w:r>
        <w:rPr>
          <w:b/>
        </w:rPr>
        <w:t>%-kal tér el a 2010. évi adattól.</w:t>
      </w:r>
    </w:p>
    <w:p w:rsidR="00824867" w:rsidRDefault="00B55979" w:rsidP="00843B46">
      <w:pPr>
        <w:spacing w:after="120" w:line="276" w:lineRule="auto"/>
        <w:ind w:firstLine="357"/>
        <w:jc w:val="both"/>
      </w:pPr>
      <w:r w:rsidRPr="00824867">
        <w:t>A személyi jellegű egyéb kifizetések főbb tartalma az Igazgatóság és a Felügyelő Bizottság tiszteletdíja, valamint a munkavállalók egyéb juttatásainak (cafeteria) elemei</w:t>
      </w:r>
      <w:r w:rsidR="00D86A67">
        <w:t xml:space="preserve">. </w:t>
      </w:r>
      <w:r w:rsidR="002A3792">
        <w:t>Az előző évhez képest az eltérés mindössze 1,</w:t>
      </w:r>
      <w:r w:rsidR="00B6429E">
        <w:t>4</w:t>
      </w:r>
      <w:r w:rsidR="002A3792">
        <w:t xml:space="preserve">%. </w:t>
      </w:r>
    </w:p>
    <w:p w:rsidR="00D86A67" w:rsidRPr="00824867" w:rsidRDefault="00D86A67" w:rsidP="003B0CFD">
      <w:pPr>
        <w:spacing w:after="120" w:line="276" w:lineRule="auto"/>
        <w:ind w:firstLine="357"/>
        <w:jc w:val="both"/>
      </w:pPr>
      <w:r>
        <w:t xml:space="preserve">A bérjárulékok </w:t>
      </w:r>
      <w:r w:rsidR="00145B31">
        <w:t>előző évhez képest 7</w:t>
      </w:r>
      <w:r w:rsidR="00305B06">
        <w:t xml:space="preserve">%-os </w:t>
      </w:r>
      <w:r w:rsidR="009E251D">
        <w:t xml:space="preserve">emelkedése az adózási rendszer változásával </w:t>
      </w:r>
      <w:r w:rsidR="00305B06">
        <w:t>magyarázható.</w:t>
      </w:r>
    </w:p>
    <w:p w:rsidR="00BD6EC1" w:rsidRPr="00824867" w:rsidRDefault="00BD6EC1" w:rsidP="003B0CFD">
      <w:pPr>
        <w:spacing w:line="276" w:lineRule="auto"/>
        <w:jc w:val="both"/>
      </w:pPr>
      <w:r w:rsidRPr="00824867">
        <w:t>Az alábbiakban bemutatjuk a személyi jellegű ráfordítások alakulását</w:t>
      </w:r>
      <w:r w:rsidR="00AA1123" w:rsidRPr="00824867">
        <w:t>:</w:t>
      </w:r>
    </w:p>
    <w:p w:rsidR="00BD6EC1" w:rsidRPr="000D0358" w:rsidRDefault="000D0358" w:rsidP="00824867">
      <w:pPr>
        <w:spacing w:line="360" w:lineRule="auto"/>
        <w:ind w:right="72"/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>a</w:t>
      </w:r>
      <w:r w:rsidR="00824867">
        <w:rPr>
          <w:sz w:val="18"/>
          <w:szCs w:val="18"/>
        </w:rPr>
        <w:t>datok</w:t>
      </w:r>
      <w:proofErr w:type="gramEnd"/>
      <w:r w:rsidR="00824867">
        <w:rPr>
          <w:sz w:val="18"/>
          <w:szCs w:val="18"/>
        </w:rPr>
        <w:t xml:space="preserve"> e </w:t>
      </w:r>
      <w:r w:rsidR="00BD6EC1" w:rsidRPr="000D0358">
        <w:rPr>
          <w:sz w:val="18"/>
          <w:szCs w:val="18"/>
        </w:rPr>
        <w:t>Ft</w:t>
      </w:r>
    </w:p>
    <w:tbl>
      <w:tblPr>
        <w:tblW w:w="919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35"/>
        <w:gridCol w:w="1260"/>
        <w:gridCol w:w="1080"/>
        <w:gridCol w:w="900"/>
        <w:gridCol w:w="1260"/>
        <w:gridCol w:w="1260"/>
      </w:tblGrid>
      <w:tr w:rsidR="00A13742" w:rsidRPr="003B0CFD">
        <w:trPr>
          <w:trHeight w:val="315"/>
        </w:trPr>
        <w:tc>
          <w:tcPr>
            <w:tcW w:w="3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CC"/>
            <w:vAlign w:val="center"/>
          </w:tcPr>
          <w:p w:rsidR="00A13742" w:rsidRPr="003B0CFD" w:rsidRDefault="00A13742">
            <w:pPr>
              <w:jc w:val="center"/>
              <w:rPr>
                <w:i/>
                <w:iCs/>
                <w:color w:val="000000"/>
              </w:rPr>
            </w:pPr>
            <w:r w:rsidRPr="003B0CFD">
              <w:rPr>
                <w:i/>
                <w:iCs/>
                <w:color w:val="000000"/>
              </w:rPr>
              <w:t>Megnevezés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CC"/>
            <w:vAlign w:val="center"/>
          </w:tcPr>
          <w:p w:rsidR="00A13742" w:rsidRPr="003B0CFD" w:rsidRDefault="00E57BD9" w:rsidP="001C264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2010</w:t>
            </w:r>
            <w:r w:rsidR="00A13742" w:rsidRPr="003B0CFD">
              <w:rPr>
                <w:b/>
                <w:bCs/>
                <w:i/>
                <w:iCs/>
                <w:color w:val="000000"/>
              </w:rPr>
              <w:t>. tény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CFFCC"/>
            <w:noWrap/>
            <w:vAlign w:val="bottom"/>
          </w:tcPr>
          <w:p w:rsidR="00A13742" w:rsidRPr="003B0CFD" w:rsidRDefault="00E57BD9" w:rsidP="001C264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2011</w:t>
            </w:r>
            <w:r w:rsidR="00A13742" w:rsidRPr="003B0CFD">
              <w:rPr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A13742" w:rsidRPr="003B0CFD" w:rsidRDefault="00E57BD9" w:rsidP="001C264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2011</w:t>
            </w:r>
            <w:r w:rsidR="00A13742" w:rsidRPr="003B0CFD">
              <w:rPr>
                <w:b/>
                <w:bCs/>
                <w:i/>
                <w:iCs/>
                <w:color w:val="000000"/>
              </w:rPr>
              <w:t>. tény</w:t>
            </w:r>
            <w:r w:rsidR="00B27882" w:rsidRPr="003B0CFD">
              <w:rPr>
                <w:b/>
                <w:bCs/>
                <w:i/>
                <w:iCs/>
                <w:color w:val="000000"/>
              </w:rPr>
              <w:t>/</w:t>
            </w:r>
            <w:r w:rsidR="00A13742" w:rsidRPr="003B0CFD">
              <w:rPr>
                <w:b/>
                <w:bCs/>
                <w:i/>
                <w:iCs/>
                <w:color w:val="000000"/>
              </w:rPr>
              <w:br/>
            </w:r>
            <w:r>
              <w:rPr>
                <w:b/>
                <w:bCs/>
                <w:i/>
                <w:iCs/>
                <w:color w:val="000000"/>
              </w:rPr>
              <w:t>2010</w:t>
            </w:r>
            <w:r w:rsidR="00A13742" w:rsidRPr="003B0CFD">
              <w:rPr>
                <w:b/>
                <w:bCs/>
                <w:i/>
                <w:iCs/>
                <w:color w:val="000000"/>
              </w:rPr>
              <w:t>.</w:t>
            </w:r>
            <w:r w:rsidR="005753E1" w:rsidRPr="003B0CFD">
              <w:rPr>
                <w:b/>
                <w:bCs/>
                <w:i/>
                <w:iCs/>
                <w:color w:val="000000"/>
              </w:rPr>
              <w:t>tény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A13742" w:rsidRPr="003B0CFD" w:rsidRDefault="00E57BD9" w:rsidP="001C264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2011</w:t>
            </w:r>
            <w:r w:rsidR="00A13742" w:rsidRPr="003B0CFD">
              <w:rPr>
                <w:b/>
                <w:bCs/>
                <w:i/>
                <w:iCs/>
                <w:color w:val="000000"/>
              </w:rPr>
              <w:t>. tény/</w:t>
            </w:r>
            <w:r w:rsidR="00A13742" w:rsidRPr="003B0CFD">
              <w:rPr>
                <w:b/>
                <w:bCs/>
                <w:i/>
                <w:iCs/>
                <w:color w:val="000000"/>
              </w:rPr>
              <w:br/>
            </w:r>
            <w:r>
              <w:rPr>
                <w:b/>
                <w:bCs/>
                <w:i/>
                <w:iCs/>
                <w:color w:val="000000"/>
              </w:rPr>
              <w:t>2011</w:t>
            </w:r>
            <w:r w:rsidR="00A13742" w:rsidRPr="003B0CFD">
              <w:rPr>
                <w:b/>
                <w:bCs/>
                <w:i/>
                <w:iCs/>
                <w:color w:val="000000"/>
              </w:rPr>
              <w:t>. terv</w:t>
            </w:r>
          </w:p>
        </w:tc>
      </w:tr>
      <w:tr w:rsidR="00B27882" w:rsidRPr="003B0CFD">
        <w:trPr>
          <w:trHeight w:val="300"/>
        </w:trPr>
        <w:tc>
          <w:tcPr>
            <w:tcW w:w="34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27882" w:rsidRPr="003B0CFD" w:rsidRDefault="00B27882">
            <w:pPr>
              <w:rPr>
                <w:i/>
                <w:iCs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27882" w:rsidRPr="003B0CFD" w:rsidRDefault="00B27882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27882" w:rsidRPr="003B0CFD" w:rsidRDefault="00B27882" w:rsidP="001C264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B0CFD">
              <w:rPr>
                <w:b/>
                <w:bCs/>
                <w:i/>
                <w:iCs/>
                <w:color w:val="000000"/>
              </w:rPr>
              <w:t>terv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B27882" w:rsidRPr="003B0CFD" w:rsidRDefault="00B27882" w:rsidP="001C264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B0CFD">
              <w:rPr>
                <w:b/>
                <w:bCs/>
                <w:i/>
                <w:iCs/>
                <w:color w:val="000000"/>
              </w:rPr>
              <w:t xml:space="preserve">tény </w:t>
            </w: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27882" w:rsidRPr="003B0CFD" w:rsidRDefault="00B27882" w:rsidP="006E6680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27882" w:rsidRPr="003B0CFD" w:rsidRDefault="00B27882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653830" w:rsidRPr="003B0CFD">
        <w:trPr>
          <w:trHeight w:val="369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E6680" w:rsidRPr="003B0CFD" w:rsidRDefault="006E6680">
            <w:pPr>
              <w:rPr>
                <w:b/>
                <w:bCs/>
                <w:i/>
                <w:iCs/>
              </w:rPr>
            </w:pPr>
            <w:r w:rsidRPr="003B0CFD">
              <w:rPr>
                <w:b/>
                <w:bCs/>
                <w:i/>
                <w:iCs/>
              </w:rPr>
              <w:t>SZEMÉLYI JELLEGŰ RÁFORDÍTÁSOK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E6680" w:rsidRPr="003B0CFD" w:rsidRDefault="00145B31" w:rsidP="009E251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86 276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6680" w:rsidRPr="003B0CFD" w:rsidRDefault="00D1069F" w:rsidP="009E251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97 587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E6680" w:rsidRPr="003B0CFD" w:rsidRDefault="00D1069F" w:rsidP="009E251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89 704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E6680" w:rsidRPr="003B0CFD" w:rsidRDefault="00145B31" w:rsidP="009E251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103,9</w:t>
            </w:r>
            <w:r w:rsidR="00D1069F">
              <w:rPr>
                <w:b/>
                <w:bCs/>
                <w:i/>
                <w:iCs/>
                <w:color w:val="000000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E6680" w:rsidRPr="003B0CFD" w:rsidRDefault="00D1069F" w:rsidP="007146E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</w:t>
            </w:r>
            <w:r w:rsidR="007146E2">
              <w:rPr>
                <w:b/>
                <w:bCs/>
                <w:i/>
                <w:iCs/>
                <w:color w:val="000000"/>
              </w:rPr>
              <w:t>1,9</w:t>
            </w:r>
            <w:r>
              <w:rPr>
                <w:b/>
                <w:bCs/>
                <w:i/>
                <w:iCs/>
                <w:color w:val="000000"/>
              </w:rPr>
              <w:t>%</w:t>
            </w:r>
          </w:p>
        </w:tc>
      </w:tr>
      <w:tr w:rsidR="00653830" w:rsidRPr="003B0CFD">
        <w:trPr>
          <w:trHeight w:val="369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99FF"/>
            <w:noWrap/>
            <w:tcMar>
              <w:left w:w="198" w:type="dxa"/>
            </w:tcMar>
            <w:vAlign w:val="bottom"/>
          </w:tcPr>
          <w:p w:rsidR="006E6680" w:rsidRPr="007A7F1E" w:rsidRDefault="006E6680">
            <w:pPr>
              <w:rPr>
                <w:b/>
                <w:color w:val="FFFFFF"/>
              </w:rPr>
            </w:pPr>
            <w:r w:rsidRPr="007A7F1E">
              <w:rPr>
                <w:b/>
                <w:color w:val="FFFFFF"/>
              </w:rPr>
              <w:t>ebből Bér</w:t>
            </w:r>
            <w:r w:rsidR="00A13742" w:rsidRPr="007A7F1E">
              <w:rPr>
                <w:b/>
                <w:color w:val="FFFFFF"/>
              </w:rPr>
              <w:t xml:space="preserve"> </w:t>
            </w:r>
            <w:proofErr w:type="spellStart"/>
            <w:r w:rsidRPr="007A7F1E">
              <w:rPr>
                <w:b/>
                <w:color w:val="FFFFFF"/>
              </w:rPr>
              <w:t>ktg</w:t>
            </w:r>
            <w:proofErr w:type="spellEnd"/>
            <w:r w:rsidRPr="007A7F1E">
              <w:rPr>
                <w:b/>
                <w:color w:val="FFFFFF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99FF"/>
            <w:noWrap/>
            <w:vAlign w:val="center"/>
          </w:tcPr>
          <w:p w:rsidR="006E6680" w:rsidRPr="007A7F1E" w:rsidRDefault="00145B31" w:rsidP="009E251D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49 497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6E6680" w:rsidRPr="007A7F1E" w:rsidRDefault="00D1069F" w:rsidP="009E251D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57 281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99FF"/>
            <w:noWrap/>
            <w:vAlign w:val="center"/>
          </w:tcPr>
          <w:p w:rsidR="006E6680" w:rsidRPr="007A7F1E" w:rsidRDefault="00D1069F" w:rsidP="009E251D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51 170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99FF"/>
            <w:noWrap/>
            <w:vAlign w:val="center"/>
          </w:tcPr>
          <w:p w:rsidR="006E6680" w:rsidRPr="007A7F1E" w:rsidRDefault="00D1069F" w:rsidP="00145B31">
            <w:pPr>
              <w:jc w:val="center"/>
              <w:rPr>
                <w:b/>
                <w:i/>
                <w:iCs/>
                <w:color w:val="FFFFFF"/>
              </w:rPr>
            </w:pPr>
            <w:r>
              <w:rPr>
                <w:b/>
                <w:i/>
                <w:iCs/>
                <w:color w:val="FFFFFF"/>
              </w:rPr>
              <w:t>10</w:t>
            </w:r>
            <w:r w:rsidR="00145B31">
              <w:rPr>
                <w:b/>
                <w:i/>
                <w:iCs/>
                <w:color w:val="FFFFFF"/>
              </w:rPr>
              <w:t>3</w:t>
            </w:r>
            <w:r>
              <w:rPr>
                <w:b/>
                <w:i/>
                <w:iCs/>
                <w:color w:val="FFFFFF"/>
              </w:rPr>
              <w:t>,</w:t>
            </w:r>
            <w:r w:rsidR="00145B31">
              <w:rPr>
                <w:b/>
                <w:i/>
                <w:iCs/>
                <w:color w:val="FFFFFF"/>
              </w:rPr>
              <w:t>3</w:t>
            </w:r>
            <w:r>
              <w:rPr>
                <w:b/>
                <w:i/>
                <w:iCs/>
                <w:color w:val="FFFFFF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99FF"/>
            <w:noWrap/>
            <w:vAlign w:val="center"/>
          </w:tcPr>
          <w:p w:rsidR="006E6680" w:rsidRPr="007A7F1E" w:rsidRDefault="00D1069F" w:rsidP="009E251D">
            <w:pPr>
              <w:jc w:val="center"/>
              <w:rPr>
                <w:b/>
                <w:i/>
                <w:iCs/>
                <w:color w:val="FFFFFF"/>
              </w:rPr>
            </w:pPr>
            <w:r>
              <w:rPr>
                <w:b/>
                <w:i/>
                <w:iCs/>
                <w:color w:val="FFFFFF"/>
              </w:rPr>
              <w:t>89%</w:t>
            </w:r>
          </w:p>
        </w:tc>
      </w:tr>
      <w:tr w:rsidR="00653830" w:rsidRPr="003B0CFD">
        <w:trPr>
          <w:trHeight w:val="369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99FF"/>
            <w:noWrap/>
            <w:tcMar>
              <w:left w:w="198" w:type="dxa"/>
            </w:tcMar>
            <w:vAlign w:val="bottom"/>
          </w:tcPr>
          <w:p w:rsidR="006E6680" w:rsidRPr="007A7F1E" w:rsidRDefault="006E6680">
            <w:pPr>
              <w:rPr>
                <w:b/>
                <w:color w:val="FFFFFF"/>
              </w:rPr>
            </w:pPr>
            <w:r w:rsidRPr="007A7F1E">
              <w:rPr>
                <w:b/>
                <w:color w:val="FFFFFF"/>
              </w:rPr>
              <w:t xml:space="preserve">ebből Személyi jellegű egyéb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99FF"/>
            <w:noWrap/>
            <w:vAlign w:val="center"/>
          </w:tcPr>
          <w:p w:rsidR="006E6680" w:rsidRPr="007A7F1E" w:rsidRDefault="00D1069F" w:rsidP="009E251D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  <w:r w:rsidR="00145B31">
              <w:rPr>
                <w:b/>
                <w:color w:val="FFFFFF"/>
              </w:rPr>
              <w:t>8 689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6E6680" w:rsidRPr="007A7F1E" w:rsidRDefault="00D1069F" w:rsidP="009E251D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18 784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99FF"/>
            <w:noWrap/>
            <w:vAlign w:val="center"/>
          </w:tcPr>
          <w:p w:rsidR="006E6680" w:rsidRPr="007A7F1E" w:rsidRDefault="00D1069F" w:rsidP="009E251D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19 0</w:t>
            </w:r>
            <w:r w:rsidR="00145B31">
              <w:rPr>
                <w:b/>
                <w:color w:val="FFFFFF"/>
              </w:rPr>
              <w:t>3</w:t>
            </w:r>
            <w:r>
              <w:rPr>
                <w:b/>
                <w:color w:val="FFFFFF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99FF"/>
            <w:noWrap/>
            <w:vAlign w:val="center"/>
          </w:tcPr>
          <w:p w:rsidR="006E6680" w:rsidRPr="007A7F1E" w:rsidRDefault="00D1069F" w:rsidP="00145B31">
            <w:pPr>
              <w:jc w:val="center"/>
              <w:rPr>
                <w:b/>
                <w:i/>
                <w:iCs/>
                <w:color w:val="FFFFFF"/>
              </w:rPr>
            </w:pPr>
            <w:r>
              <w:rPr>
                <w:b/>
                <w:i/>
                <w:iCs/>
                <w:color w:val="FFFFFF"/>
              </w:rPr>
              <w:t>101,</w:t>
            </w:r>
            <w:r w:rsidR="00145B31">
              <w:rPr>
                <w:b/>
                <w:i/>
                <w:iCs/>
                <w:color w:val="FFFFFF"/>
              </w:rPr>
              <w:t>3</w:t>
            </w:r>
            <w:r>
              <w:rPr>
                <w:b/>
                <w:i/>
                <w:iCs/>
                <w:color w:val="FFFFFF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99FF"/>
            <w:noWrap/>
            <w:vAlign w:val="center"/>
          </w:tcPr>
          <w:p w:rsidR="006E6680" w:rsidRPr="007A7F1E" w:rsidRDefault="00D1069F" w:rsidP="009E251D">
            <w:pPr>
              <w:jc w:val="center"/>
              <w:rPr>
                <w:b/>
                <w:i/>
                <w:iCs/>
                <w:color w:val="FFFFFF"/>
              </w:rPr>
            </w:pPr>
            <w:r>
              <w:rPr>
                <w:b/>
                <w:i/>
                <w:iCs/>
                <w:color w:val="FFFFFF"/>
              </w:rPr>
              <w:t>101,4%</w:t>
            </w:r>
          </w:p>
        </w:tc>
      </w:tr>
      <w:tr w:rsidR="00653830" w:rsidRPr="003B0CFD">
        <w:trPr>
          <w:trHeight w:val="369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tcMar>
              <w:left w:w="198" w:type="dxa"/>
            </w:tcMar>
            <w:vAlign w:val="bottom"/>
          </w:tcPr>
          <w:p w:rsidR="006E6680" w:rsidRPr="007A7F1E" w:rsidRDefault="006E6680">
            <w:pPr>
              <w:rPr>
                <w:b/>
                <w:bCs/>
                <w:i/>
                <w:iCs/>
                <w:color w:val="FFFFFF"/>
              </w:rPr>
            </w:pPr>
            <w:r w:rsidRPr="007A7F1E">
              <w:rPr>
                <w:b/>
                <w:color w:val="FFFFFF"/>
              </w:rPr>
              <w:t>ebből Bérjárulékok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6E6680" w:rsidRPr="007A7F1E" w:rsidRDefault="00D1069F" w:rsidP="009E251D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18 </w:t>
            </w:r>
            <w:r w:rsidR="00145B31">
              <w:rPr>
                <w:b/>
                <w:color w:val="FFFFFF"/>
              </w:rPr>
              <w:t>089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6E6680" w:rsidRPr="007A7F1E" w:rsidRDefault="00D1069F" w:rsidP="009E251D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21 522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6E6680" w:rsidRPr="007A7F1E" w:rsidRDefault="00D1069F" w:rsidP="009E251D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19 496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99FF"/>
            <w:noWrap/>
            <w:vAlign w:val="center"/>
          </w:tcPr>
          <w:p w:rsidR="006E6680" w:rsidRPr="007A7F1E" w:rsidRDefault="00D1069F" w:rsidP="00145B31">
            <w:pPr>
              <w:jc w:val="center"/>
              <w:rPr>
                <w:b/>
                <w:i/>
                <w:iCs/>
                <w:color w:val="FFFFFF"/>
              </w:rPr>
            </w:pPr>
            <w:r>
              <w:rPr>
                <w:b/>
                <w:i/>
                <w:iCs/>
                <w:color w:val="FFFFFF"/>
              </w:rPr>
              <w:t>10</w:t>
            </w:r>
            <w:r w:rsidR="00145B31">
              <w:rPr>
                <w:b/>
                <w:i/>
                <w:iCs/>
                <w:color w:val="FFFFFF"/>
              </w:rPr>
              <w:t>7,7</w:t>
            </w:r>
            <w:r>
              <w:rPr>
                <w:b/>
                <w:i/>
                <w:iCs/>
                <w:color w:val="FFFFFF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99FF"/>
            <w:noWrap/>
            <w:vAlign w:val="center"/>
          </w:tcPr>
          <w:p w:rsidR="006E6680" w:rsidRPr="007A7F1E" w:rsidRDefault="00D1069F" w:rsidP="009E251D">
            <w:pPr>
              <w:jc w:val="center"/>
              <w:rPr>
                <w:b/>
                <w:i/>
                <w:iCs/>
                <w:color w:val="FFFFFF"/>
              </w:rPr>
            </w:pPr>
            <w:r>
              <w:rPr>
                <w:b/>
                <w:i/>
                <w:iCs/>
                <w:color w:val="FFFFFF"/>
              </w:rPr>
              <w:t>76,7%</w:t>
            </w:r>
          </w:p>
        </w:tc>
      </w:tr>
    </w:tbl>
    <w:p w:rsidR="0074202D" w:rsidRPr="0074202D" w:rsidRDefault="00D43286" w:rsidP="001940B9">
      <w:pPr>
        <w:pStyle w:val="Listaszerbekezds"/>
        <w:numPr>
          <w:ilvl w:val="2"/>
          <w:numId w:val="8"/>
        </w:numPr>
        <w:spacing w:before="360" w:after="120" w:line="276" w:lineRule="auto"/>
        <w:ind w:left="709" w:hanging="709"/>
        <w:jc w:val="both"/>
        <w:rPr>
          <w:i/>
        </w:rPr>
      </w:pPr>
      <w:r w:rsidRPr="0026600F">
        <w:rPr>
          <w:i/>
        </w:rPr>
        <w:lastRenderedPageBreak/>
        <w:t xml:space="preserve"> Értékcsökkenési leírás</w:t>
      </w:r>
    </w:p>
    <w:p w:rsidR="00D43286" w:rsidRDefault="00D43286" w:rsidP="003B0CFD">
      <w:pPr>
        <w:spacing w:after="360" w:line="276" w:lineRule="auto"/>
        <w:ind w:firstLine="360"/>
        <w:jc w:val="both"/>
      </w:pPr>
      <w:r>
        <w:t>Az É</w:t>
      </w:r>
      <w:r w:rsidR="00396FB3">
        <w:t>PIT </w:t>
      </w:r>
      <w:r w:rsidR="008D7DE1">
        <w:t>Zrt nem rendelkezik jelentős</w:t>
      </w:r>
      <w:r>
        <w:t xml:space="preserve"> tárgyi eszköz állománnyal. A</w:t>
      </w:r>
      <w:r w:rsidR="008D7DE1">
        <w:t xml:space="preserve"> társaság a</w:t>
      </w:r>
      <w:r>
        <w:t xml:space="preserve"> napi munkához szük</w:t>
      </w:r>
      <w:r w:rsidR="008D7DE1">
        <w:t>séges tárgyi eszközöket vásárolj</w:t>
      </w:r>
      <w:r>
        <w:t>a meg, és a Számviteli törvény szerinti amortizációval csökkenti a</w:t>
      </w:r>
      <w:r w:rsidR="00396FB3">
        <w:t xml:space="preserve">zok értékét. </w:t>
      </w:r>
      <w:r w:rsidR="00E57BD9">
        <w:t>2011</w:t>
      </w:r>
      <w:r w:rsidR="00A13742">
        <w:t>. </w:t>
      </w:r>
      <w:r w:rsidR="003E100B">
        <w:t>évben eszközbeszerzés nem történt, íg</w:t>
      </w:r>
      <w:r w:rsidR="00E8781B">
        <w:t>y az üzleti tervben szereplő 1</w:t>
      </w:r>
      <w:r w:rsidR="00551944">
        <w:t>.</w:t>
      </w:r>
      <w:r w:rsidR="00E8781B">
        <w:t>255</w:t>
      </w:r>
      <w:r w:rsidR="00396FB3">
        <w:t> millió </w:t>
      </w:r>
      <w:r w:rsidR="003E100B">
        <w:t>Ft értékcsökkenési leírás</w:t>
      </w:r>
      <w:r>
        <w:t xml:space="preserve"> tervezett</w:t>
      </w:r>
      <w:r w:rsidR="008D7DE1">
        <w:t xml:space="preserve"> értékét a tényleges érték</w:t>
      </w:r>
      <w:r w:rsidR="00E8781B">
        <w:t>csökkenés nem haladta meg.</w:t>
      </w:r>
      <w:r w:rsidR="003E100B">
        <w:t xml:space="preserve"> A </w:t>
      </w:r>
      <w:r w:rsidR="003E100B" w:rsidRPr="00352A72">
        <w:rPr>
          <w:b/>
        </w:rPr>
        <w:t xml:space="preserve">költség csökkenés mértéke </w:t>
      </w:r>
      <w:r w:rsidR="00305B06">
        <w:rPr>
          <w:b/>
        </w:rPr>
        <w:t>3</w:t>
      </w:r>
      <w:r w:rsidR="00A13742">
        <w:rPr>
          <w:b/>
        </w:rPr>
        <w:t> </w:t>
      </w:r>
      <w:r w:rsidR="003E100B" w:rsidRPr="00352A72">
        <w:rPr>
          <w:b/>
        </w:rPr>
        <w:t>%</w:t>
      </w:r>
      <w:r w:rsidR="003E100B">
        <w:t xml:space="preserve">, a bázishoz, </w:t>
      </w:r>
      <w:r w:rsidR="00305B06">
        <w:t xml:space="preserve">és 6%-os </w:t>
      </w:r>
      <w:r w:rsidR="003E100B">
        <w:t>a tervhez viszonyítottan.</w:t>
      </w:r>
    </w:p>
    <w:p w:rsidR="004201C3" w:rsidRDefault="00327170" w:rsidP="001940B9">
      <w:pPr>
        <w:pStyle w:val="Listaszerbekezds"/>
        <w:numPr>
          <w:ilvl w:val="2"/>
          <w:numId w:val="9"/>
        </w:numPr>
        <w:spacing w:after="120" w:line="276" w:lineRule="auto"/>
        <w:ind w:left="709" w:hanging="709"/>
        <w:jc w:val="both"/>
        <w:rPr>
          <w:i/>
        </w:rPr>
      </w:pPr>
      <w:r w:rsidRPr="0026600F">
        <w:rPr>
          <w:i/>
        </w:rPr>
        <w:t>Egyéb ráfordítások</w:t>
      </w:r>
    </w:p>
    <w:p w:rsidR="004201C3" w:rsidRPr="004201C3" w:rsidRDefault="004201C3" w:rsidP="004201C3">
      <w:pPr>
        <w:spacing w:after="360" w:line="276" w:lineRule="auto"/>
        <w:ind w:firstLine="426"/>
        <w:jc w:val="both"/>
      </w:pPr>
      <w:r>
        <w:t xml:space="preserve">Jellemzően itt mutatjuk ki az értékesített tárgyi eszközök és immateriális javak kivezetésre kerülő értékét, a különféle engedményeket, a központi alapokkal elszámolandó adókat, az adott támogatásokat, és a képzett céltartalékokat. Az egyéb ráfordítások között a legjelentősebb tétel az iparűzési adó, valamint súlyadó összege 402 ezer forint. Az ráfordítások értéke a </w:t>
      </w:r>
      <w:r w:rsidRPr="004201C3">
        <w:rPr>
          <w:b/>
        </w:rPr>
        <w:t>tervhez és a bázis évhez viszonyítottan is jelentős csökkenést jelent.</w:t>
      </w:r>
      <w:r>
        <w:t xml:space="preserve"> Oka, hogy a terv magasabb iparűzési adóval számolt. </w:t>
      </w:r>
    </w:p>
    <w:p w:rsidR="00923FA8" w:rsidRPr="00923FA8" w:rsidRDefault="00746A21" w:rsidP="001940B9">
      <w:pPr>
        <w:pStyle w:val="Listaszerbekezds"/>
        <w:numPr>
          <w:ilvl w:val="1"/>
          <w:numId w:val="9"/>
        </w:numPr>
        <w:tabs>
          <w:tab w:val="left" w:pos="709"/>
        </w:tabs>
        <w:spacing w:after="120" w:line="276" w:lineRule="auto"/>
        <w:ind w:left="709" w:hanging="709"/>
        <w:jc w:val="both"/>
        <w:rPr>
          <w:i/>
        </w:rPr>
      </w:pPr>
      <w:r w:rsidRPr="004201C3">
        <w:rPr>
          <w:i/>
        </w:rPr>
        <w:t>Üzemi, üzleti tevékenység eredménye</w:t>
      </w:r>
    </w:p>
    <w:p w:rsidR="00B55979" w:rsidRPr="00B55979" w:rsidRDefault="00B55979" w:rsidP="003B0CFD">
      <w:pPr>
        <w:spacing w:line="276" w:lineRule="auto"/>
        <w:jc w:val="both"/>
      </w:pPr>
      <w:r>
        <w:t xml:space="preserve">Az </w:t>
      </w:r>
      <w:r w:rsidRPr="00B55979">
        <w:t>üzemi tevékenység er</w:t>
      </w:r>
      <w:r>
        <w:t>edményének alakulását, az alábbi táblázat mutatja.</w:t>
      </w:r>
    </w:p>
    <w:p w:rsidR="00B55979" w:rsidRPr="00B55979" w:rsidRDefault="00B55979" w:rsidP="00AC3E7C">
      <w:pPr>
        <w:spacing w:line="360" w:lineRule="auto"/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>adatok</w:t>
      </w:r>
      <w:proofErr w:type="gramEnd"/>
      <w:r>
        <w:rPr>
          <w:sz w:val="18"/>
          <w:szCs w:val="18"/>
        </w:rPr>
        <w:t xml:space="preserve"> e</w:t>
      </w:r>
      <w:r w:rsidR="00A13742">
        <w:rPr>
          <w:sz w:val="18"/>
          <w:szCs w:val="18"/>
        </w:rPr>
        <w:t> </w:t>
      </w:r>
      <w:r>
        <w:rPr>
          <w:sz w:val="18"/>
          <w:szCs w:val="18"/>
        </w:rPr>
        <w:t>Ft-ban</w:t>
      </w:r>
    </w:p>
    <w:tbl>
      <w:tblPr>
        <w:tblW w:w="9573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795"/>
        <w:gridCol w:w="1154"/>
        <w:gridCol w:w="1145"/>
        <w:gridCol w:w="1039"/>
        <w:gridCol w:w="1220"/>
        <w:gridCol w:w="1220"/>
      </w:tblGrid>
      <w:tr w:rsidR="00A13742" w:rsidRPr="003B0CFD" w:rsidTr="003B6B37">
        <w:trPr>
          <w:trHeight w:val="315"/>
        </w:trPr>
        <w:tc>
          <w:tcPr>
            <w:tcW w:w="37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CC"/>
            <w:vAlign w:val="center"/>
          </w:tcPr>
          <w:p w:rsidR="00A13742" w:rsidRPr="003B0CFD" w:rsidRDefault="00A13742">
            <w:pPr>
              <w:jc w:val="center"/>
              <w:rPr>
                <w:i/>
                <w:iCs/>
                <w:color w:val="000000"/>
              </w:rPr>
            </w:pPr>
            <w:r w:rsidRPr="003B0CFD">
              <w:rPr>
                <w:i/>
                <w:iCs/>
                <w:color w:val="000000"/>
              </w:rPr>
              <w:t>Megnevezés</w:t>
            </w:r>
          </w:p>
        </w:tc>
        <w:tc>
          <w:tcPr>
            <w:tcW w:w="1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CC"/>
            <w:vAlign w:val="center"/>
          </w:tcPr>
          <w:p w:rsidR="00A13742" w:rsidRPr="003B0CFD" w:rsidRDefault="00E57BD9" w:rsidP="001C264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2010</w:t>
            </w:r>
            <w:r w:rsidR="00A13742" w:rsidRPr="003B0CFD">
              <w:rPr>
                <w:b/>
                <w:bCs/>
                <w:i/>
                <w:iCs/>
                <w:color w:val="000000"/>
              </w:rPr>
              <w:t>. tény</w:t>
            </w:r>
          </w:p>
        </w:tc>
        <w:tc>
          <w:tcPr>
            <w:tcW w:w="21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CFFCC"/>
            <w:noWrap/>
            <w:vAlign w:val="bottom"/>
          </w:tcPr>
          <w:p w:rsidR="00A13742" w:rsidRPr="003B0CFD" w:rsidRDefault="00E57BD9" w:rsidP="001C264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2011</w:t>
            </w:r>
            <w:r w:rsidR="00A13742" w:rsidRPr="003B0CFD">
              <w:rPr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A13742" w:rsidRPr="003B0CFD" w:rsidRDefault="00E57BD9" w:rsidP="001C264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2011</w:t>
            </w:r>
            <w:r w:rsidR="00A13742" w:rsidRPr="003B0CFD">
              <w:rPr>
                <w:b/>
                <w:bCs/>
                <w:i/>
                <w:iCs/>
                <w:color w:val="000000"/>
              </w:rPr>
              <w:t>. tény</w:t>
            </w:r>
            <w:r w:rsidR="00B27882" w:rsidRPr="003B0CFD">
              <w:rPr>
                <w:b/>
                <w:bCs/>
                <w:i/>
                <w:iCs/>
                <w:color w:val="000000"/>
              </w:rPr>
              <w:t>/</w:t>
            </w:r>
            <w:r w:rsidR="00FF5B2D" w:rsidRPr="003B0CFD">
              <w:rPr>
                <w:b/>
                <w:bCs/>
                <w:i/>
                <w:iCs/>
                <w:color w:val="000000"/>
              </w:rPr>
              <w:br/>
            </w:r>
            <w:r>
              <w:rPr>
                <w:b/>
                <w:bCs/>
                <w:i/>
                <w:iCs/>
                <w:color w:val="000000"/>
              </w:rPr>
              <w:t>2010</w:t>
            </w:r>
            <w:r w:rsidR="00A13742" w:rsidRPr="003B0CFD">
              <w:rPr>
                <w:b/>
                <w:bCs/>
                <w:i/>
                <w:iCs/>
                <w:color w:val="000000"/>
              </w:rPr>
              <w:t>. </w:t>
            </w:r>
            <w:r w:rsidR="00FF5B2D" w:rsidRPr="003B0CFD">
              <w:rPr>
                <w:b/>
                <w:bCs/>
                <w:i/>
                <w:iCs/>
                <w:color w:val="000000"/>
              </w:rPr>
              <w:t>tény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A13742" w:rsidRPr="003B0CFD" w:rsidRDefault="00E57BD9" w:rsidP="001C264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2011</w:t>
            </w:r>
            <w:r w:rsidR="00A13742" w:rsidRPr="003B0CFD">
              <w:rPr>
                <w:b/>
                <w:bCs/>
                <w:i/>
                <w:iCs/>
                <w:color w:val="000000"/>
              </w:rPr>
              <w:t>. tény/</w:t>
            </w:r>
            <w:r w:rsidR="00A13742" w:rsidRPr="003B0CFD">
              <w:rPr>
                <w:b/>
                <w:bCs/>
                <w:i/>
                <w:iCs/>
                <w:color w:val="000000"/>
              </w:rPr>
              <w:br/>
            </w:r>
            <w:r>
              <w:rPr>
                <w:b/>
                <w:bCs/>
                <w:i/>
                <w:iCs/>
                <w:color w:val="000000"/>
              </w:rPr>
              <w:t>2011</w:t>
            </w:r>
            <w:r w:rsidR="00A13742" w:rsidRPr="003B0CFD">
              <w:rPr>
                <w:b/>
                <w:bCs/>
                <w:i/>
                <w:iCs/>
                <w:color w:val="000000"/>
              </w:rPr>
              <w:t>. terv</w:t>
            </w:r>
          </w:p>
        </w:tc>
      </w:tr>
      <w:tr w:rsidR="00B27882" w:rsidRPr="003B0CFD" w:rsidTr="003B6B37">
        <w:trPr>
          <w:trHeight w:val="300"/>
        </w:trPr>
        <w:tc>
          <w:tcPr>
            <w:tcW w:w="3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27882" w:rsidRPr="003B0CFD" w:rsidRDefault="00B27882">
            <w:pPr>
              <w:rPr>
                <w:i/>
                <w:iCs/>
                <w:color w:val="000000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27882" w:rsidRPr="003B0CFD" w:rsidRDefault="00B27882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27882" w:rsidRPr="003B0CFD" w:rsidRDefault="00B27882" w:rsidP="001C264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B0CFD">
              <w:rPr>
                <w:b/>
                <w:bCs/>
                <w:i/>
                <w:iCs/>
                <w:color w:val="000000"/>
              </w:rPr>
              <w:t>terv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B27882" w:rsidRPr="003B0CFD" w:rsidRDefault="00B27882" w:rsidP="001C264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B0CFD">
              <w:rPr>
                <w:b/>
                <w:bCs/>
                <w:i/>
                <w:iCs/>
                <w:color w:val="000000"/>
              </w:rPr>
              <w:t xml:space="preserve">tény </w:t>
            </w: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27882" w:rsidRPr="003B0CFD" w:rsidRDefault="00B27882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27882" w:rsidRPr="003B0CFD" w:rsidRDefault="00B27882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3B6B37" w:rsidRPr="003B0CFD" w:rsidTr="003B6B37">
        <w:trPr>
          <w:trHeight w:val="369"/>
        </w:trPr>
        <w:tc>
          <w:tcPr>
            <w:tcW w:w="37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9966"/>
            <w:noWrap/>
            <w:vAlign w:val="bottom"/>
          </w:tcPr>
          <w:p w:rsidR="003B6B37" w:rsidRPr="003B0CFD" w:rsidRDefault="003B6B37">
            <w:pPr>
              <w:rPr>
                <w:b/>
                <w:bCs/>
                <w:i/>
                <w:iCs/>
                <w:color w:val="FFFFFF"/>
              </w:rPr>
            </w:pPr>
            <w:r w:rsidRPr="003B0CFD">
              <w:rPr>
                <w:b/>
                <w:bCs/>
                <w:i/>
                <w:iCs/>
                <w:color w:val="FFFFFF"/>
              </w:rPr>
              <w:t>BEVÉTEL ÖSSZESEN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9966"/>
            <w:noWrap/>
            <w:vAlign w:val="center"/>
          </w:tcPr>
          <w:p w:rsidR="003B6B37" w:rsidRPr="003B0CFD" w:rsidRDefault="003B6B37" w:rsidP="003B6B37">
            <w:pPr>
              <w:jc w:val="center"/>
              <w:rPr>
                <w:b/>
                <w:bCs/>
                <w:i/>
                <w:iCs/>
                <w:color w:val="FFFFFF"/>
              </w:rPr>
            </w:pPr>
            <w:r w:rsidRPr="003B0CFD">
              <w:rPr>
                <w:b/>
                <w:bCs/>
                <w:i/>
                <w:iCs/>
                <w:color w:val="FFFFFF"/>
              </w:rPr>
              <w:t>134 487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9966"/>
            <w:noWrap/>
            <w:vAlign w:val="center"/>
          </w:tcPr>
          <w:p w:rsidR="003B6B37" w:rsidRPr="003B0CFD" w:rsidRDefault="00D90305" w:rsidP="00D731D5">
            <w:pPr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b/>
                <w:bCs/>
                <w:i/>
                <w:iCs/>
                <w:color w:val="FFFFFF"/>
              </w:rPr>
              <w:t>227 819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9966"/>
            <w:noWrap/>
            <w:vAlign w:val="center"/>
          </w:tcPr>
          <w:p w:rsidR="003B6B37" w:rsidRPr="003B0CFD" w:rsidRDefault="00D90305" w:rsidP="006560A7">
            <w:pPr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b/>
                <w:bCs/>
                <w:i/>
                <w:iCs/>
                <w:color w:val="FFFFFF"/>
              </w:rPr>
              <w:t>102 309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9966"/>
            <w:noWrap/>
            <w:vAlign w:val="center"/>
          </w:tcPr>
          <w:p w:rsidR="003B6B37" w:rsidRPr="003B0CFD" w:rsidRDefault="00D90305" w:rsidP="00D731D5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76,1%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9966"/>
            <w:noWrap/>
            <w:vAlign w:val="center"/>
          </w:tcPr>
          <w:p w:rsidR="003B6B37" w:rsidRPr="003B0CFD" w:rsidRDefault="00D90305" w:rsidP="00D731D5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44,9%</w:t>
            </w:r>
          </w:p>
        </w:tc>
      </w:tr>
      <w:tr w:rsidR="00A81BE6" w:rsidRPr="003B0CFD" w:rsidTr="003B6B37">
        <w:trPr>
          <w:trHeight w:val="369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81BE6" w:rsidRPr="003B0CFD" w:rsidRDefault="00A81BE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AKTIVÁLT SAJÁT TELJESÍTMÉNYEK ÉRTÉKE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1BE6" w:rsidRPr="003B0CFD" w:rsidRDefault="00A81BE6" w:rsidP="003B6B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1BE6" w:rsidRDefault="00A81BE6" w:rsidP="00A81B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1BE6" w:rsidRDefault="00A81BE6" w:rsidP="00D731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34 596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1BE6" w:rsidRDefault="00A81BE6" w:rsidP="00D731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1BE6" w:rsidRDefault="00A81BE6" w:rsidP="00D731D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</w:t>
            </w:r>
          </w:p>
        </w:tc>
      </w:tr>
      <w:tr w:rsidR="003B6B37" w:rsidRPr="003B0CFD" w:rsidTr="003B6B37">
        <w:trPr>
          <w:trHeight w:val="369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6B37" w:rsidRPr="003B0CFD" w:rsidRDefault="003B6B37">
            <w:pPr>
              <w:rPr>
                <w:b/>
                <w:bCs/>
                <w:i/>
                <w:iCs/>
              </w:rPr>
            </w:pPr>
            <w:r w:rsidRPr="003B0CFD">
              <w:rPr>
                <w:b/>
                <w:bCs/>
                <w:i/>
                <w:iCs/>
              </w:rPr>
              <w:t>ANYAGJELLEGŰ RÁFORDÍTÁSOK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6B37" w:rsidRPr="003B0CFD" w:rsidRDefault="003B6B37" w:rsidP="003B6B37">
            <w:pPr>
              <w:jc w:val="center"/>
              <w:rPr>
                <w:b/>
                <w:bCs/>
              </w:rPr>
            </w:pPr>
            <w:r w:rsidRPr="003B0CFD">
              <w:rPr>
                <w:b/>
                <w:bCs/>
              </w:rPr>
              <w:t>104 458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6B37" w:rsidRPr="003B0CFD" w:rsidRDefault="00D90305" w:rsidP="00D903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159 287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6B37" w:rsidRPr="003B0CFD" w:rsidRDefault="00D90305" w:rsidP="00D731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108 913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6B37" w:rsidRPr="003B0CFD" w:rsidRDefault="00D90305" w:rsidP="00D731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104,3%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6B37" w:rsidRPr="003B0CFD" w:rsidRDefault="00D90305" w:rsidP="00D731D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68,4%</w:t>
            </w:r>
          </w:p>
        </w:tc>
      </w:tr>
      <w:tr w:rsidR="003B6B37" w:rsidRPr="003B0CFD" w:rsidTr="003B6B37">
        <w:trPr>
          <w:trHeight w:val="369"/>
        </w:trPr>
        <w:tc>
          <w:tcPr>
            <w:tcW w:w="37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B6B37" w:rsidRPr="003B0CFD" w:rsidRDefault="003B6B37">
            <w:pPr>
              <w:rPr>
                <w:b/>
                <w:bCs/>
                <w:i/>
                <w:iCs/>
              </w:rPr>
            </w:pPr>
            <w:r w:rsidRPr="003B0CFD">
              <w:rPr>
                <w:b/>
                <w:bCs/>
                <w:i/>
                <w:iCs/>
              </w:rPr>
              <w:t>SZEMÉLYI JELLEGŰ RÁFORDÍTÁSOK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3B6B37" w:rsidRPr="003B0CFD" w:rsidRDefault="00145B31" w:rsidP="003B6B3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86 276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6B37" w:rsidRPr="003B0CFD" w:rsidRDefault="00D90305" w:rsidP="00D731D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97 587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3B6B37" w:rsidRPr="003B0CFD" w:rsidRDefault="00D90305" w:rsidP="00D731D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89 704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3B6B37" w:rsidRPr="003B0CFD" w:rsidRDefault="00145B31" w:rsidP="0047259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103,9</w:t>
            </w:r>
            <w:r w:rsidR="00D90305">
              <w:rPr>
                <w:b/>
                <w:bCs/>
                <w:i/>
                <w:iCs/>
                <w:color w:val="000000"/>
              </w:rPr>
              <w:t>%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3B6B37" w:rsidRPr="003B0CFD" w:rsidRDefault="00A30B21" w:rsidP="0047259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91,9%</w:t>
            </w:r>
          </w:p>
        </w:tc>
      </w:tr>
      <w:tr w:rsidR="00D90305" w:rsidRPr="003B0CFD" w:rsidTr="003B6B37">
        <w:trPr>
          <w:trHeight w:val="369"/>
        </w:trPr>
        <w:tc>
          <w:tcPr>
            <w:tcW w:w="3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D90305" w:rsidRPr="003B0CFD" w:rsidRDefault="00D90305">
            <w:pPr>
              <w:rPr>
                <w:b/>
                <w:bCs/>
                <w:i/>
                <w:iCs/>
              </w:rPr>
            </w:pPr>
            <w:r w:rsidRPr="003B0CFD">
              <w:rPr>
                <w:b/>
                <w:bCs/>
                <w:i/>
                <w:iCs/>
              </w:rPr>
              <w:t>EGYÉB RÁFORDÍTÁSOK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90305" w:rsidRPr="003B0CFD" w:rsidRDefault="00D90305" w:rsidP="003B6B3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B0CFD">
              <w:rPr>
                <w:b/>
                <w:bCs/>
                <w:i/>
                <w:iCs/>
                <w:color w:val="000000"/>
              </w:rPr>
              <w:t>1 627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90305" w:rsidRPr="003B0CFD" w:rsidRDefault="00D90305" w:rsidP="00A30B2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1 570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90305" w:rsidRPr="003B0CFD" w:rsidRDefault="00D90305" w:rsidP="00A30B2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571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90305" w:rsidRPr="003B0CFD" w:rsidRDefault="00A30B21" w:rsidP="00D731D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35,1%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90305" w:rsidRPr="003B0CFD" w:rsidRDefault="00A30B21" w:rsidP="00D731D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36,4%</w:t>
            </w:r>
          </w:p>
        </w:tc>
      </w:tr>
      <w:tr w:rsidR="00D90305" w:rsidRPr="003B0CFD" w:rsidTr="003B6B37">
        <w:trPr>
          <w:trHeight w:val="369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D90305" w:rsidRPr="003B0CFD" w:rsidRDefault="00D90305">
            <w:pPr>
              <w:rPr>
                <w:b/>
                <w:bCs/>
                <w:i/>
                <w:iCs/>
              </w:rPr>
            </w:pPr>
            <w:r w:rsidRPr="003B0CFD">
              <w:rPr>
                <w:b/>
                <w:bCs/>
                <w:i/>
                <w:iCs/>
              </w:rPr>
              <w:t>ÉCS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90305" w:rsidRPr="003B0CFD" w:rsidRDefault="00D90305" w:rsidP="003B6B3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B0CFD">
              <w:rPr>
                <w:b/>
                <w:bCs/>
                <w:i/>
                <w:iCs/>
                <w:color w:val="000000"/>
              </w:rPr>
              <w:t>1 212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90305" w:rsidRPr="003B0CFD" w:rsidRDefault="00D90305" w:rsidP="00A30B2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1 255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90305" w:rsidRPr="003B0CFD" w:rsidRDefault="00D90305" w:rsidP="00A30B2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1 182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90305" w:rsidRPr="003B0CFD" w:rsidRDefault="00A30B21" w:rsidP="00D731D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97,5%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90305" w:rsidRPr="003B0CFD" w:rsidRDefault="00A30B21" w:rsidP="00D731D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94,2%</w:t>
            </w:r>
          </w:p>
        </w:tc>
      </w:tr>
      <w:tr w:rsidR="003B6B37" w:rsidRPr="003B0CFD" w:rsidTr="003B6B37">
        <w:trPr>
          <w:trHeight w:val="369"/>
        </w:trPr>
        <w:tc>
          <w:tcPr>
            <w:tcW w:w="3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CC"/>
            <w:noWrap/>
            <w:vAlign w:val="bottom"/>
          </w:tcPr>
          <w:p w:rsidR="003B6B37" w:rsidRPr="007A7F1E" w:rsidRDefault="003B6B37">
            <w:pPr>
              <w:rPr>
                <w:b/>
                <w:bCs/>
                <w:i/>
                <w:iCs/>
                <w:color w:val="FFFFFF"/>
              </w:rPr>
            </w:pPr>
            <w:r w:rsidRPr="007A7F1E">
              <w:rPr>
                <w:b/>
                <w:bCs/>
                <w:i/>
                <w:iCs/>
                <w:color w:val="FFFFFF"/>
              </w:rPr>
              <w:t>ÜZEMI (ÜZLETI) TEVÉKENYSÉG EREDMÉNYE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noWrap/>
            <w:vAlign w:val="center"/>
          </w:tcPr>
          <w:p w:rsidR="003B6B37" w:rsidRPr="007A7F1E" w:rsidRDefault="003B6B37" w:rsidP="00843B46">
            <w:pPr>
              <w:jc w:val="center"/>
              <w:rPr>
                <w:b/>
                <w:bCs/>
                <w:i/>
                <w:iCs/>
                <w:color w:val="FFFFFF"/>
              </w:rPr>
            </w:pPr>
            <w:r w:rsidRPr="007A7F1E">
              <w:rPr>
                <w:b/>
                <w:bCs/>
                <w:i/>
                <w:iCs/>
                <w:color w:val="FFFFFF"/>
              </w:rPr>
              <w:t>-</w:t>
            </w:r>
            <w:r w:rsidR="00843B46">
              <w:rPr>
                <w:b/>
                <w:bCs/>
                <w:i/>
                <w:iCs/>
                <w:color w:val="FFFFFF"/>
              </w:rPr>
              <w:t>59 086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99CC"/>
            <w:noWrap/>
            <w:vAlign w:val="center"/>
          </w:tcPr>
          <w:p w:rsidR="003B6B37" w:rsidRPr="007A7F1E" w:rsidRDefault="00D90305" w:rsidP="00D731D5">
            <w:pPr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b/>
                <w:bCs/>
                <w:i/>
                <w:iCs/>
                <w:color w:val="FFFFFF"/>
              </w:rPr>
              <w:t>-31 880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noWrap/>
            <w:vAlign w:val="center"/>
          </w:tcPr>
          <w:p w:rsidR="003B6B37" w:rsidRPr="007A7F1E" w:rsidRDefault="00A81BE6" w:rsidP="006560A7">
            <w:pPr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b/>
                <w:bCs/>
                <w:i/>
                <w:iCs/>
                <w:color w:val="FFFFFF"/>
              </w:rPr>
              <w:t>-63 465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noWrap/>
            <w:vAlign w:val="center"/>
          </w:tcPr>
          <w:p w:rsidR="003B6B37" w:rsidRPr="007A7F1E" w:rsidRDefault="00A81BE6" w:rsidP="00843B46">
            <w:pPr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b/>
                <w:bCs/>
                <w:i/>
                <w:iCs/>
                <w:color w:val="FFFFFF"/>
              </w:rPr>
              <w:t>10</w:t>
            </w:r>
            <w:r w:rsidR="00843B46">
              <w:rPr>
                <w:b/>
                <w:bCs/>
                <w:i/>
                <w:iCs/>
                <w:color w:val="FFFFFF"/>
              </w:rPr>
              <w:t>7,4</w:t>
            </w:r>
            <w:r>
              <w:rPr>
                <w:b/>
                <w:bCs/>
                <w:i/>
                <w:iCs/>
                <w:color w:val="FFFFFF"/>
              </w:rPr>
              <w:t>%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noWrap/>
            <w:vAlign w:val="center"/>
          </w:tcPr>
          <w:p w:rsidR="003B6B37" w:rsidRPr="007A7F1E" w:rsidRDefault="00A81BE6" w:rsidP="006560A7">
            <w:pPr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b/>
                <w:bCs/>
                <w:i/>
                <w:iCs/>
                <w:color w:val="FFFFFF"/>
              </w:rPr>
              <w:t>199,1%</w:t>
            </w:r>
          </w:p>
        </w:tc>
      </w:tr>
    </w:tbl>
    <w:p w:rsidR="00C31E31" w:rsidRDefault="007856CA" w:rsidP="003B0CFD">
      <w:pPr>
        <w:spacing w:before="240" w:after="360" w:line="276" w:lineRule="auto"/>
        <w:ind w:firstLine="360"/>
        <w:jc w:val="both"/>
      </w:pPr>
      <w:r>
        <w:t>A</w:t>
      </w:r>
      <w:r w:rsidR="00B55979">
        <w:t xml:space="preserve"> </w:t>
      </w:r>
      <w:r w:rsidR="00E57BD9">
        <w:t>2011</w:t>
      </w:r>
      <w:r w:rsidR="00396FB3">
        <w:t>. </w:t>
      </w:r>
      <w:r w:rsidR="00211B21">
        <w:t>év</w:t>
      </w:r>
      <w:r w:rsidR="00E06960">
        <w:t>i</w:t>
      </w:r>
      <w:r w:rsidR="00211B21">
        <w:t xml:space="preserve"> üzleti terv koncepciója szerint</w:t>
      </w:r>
      <w:r w:rsidR="00352A72">
        <w:t xml:space="preserve"> </w:t>
      </w:r>
      <w:r w:rsidR="00211B21">
        <w:t>a saját bevételek a működési költségeket</w:t>
      </w:r>
      <w:r>
        <w:t xml:space="preserve"> abban az esetben </w:t>
      </w:r>
      <w:r w:rsidR="003B6B37">
        <w:t xml:space="preserve">sem </w:t>
      </w:r>
      <w:r>
        <w:t>fedezték volna</w:t>
      </w:r>
      <w:r w:rsidR="003B6B37">
        <w:t xml:space="preserve"> 100%-osan</w:t>
      </w:r>
      <w:r>
        <w:t xml:space="preserve">, </w:t>
      </w:r>
      <w:r w:rsidR="003B6B37">
        <w:t>ha az összes tervezett ingatlant értékesítette volna a társaság. Ezen felül pedig fejlesztés</w:t>
      </w:r>
      <w:r w:rsidR="0074054A">
        <w:t xml:space="preserve"> és fenntartás</w:t>
      </w:r>
      <w:r w:rsidR="003B6B37">
        <w:t xml:space="preserve"> utáni díjazással is számoltunk árbevétel oldalon</w:t>
      </w:r>
      <w:r w:rsidR="00DC6373">
        <w:t>.</w:t>
      </w:r>
      <w:r w:rsidR="003B6B37">
        <w:t xml:space="preserve"> </w:t>
      </w:r>
      <w:r w:rsidR="0074054A">
        <w:t>Az</w:t>
      </w:r>
      <w:r w:rsidR="004A1A36">
        <w:t xml:space="preserve"> ingatlan értékesítések nem terv szerinti mértékben</w:t>
      </w:r>
      <w:r w:rsidR="0074054A">
        <w:t xml:space="preserve"> valósultak meg</w:t>
      </w:r>
      <w:r w:rsidR="004A1A36">
        <w:t xml:space="preserve">, a </w:t>
      </w:r>
      <w:r w:rsidR="003B6B37">
        <w:t>fejlesztések</w:t>
      </w:r>
      <w:r w:rsidR="0074054A">
        <w:t>, felújítások</w:t>
      </w:r>
      <w:r w:rsidR="003B6B37">
        <w:t xml:space="preserve"> után járó díjazás</w:t>
      </w:r>
      <w:r w:rsidR="0074054A">
        <w:t>t</w:t>
      </w:r>
      <w:r w:rsidR="004A1A36">
        <w:t xml:space="preserve"> pedig egyáltalán nem</w:t>
      </w:r>
      <w:r w:rsidR="0074054A">
        <w:t xml:space="preserve"> sikerült érvényesíteni.  E</w:t>
      </w:r>
      <w:r w:rsidR="00C93F30">
        <w:t xml:space="preserve">zért a tervezett üzemi veszteséggel szemben, a tényleges veszteség </w:t>
      </w:r>
      <w:r w:rsidR="00E57BD9">
        <w:t>2011</w:t>
      </w:r>
      <w:r w:rsidR="00652384">
        <w:t>-ben -</w:t>
      </w:r>
      <w:r w:rsidR="00843B46">
        <w:t>63.</w:t>
      </w:r>
      <w:r w:rsidR="004A1A36">
        <w:t xml:space="preserve">465,- e </w:t>
      </w:r>
      <w:r w:rsidR="00C93F30">
        <w:t>Ft lett</w:t>
      </w:r>
      <w:r w:rsidR="00CA1581">
        <w:t xml:space="preserve">, ami </w:t>
      </w:r>
      <w:r w:rsidR="00652384">
        <w:t xml:space="preserve">jóval </w:t>
      </w:r>
      <w:r w:rsidR="00652384" w:rsidRPr="00D731D5">
        <w:rPr>
          <w:b/>
        </w:rPr>
        <w:t>ma</w:t>
      </w:r>
      <w:r w:rsidR="00CA1581" w:rsidRPr="00D731D5">
        <w:rPr>
          <w:b/>
        </w:rPr>
        <w:t>g</w:t>
      </w:r>
      <w:r w:rsidR="00CA1581" w:rsidRPr="00CA1581">
        <w:rPr>
          <w:b/>
        </w:rPr>
        <w:t>asabb a tervezettnél, de</w:t>
      </w:r>
      <w:r w:rsidR="00B6429E">
        <w:rPr>
          <w:b/>
        </w:rPr>
        <w:t xml:space="preserve"> a korábban említett okok miatt</w:t>
      </w:r>
      <w:r w:rsidR="00CA1581" w:rsidRPr="00CA1581">
        <w:rPr>
          <w:b/>
        </w:rPr>
        <w:t xml:space="preserve"> </w:t>
      </w:r>
      <w:r w:rsidR="004A1A36">
        <w:rPr>
          <w:b/>
        </w:rPr>
        <w:t xml:space="preserve">mindössze </w:t>
      </w:r>
      <w:r w:rsidR="00843B46">
        <w:rPr>
          <w:b/>
        </w:rPr>
        <w:t>7,4</w:t>
      </w:r>
      <w:r w:rsidR="004A1A36">
        <w:rPr>
          <w:b/>
        </w:rPr>
        <w:t xml:space="preserve">%-kal </w:t>
      </w:r>
      <w:r w:rsidR="00B6429E">
        <w:rPr>
          <w:b/>
        </w:rPr>
        <w:t xml:space="preserve">tér el a </w:t>
      </w:r>
      <w:r w:rsidR="00CA1581" w:rsidRPr="00CA1581">
        <w:rPr>
          <w:b/>
        </w:rPr>
        <w:t>bázisé</w:t>
      </w:r>
      <w:r w:rsidR="008D7DE1">
        <w:rPr>
          <w:b/>
        </w:rPr>
        <w:t>v hasonló adat</w:t>
      </w:r>
      <w:r w:rsidR="00B6429E">
        <w:rPr>
          <w:b/>
        </w:rPr>
        <w:t>ától</w:t>
      </w:r>
      <w:r w:rsidR="00C93F30">
        <w:t>.</w:t>
      </w:r>
      <w:r w:rsidR="00242DB2">
        <w:t xml:space="preserve"> </w:t>
      </w:r>
      <w:r w:rsidR="00D731D5">
        <w:t xml:space="preserve"> </w:t>
      </w:r>
    </w:p>
    <w:p w:rsidR="0074054A" w:rsidRDefault="00E83B78" w:rsidP="00E83B78">
      <w:pPr>
        <w:spacing w:before="240" w:after="360" w:line="276" w:lineRule="auto"/>
        <w:ind w:firstLine="360"/>
        <w:jc w:val="both"/>
      </w:pPr>
      <w:r>
        <w:lastRenderedPageBreak/>
        <w:t>Az ÉPIT Zrt. helyzete az utóbbi években megváltozott. A fejlesztési program azon része, melynek következtében új, értékesítésre alkalmas ingatlanok jönnek létre</w:t>
      </w:r>
      <w:r w:rsidR="004A1A36">
        <w:t xml:space="preserve"> </w:t>
      </w:r>
      <w:r w:rsidR="0074054A">
        <w:t>lecsökkent</w:t>
      </w:r>
      <w:r>
        <w:t xml:space="preserve">. Új értékesíthető ingatlanok </w:t>
      </w:r>
      <w:r w:rsidR="004A1A36">
        <w:t>létrahozása folyamatban van</w:t>
      </w:r>
      <w:r>
        <w:t xml:space="preserve">, a meglévők száma </w:t>
      </w:r>
      <w:r w:rsidR="0074054A">
        <w:t xml:space="preserve">az értékesítéssel </w:t>
      </w:r>
      <w:r>
        <w:t xml:space="preserve">csökkent. Az ingatlanpiaci válság következtében a piaci vételi szándék jelentősen </w:t>
      </w:r>
      <w:r w:rsidR="00843B46">
        <w:t>mérséklődött.</w:t>
      </w:r>
      <w:r>
        <w:t xml:space="preserve"> </w:t>
      </w:r>
      <w:r w:rsidR="00E57BD9">
        <w:t>2011</w:t>
      </w:r>
      <w:r>
        <w:t xml:space="preserve">. évben </w:t>
      </w:r>
      <w:r w:rsidR="004A1A36">
        <w:t>egy</w:t>
      </w:r>
      <w:r>
        <w:t xml:space="preserve"> ingatlant sikerült értékesíteni</w:t>
      </w:r>
      <w:r w:rsidR="004A1A36">
        <w:t>, egy másik ingatlanra opciós vételi jogos adásvételi szerződést kötöttünk.</w:t>
      </w:r>
      <w:r>
        <w:t xml:space="preserve"> </w:t>
      </w:r>
    </w:p>
    <w:p w:rsidR="00E83B78" w:rsidRDefault="00E83B78" w:rsidP="00E83B78">
      <w:pPr>
        <w:spacing w:before="240" w:after="360" w:line="276" w:lineRule="auto"/>
        <w:ind w:firstLine="360"/>
        <w:jc w:val="both"/>
      </w:pPr>
      <w:r>
        <w:t>A társaságnak</w:t>
      </w:r>
      <w:r w:rsidR="001A33B6">
        <w:t xml:space="preserve"> -</w:t>
      </w:r>
      <w:r>
        <w:t xml:space="preserve"> </w:t>
      </w:r>
      <w:r w:rsidR="001A33B6">
        <w:t xml:space="preserve">az I. fejezetben részletezettek szerint - </w:t>
      </w:r>
      <w:r>
        <w:t>az ingatlanértékesítéseken kívül más eredményre hatást gyakorló bevételi forrása</w:t>
      </w:r>
      <w:r w:rsidR="001A33B6">
        <w:t>,</w:t>
      </w:r>
      <w:r>
        <w:t xml:space="preserve"> </w:t>
      </w:r>
      <w:r w:rsidR="001A33B6">
        <w:t xml:space="preserve">a pénzügyi műveletek bevételét kivéve, </w:t>
      </w:r>
      <w:r w:rsidR="000A5376">
        <w:t>a Keretsze</w:t>
      </w:r>
      <w:r w:rsidR="00843B46">
        <w:t>r</w:t>
      </w:r>
      <w:r w:rsidR="000A5376">
        <w:t xml:space="preserve">ződés szerint </w:t>
      </w:r>
      <w:r>
        <w:t>nincsen</w:t>
      </w:r>
      <w:r w:rsidR="000A5376">
        <w:t>.</w:t>
      </w:r>
      <w:r>
        <w:t xml:space="preserve"> </w:t>
      </w:r>
      <w:r w:rsidR="000A5376">
        <w:t xml:space="preserve">A </w:t>
      </w:r>
      <w:r>
        <w:t xml:space="preserve">társaság </w:t>
      </w:r>
      <w:r w:rsidR="00A46ECD">
        <w:t xml:space="preserve">üzemi </w:t>
      </w:r>
      <w:r>
        <w:t xml:space="preserve">vesztesége </w:t>
      </w:r>
      <w:r w:rsidR="0034489E">
        <w:t xml:space="preserve">már </w:t>
      </w:r>
      <w:r>
        <w:t xml:space="preserve">a </w:t>
      </w:r>
      <w:r w:rsidR="004A1A36">
        <w:t>2010</w:t>
      </w:r>
      <w:r>
        <w:t xml:space="preserve">. évben </w:t>
      </w:r>
      <w:r w:rsidR="0034489E">
        <w:t xml:space="preserve">is </w:t>
      </w:r>
      <w:proofErr w:type="gramStart"/>
      <w:r>
        <w:t>több, mint</w:t>
      </w:r>
      <w:proofErr w:type="gramEnd"/>
      <w:r>
        <w:t xml:space="preserve"> </w:t>
      </w:r>
      <w:r w:rsidR="00D16A49">
        <w:t>59</w:t>
      </w:r>
      <w:r w:rsidR="007146E2">
        <w:t> </w:t>
      </w:r>
      <w:r>
        <w:t xml:space="preserve">millió forint </w:t>
      </w:r>
      <w:r w:rsidR="004A1A36">
        <w:t>volt</w:t>
      </w:r>
      <w:r>
        <w:t xml:space="preserve">. Emiatt a társaság arra a döntésre jutott, hogy kezdeményezi a Keretszerződés módosítását abban a tekintetben, hogy a jövőben az aktivált beruházások tekintetében is érvényesíthesse az ÉPIT Zrt. tevékenységének eredményeképpen létrejövő infrastrukturális, közjóléti és közművagyon növekménye után járó díjazást, valamint a fenntartási munkák után is azonos mértékű díjazást </w:t>
      </w:r>
      <w:r w:rsidR="001A33B6">
        <w:t xml:space="preserve">kapjon </w:t>
      </w:r>
      <w:r>
        <w:t xml:space="preserve">a 2011. gazdasági évtől kezdődően. </w:t>
      </w:r>
      <w:r w:rsidR="001A33B6">
        <w:t>Ez</w:t>
      </w:r>
      <w:r w:rsidR="004A1A36">
        <w:t>t a döntést</w:t>
      </w:r>
      <w:r w:rsidR="001A33B6">
        <w:t>,</w:t>
      </w:r>
      <w:r w:rsidR="004A1A36">
        <w:t xml:space="preserve"> a Keretszerződés</w:t>
      </w:r>
      <w:r w:rsidR="001A33B6">
        <w:t xml:space="preserve"> módosítását</w:t>
      </w:r>
      <w:r w:rsidR="004A1A36">
        <w:t>,</w:t>
      </w:r>
      <w:r w:rsidR="001A33B6">
        <w:t xml:space="preserve"> nem sikerült véghezvinni,</w:t>
      </w:r>
      <w:r w:rsidR="004A1A36">
        <w:t xml:space="preserve"> így 2011. évben </w:t>
      </w:r>
      <w:r w:rsidR="001A33B6">
        <w:t>tevékenységünk egy részét továbbra is díjazás nélkül végeztük.</w:t>
      </w:r>
      <w:r w:rsidR="0034489E">
        <w:t xml:space="preserve"> A</w:t>
      </w:r>
      <w:r w:rsidR="004A1A36">
        <w:t>z üzemi/üzleti eredmény</w:t>
      </w:r>
      <w:r w:rsidR="0034489E">
        <w:t xml:space="preserve"> ennek következtében</w:t>
      </w:r>
      <w:r w:rsidR="004A1A36">
        <w:t xml:space="preserve"> </w:t>
      </w:r>
      <w:r w:rsidR="0034489E">
        <w:t xml:space="preserve">mínusz </w:t>
      </w:r>
      <w:r w:rsidR="004A1A36">
        <w:t xml:space="preserve">63 millió forint lett, mely eredmény a </w:t>
      </w:r>
      <w:r w:rsidR="001A33B6">
        <w:t xml:space="preserve">Keretszerződésen </w:t>
      </w:r>
      <w:r w:rsidR="00843B46">
        <w:t>felüli</w:t>
      </w:r>
      <w:r w:rsidR="001A33B6">
        <w:t xml:space="preserve"> új </w:t>
      </w:r>
      <w:r w:rsidR="004A1A36">
        <w:t>szerződések</w:t>
      </w:r>
      <w:r w:rsidR="0034489E">
        <w:t xml:space="preserve">nek köszönhetően kedvezőbb, </w:t>
      </w:r>
      <w:r w:rsidR="00696CB2">
        <w:t xml:space="preserve">mint </w:t>
      </w:r>
      <w:proofErr w:type="gramStart"/>
      <w:r w:rsidR="00843B46">
        <w:t>ezen</w:t>
      </w:r>
      <w:proofErr w:type="gramEnd"/>
      <w:r w:rsidR="00696CB2">
        <w:t xml:space="preserve"> szerződések nélküli állapot</w:t>
      </w:r>
      <w:r w:rsidR="0034489E">
        <w:t xml:space="preserve"> lenne</w:t>
      </w:r>
      <w:r w:rsidR="00696CB2">
        <w:t>.</w:t>
      </w:r>
    </w:p>
    <w:p w:rsidR="002958A7" w:rsidRPr="00923FA8" w:rsidRDefault="002958A7" w:rsidP="0027091D">
      <w:pPr>
        <w:pStyle w:val="Listaszerbekezds"/>
        <w:numPr>
          <w:ilvl w:val="1"/>
          <w:numId w:val="17"/>
        </w:numPr>
        <w:spacing w:after="120" w:line="276" w:lineRule="auto"/>
        <w:ind w:left="426"/>
        <w:jc w:val="both"/>
        <w:rPr>
          <w:i/>
        </w:rPr>
      </w:pPr>
      <w:r w:rsidRPr="00923FA8">
        <w:rPr>
          <w:i/>
        </w:rPr>
        <w:t xml:space="preserve"> Pénzügyi műveletek eredménye</w:t>
      </w:r>
    </w:p>
    <w:p w:rsidR="002958A7" w:rsidRDefault="002958A7" w:rsidP="003B0CFD">
      <w:pPr>
        <w:spacing w:after="120" w:line="276" w:lineRule="auto"/>
        <w:ind w:firstLine="360"/>
        <w:jc w:val="both"/>
      </w:pPr>
      <w:r>
        <w:t>Az érvényes Keretszerződés szerint a kezelt pénzvagyon pénzügyi műveleteiből származó bevétel a Zrt</w:t>
      </w:r>
      <w:r w:rsidR="00A13742">
        <w:t>.</w:t>
      </w:r>
      <w:r>
        <w:t xml:space="preserve"> saját bevételeit növeli. A pénz</w:t>
      </w:r>
      <w:r w:rsidR="00C93F30">
        <w:t>eszköz</w:t>
      </w:r>
      <w:r w:rsidR="00696CB2">
        <w:t>t</w:t>
      </w:r>
      <w:r w:rsidR="00C93F30">
        <w:t xml:space="preserve"> </w:t>
      </w:r>
      <w:r>
        <w:t>lekötöttük</w:t>
      </w:r>
      <w:r w:rsidR="00914E34">
        <w:t xml:space="preserve"> az adott időszaknak megfelelő</w:t>
      </w:r>
      <w:r w:rsidR="009C33CC">
        <w:t xml:space="preserve"> legkedvezőbb kamatra.</w:t>
      </w:r>
      <w:r w:rsidR="00C93F30">
        <w:t xml:space="preserve"> </w:t>
      </w:r>
      <w:r w:rsidR="00652384">
        <w:t>A korábbi év</w:t>
      </w:r>
      <w:r w:rsidR="0073533F">
        <w:t>ek</w:t>
      </w:r>
      <w:r w:rsidR="00652384">
        <w:t xml:space="preserve"> veszteségei jelentősen csökkentették a társaság </w:t>
      </w:r>
      <w:r w:rsidR="004B1192">
        <w:t>forrásait</w:t>
      </w:r>
      <w:r w:rsidR="00652384">
        <w:t xml:space="preserve"> és az áprilisban értékesített ingatlan</w:t>
      </w:r>
      <w:r w:rsidR="0073533F">
        <w:t>nak köszönhető pénzeszköz sem tudott jelentős tőkeként szolgálni a kamatbevétel növekedéséhez.</w:t>
      </w:r>
      <w:r w:rsidR="00652384">
        <w:t xml:space="preserve"> </w:t>
      </w:r>
    </w:p>
    <w:p w:rsidR="00696CB2" w:rsidRDefault="00660BF4" w:rsidP="00696CB2">
      <w:pPr>
        <w:spacing w:after="120" w:line="276" w:lineRule="auto"/>
        <w:ind w:firstLine="357"/>
        <w:jc w:val="both"/>
        <w:rPr>
          <w:b/>
        </w:rPr>
      </w:pPr>
      <w:r w:rsidRPr="008D7DE1">
        <w:t>A lekötött és</w:t>
      </w:r>
      <w:r w:rsidR="00652384">
        <w:t xml:space="preserve"> befektetett pénzállomány </w:t>
      </w:r>
      <w:r w:rsidR="00E57BD9">
        <w:t>2011</w:t>
      </w:r>
      <w:r w:rsidR="00B27882">
        <w:t>. december </w:t>
      </w:r>
      <w:r w:rsidRPr="008D7DE1">
        <w:t>31-</w:t>
      </w:r>
      <w:r w:rsidR="00B27882">
        <w:t>é</w:t>
      </w:r>
      <w:r w:rsidRPr="008D7DE1">
        <w:t xml:space="preserve">n </w:t>
      </w:r>
      <w:r w:rsidR="00652384">
        <w:t>684</w:t>
      </w:r>
      <w:r w:rsidR="00782D32">
        <w:t>.</w:t>
      </w:r>
      <w:r w:rsidR="00652384">
        <w:t>600</w:t>
      </w:r>
      <w:r w:rsidRPr="008D7DE1">
        <w:t>,</w:t>
      </w:r>
      <w:proofErr w:type="spellStart"/>
      <w:r w:rsidRPr="008D7DE1">
        <w:t>-e</w:t>
      </w:r>
      <w:proofErr w:type="spellEnd"/>
      <w:r w:rsidR="00B27882">
        <w:t> </w:t>
      </w:r>
      <w:r w:rsidRPr="008D7DE1">
        <w:t xml:space="preserve">Ft volt. </w:t>
      </w:r>
      <w:r w:rsidR="00E57BD9">
        <w:t>2011</w:t>
      </w:r>
      <w:r w:rsidR="00652384">
        <w:t xml:space="preserve">-ben az elért átlaghozam </w:t>
      </w:r>
      <w:r w:rsidR="00696CB2">
        <w:t>6</w:t>
      </w:r>
      <w:r w:rsidR="00652384">
        <w:t>-</w:t>
      </w:r>
      <w:r w:rsidR="00696CB2">
        <w:t>7</w:t>
      </w:r>
      <w:r w:rsidR="00782D32">
        <w:t> </w:t>
      </w:r>
      <w:r w:rsidR="00652384">
        <w:t>%</w:t>
      </w:r>
      <w:r w:rsidRPr="008D7DE1">
        <w:t xml:space="preserve"> között volt, így </w:t>
      </w:r>
      <w:r w:rsidR="00652384">
        <w:t xml:space="preserve">a realizált kamatbevétel: </w:t>
      </w:r>
      <w:r w:rsidR="00696CB2">
        <w:t>41.578</w:t>
      </w:r>
      <w:r w:rsidRPr="008D7DE1">
        <w:t>,-</w:t>
      </w:r>
      <w:r w:rsidR="00696CB2">
        <w:t xml:space="preserve"> </w:t>
      </w:r>
      <w:r w:rsidRPr="008D7DE1">
        <w:t>e</w:t>
      </w:r>
      <w:r w:rsidR="00B27882">
        <w:t> </w:t>
      </w:r>
      <w:r w:rsidRPr="008D7DE1">
        <w:t xml:space="preserve">Ft, ami </w:t>
      </w:r>
      <w:r w:rsidR="00696CB2">
        <w:t>89</w:t>
      </w:r>
      <w:r w:rsidR="00652384">
        <w:t>%-kal meghaladta</w:t>
      </w:r>
      <w:r w:rsidR="008D7DE1">
        <w:rPr>
          <w:b/>
        </w:rPr>
        <w:t xml:space="preserve"> a </w:t>
      </w:r>
      <w:r w:rsidR="00551944">
        <w:rPr>
          <w:b/>
        </w:rPr>
        <w:t>tervezettet,</w:t>
      </w:r>
      <w:r w:rsidRPr="008D7DE1">
        <w:rPr>
          <w:b/>
        </w:rPr>
        <w:t xml:space="preserve"> </w:t>
      </w:r>
      <w:r w:rsidR="00652384">
        <w:rPr>
          <w:b/>
        </w:rPr>
        <w:t xml:space="preserve">de </w:t>
      </w:r>
      <w:r w:rsidRPr="008D7DE1">
        <w:rPr>
          <w:b/>
        </w:rPr>
        <w:t>mind</w:t>
      </w:r>
      <w:r w:rsidR="00652384">
        <w:rPr>
          <w:b/>
        </w:rPr>
        <w:t xml:space="preserve">össze </w:t>
      </w:r>
      <w:r w:rsidR="00696CB2">
        <w:rPr>
          <w:b/>
        </w:rPr>
        <w:t>10</w:t>
      </w:r>
      <w:r w:rsidR="008D7DE1">
        <w:rPr>
          <w:b/>
        </w:rPr>
        <w:t>%-</w:t>
      </w:r>
      <w:r w:rsidR="00696CB2">
        <w:rPr>
          <w:b/>
        </w:rPr>
        <w:t>k</w:t>
      </w:r>
      <w:r w:rsidR="00652384">
        <w:rPr>
          <w:b/>
        </w:rPr>
        <w:t>a</w:t>
      </w:r>
      <w:r w:rsidR="00696CB2">
        <w:rPr>
          <w:b/>
        </w:rPr>
        <w:t>l magasabb a</w:t>
      </w:r>
      <w:r w:rsidR="008D7DE1">
        <w:rPr>
          <w:b/>
        </w:rPr>
        <w:t xml:space="preserve"> </w:t>
      </w:r>
      <w:r w:rsidR="00E57BD9">
        <w:rPr>
          <w:b/>
        </w:rPr>
        <w:t>2010</w:t>
      </w:r>
      <w:r w:rsidR="00B27882">
        <w:rPr>
          <w:b/>
        </w:rPr>
        <w:t>. </w:t>
      </w:r>
      <w:r w:rsidR="008D7DE1">
        <w:rPr>
          <w:b/>
        </w:rPr>
        <w:t xml:space="preserve">év </w:t>
      </w:r>
      <w:r w:rsidR="00696CB2">
        <w:rPr>
          <w:b/>
        </w:rPr>
        <w:t>pénzügyi műveletek eredményénél</w:t>
      </w:r>
      <w:r w:rsidR="00652384">
        <w:rPr>
          <w:b/>
        </w:rPr>
        <w:t>.</w:t>
      </w:r>
    </w:p>
    <w:p w:rsidR="00842A06" w:rsidRDefault="00696CB2" w:rsidP="00696CB2">
      <w:pPr>
        <w:spacing w:after="120" w:line="276" w:lineRule="auto"/>
        <w:ind w:firstLine="357"/>
        <w:jc w:val="both"/>
      </w:pPr>
      <w:r w:rsidRPr="00696CB2">
        <w:t xml:space="preserve">A pénzügyi műveletek ráfordításai 4.212,- </w:t>
      </w:r>
      <w:r>
        <w:t>e</w:t>
      </w:r>
      <w:r w:rsidRPr="00696CB2">
        <w:t xml:space="preserve"> Ft-ot jelentettek, emiatt a pénzügyi műveletek eredménye 37.366,- </w:t>
      </w:r>
      <w:r w:rsidR="00B6429E">
        <w:t>e</w:t>
      </w:r>
      <w:r w:rsidRPr="00696CB2">
        <w:t xml:space="preserve"> Ft lett</w:t>
      </w:r>
      <w:r w:rsidR="00B6429E">
        <w:t>, ami 1%-kal tér el a bázisév adatától</w:t>
      </w:r>
      <w:r w:rsidRPr="00696CB2">
        <w:t>.</w:t>
      </w:r>
      <w:r w:rsidR="00652384" w:rsidRPr="00696CB2">
        <w:t xml:space="preserve"> </w:t>
      </w:r>
    </w:p>
    <w:p w:rsidR="00352A72" w:rsidRPr="00863AFD" w:rsidRDefault="00352A72" w:rsidP="00B27882">
      <w:pPr>
        <w:spacing w:line="360" w:lineRule="auto"/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>a</w:t>
      </w:r>
      <w:r w:rsidRPr="00863AFD">
        <w:rPr>
          <w:sz w:val="18"/>
          <w:szCs w:val="18"/>
        </w:rPr>
        <w:t>datok</w:t>
      </w:r>
      <w:proofErr w:type="gramEnd"/>
      <w:r w:rsidRPr="00863AFD">
        <w:rPr>
          <w:sz w:val="18"/>
          <w:szCs w:val="18"/>
        </w:rPr>
        <w:t xml:space="preserve"> e</w:t>
      </w:r>
      <w:r w:rsidR="00B27882">
        <w:rPr>
          <w:sz w:val="18"/>
          <w:szCs w:val="18"/>
        </w:rPr>
        <w:t> </w:t>
      </w:r>
      <w:r w:rsidRPr="00863AFD">
        <w:rPr>
          <w:sz w:val="18"/>
          <w:szCs w:val="18"/>
        </w:rPr>
        <w:t>Ft-ban</w:t>
      </w:r>
    </w:p>
    <w:tbl>
      <w:tblPr>
        <w:tblW w:w="901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55"/>
        <w:gridCol w:w="1260"/>
        <w:gridCol w:w="965"/>
        <w:gridCol w:w="1015"/>
        <w:gridCol w:w="1260"/>
        <w:gridCol w:w="1260"/>
      </w:tblGrid>
      <w:tr w:rsidR="00B27882" w:rsidRPr="003B0CFD">
        <w:trPr>
          <w:trHeight w:val="315"/>
        </w:trPr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CC"/>
            <w:vAlign w:val="center"/>
          </w:tcPr>
          <w:p w:rsidR="00B27882" w:rsidRPr="003B0CFD" w:rsidRDefault="00B27882" w:rsidP="00135558">
            <w:pPr>
              <w:jc w:val="center"/>
              <w:rPr>
                <w:i/>
                <w:iCs/>
                <w:color w:val="000000"/>
              </w:rPr>
            </w:pPr>
            <w:r w:rsidRPr="003B0CFD">
              <w:rPr>
                <w:i/>
                <w:iCs/>
                <w:color w:val="000000"/>
              </w:rPr>
              <w:t>Megnevezés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CC"/>
            <w:vAlign w:val="center"/>
          </w:tcPr>
          <w:p w:rsidR="00B27882" w:rsidRPr="003B0CFD" w:rsidRDefault="00E57BD9" w:rsidP="001C264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2010</w:t>
            </w:r>
            <w:r w:rsidR="00B27882" w:rsidRPr="003B0CFD">
              <w:rPr>
                <w:b/>
                <w:bCs/>
                <w:i/>
                <w:iCs/>
                <w:color w:val="000000"/>
              </w:rPr>
              <w:t>. tény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CFFCC"/>
            <w:noWrap/>
            <w:vAlign w:val="bottom"/>
          </w:tcPr>
          <w:p w:rsidR="00B27882" w:rsidRPr="003B0CFD" w:rsidRDefault="00E57BD9" w:rsidP="001C264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2011</w:t>
            </w:r>
            <w:r w:rsidR="00B27882" w:rsidRPr="003B0CFD">
              <w:rPr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B27882" w:rsidRPr="003B0CFD" w:rsidRDefault="00E57BD9" w:rsidP="0024691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2011</w:t>
            </w:r>
            <w:r w:rsidR="004B1192" w:rsidRPr="003B0CFD">
              <w:rPr>
                <w:b/>
                <w:bCs/>
                <w:i/>
                <w:iCs/>
                <w:color w:val="000000"/>
              </w:rPr>
              <w:t>. tény/</w:t>
            </w:r>
            <w:r w:rsidR="004B1192" w:rsidRPr="003B0CFD">
              <w:rPr>
                <w:b/>
                <w:bCs/>
                <w:i/>
                <w:iCs/>
                <w:color w:val="000000"/>
              </w:rPr>
              <w:br/>
            </w:r>
            <w:r>
              <w:rPr>
                <w:b/>
                <w:bCs/>
                <w:i/>
                <w:iCs/>
                <w:color w:val="000000"/>
              </w:rPr>
              <w:t>2010</w:t>
            </w:r>
            <w:r w:rsidR="00B27882" w:rsidRPr="003B0CFD">
              <w:rPr>
                <w:b/>
                <w:bCs/>
                <w:i/>
                <w:iCs/>
                <w:color w:val="000000"/>
              </w:rPr>
              <w:t>.</w:t>
            </w:r>
            <w:r w:rsidR="004B1192" w:rsidRPr="003B0CFD">
              <w:rPr>
                <w:b/>
                <w:bCs/>
                <w:i/>
                <w:iCs/>
                <w:color w:val="000000"/>
              </w:rPr>
              <w:t>tény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B27882" w:rsidRPr="003B0CFD" w:rsidRDefault="00E57BD9" w:rsidP="0024691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2011</w:t>
            </w:r>
            <w:r w:rsidR="00B27882" w:rsidRPr="003B0CFD">
              <w:rPr>
                <w:b/>
                <w:bCs/>
                <w:i/>
                <w:iCs/>
                <w:color w:val="000000"/>
              </w:rPr>
              <w:t>. tény/</w:t>
            </w:r>
            <w:r w:rsidR="00B27882" w:rsidRPr="003B0CFD">
              <w:rPr>
                <w:b/>
                <w:bCs/>
                <w:i/>
                <w:iCs/>
                <w:color w:val="000000"/>
              </w:rPr>
              <w:br/>
            </w:r>
            <w:r>
              <w:rPr>
                <w:b/>
                <w:bCs/>
                <w:i/>
                <w:iCs/>
                <w:color w:val="000000"/>
              </w:rPr>
              <w:t>2011</w:t>
            </w:r>
            <w:r w:rsidR="00B27882" w:rsidRPr="003B0CFD">
              <w:rPr>
                <w:b/>
                <w:bCs/>
                <w:i/>
                <w:iCs/>
                <w:color w:val="000000"/>
              </w:rPr>
              <w:t>. terv</w:t>
            </w:r>
          </w:p>
        </w:tc>
      </w:tr>
      <w:tr w:rsidR="00B27882" w:rsidRPr="003B0CFD">
        <w:trPr>
          <w:trHeight w:val="300"/>
        </w:trPr>
        <w:tc>
          <w:tcPr>
            <w:tcW w:w="32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27882" w:rsidRPr="003B0CFD" w:rsidRDefault="00B27882" w:rsidP="00135558">
            <w:pPr>
              <w:rPr>
                <w:i/>
                <w:iCs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27882" w:rsidRPr="003B0CFD" w:rsidRDefault="00B27882" w:rsidP="00135558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27882" w:rsidRPr="003B0CFD" w:rsidRDefault="00B27882" w:rsidP="0013555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B0CFD">
              <w:rPr>
                <w:b/>
                <w:bCs/>
                <w:i/>
                <w:iCs/>
                <w:color w:val="000000"/>
              </w:rPr>
              <w:t>terv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B27882" w:rsidRPr="003B0CFD" w:rsidRDefault="00B27882" w:rsidP="001C264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B0CFD">
              <w:rPr>
                <w:b/>
                <w:bCs/>
                <w:i/>
                <w:iCs/>
                <w:color w:val="000000"/>
              </w:rPr>
              <w:t xml:space="preserve">tény </w:t>
            </w: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27882" w:rsidRPr="003B0CFD" w:rsidRDefault="00B27882" w:rsidP="00135558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27882" w:rsidRPr="003B0CFD" w:rsidRDefault="00B27882" w:rsidP="00135558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352A72" w:rsidRPr="003B0CFD" w:rsidTr="00E83B78">
        <w:trPr>
          <w:trHeight w:val="369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52A72" w:rsidRPr="003B0CFD" w:rsidRDefault="00352A72" w:rsidP="00135558">
            <w:pPr>
              <w:rPr>
                <w:i/>
                <w:iCs/>
              </w:rPr>
            </w:pPr>
            <w:r w:rsidRPr="003B0CFD">
              <w:rPr>
                <w:i/>
                <w:iCs/>
              </w:rPr>
              <w:t>PÉNZÜGYI MŰVELETEK BEVÉTELEI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352A72" w:rsidRPr="003B0CFD" w:rsidRDefault="00D1069F" w:rsidP="00B2788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37 710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A72" w:rsidRPr="003B0CFD" w:rsidRDefault="00D1069F" w:rsidP="00B2788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22 000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352A72" w:rsidRPr="003B0CFD" w:rsidRDefault="00D1069F" w:rsidP="00B2788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41 578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right w:w="227" w:type="dxa"/>
            </w:tcMar>
            <w:vAlign w:val="center"/>
          </w:tcPr>
          <w:p w:rsidR="00352A72" w:rsidRPr="003B0CFD" w:rsidRDefault="00D1069F" w:rsidP="00E83B7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110,3%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right w:w="227" w:type="dxa"/>
            </w:tcMar>
            <w:vAlign w:val="center"/>
          </w:tcPr>
          <w:p w:rsidR="00352A72" w:rsidRPr="003B0CFD" w:rsidRDefault="00D1069F" w:rsidP="00E83B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189%</w:t>
            </w:r>
          </w:p>
        </w:tc>
      </w:tr>
      <w:tr w:rsidR="00352A72" w:rsidRPr="003B0CFD" w:rsidTr="00E83B78">
        <w:trPr>
          <w:trHeight w:val="369"/>
        </w:trPr>
        <w:tc>
          <w:tcPr>
            <w:tcW w:w="3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52A72" w:rsidRPr="003B0CFD" w:rsidRDefault="00352A72" w:rsidP="00135558">
            <w:pPr>
              <w:rPr>
                <w:i/>
                <w:iCs/>
              </w:rPr>
            </w:pPr>
            <w:r w:rsidRPr="003B0CFD">
              <w:rPr>
                <w:i/>
                <w:iCs/>
              </w:rPr>
              <w:t>PÉNZÜGYI MŰVELETEK RÁFORDÍTÁSAI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352A72" w:rsidRPr="003B0CFD" w:rsidRDefault="00D1069F" w:rsidP="00B2788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A72" w:rsidRPr="003B0CFD" w:rsidRDefault="00D1069F" w:rsidP="00B2788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352A72" w:rsidRPr="003B0CFD" w:rsidRDefault="00D1069F" w:rsidP="00B2788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4 212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right w:w="227" w:type="dxa"/>
            </w:tcMar>
            <w:vAlign w:val="center"/>
          </w:tcPr>
          <w:p w:rsidR="00352A72" w:rsidRPr="003B0CFD" w:rsidRDefault="00D1069F" w:rsidP="00E83B7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right w:w="227" w:type="dxa"/>
            </w:tcMar>
            <w:vAlign w:val="center"/>
          </w:tcPr>
          <w:p w:rsidR="00352A72" w:rsidRPr="003B0CFD" w:rsidRDefault="00775061" w:rsidP="00E83B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352A72" w:rsidRPr="003B0CFD" w:rsidTr="00E83B78">
        <w:trPr>
          <w:trHeight w:val="369"/>
        </w:trPr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52A72" w:rsidRPr="003B0CFD" w:rsidRDefault="00352A72" w:rsidP="00135558">
            <w:pPr>
              <w:rPr>
                <w:b/>
                <w:bCs/>
                <w:i/>
                <w:iCs/>
              </w:rPr>
            </w:pPr>
            <w:r w:rsidRPr="003B0CFD">
              <w:rPr>
                <w:b/>
                <w:bCs/>
                <w:i/>
                <w:iCs/>
              </w:rPr>
              <w:t>PÉNZÜGYI MŰVELETEK EREDMÉNYE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352A72" w:rsidRPr="003B0CFD" w:rsidRDefault="00D1069F" w:rsidP="00B27882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37 692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A72" w:rsidRPr="003B0CFD" w:rsidRDefault="00D1069F" w:rsidP="00B27882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22 000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352A72" w:rsidRPr="003B0CFD" w:rsidRDefault="00D1069F" w:rsidP="00B27882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37 366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right w:w="227" w:type="dxa"/>
            </w:tcMar>
            <w:vAlign w:val="center"/>
          </w:tcPr>
          <w:p w:rsidR="00352A72" w:rsidRPr="003B0CFD" w:rsidRDefault="00D1069F" w:rsidP="00E83B78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99,12%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right w:w="227" w:type="dxa"/>
            </w:tcMar>
            <w:vAlign w:val="center"/>
          </w:tcPr>
          <w:p w:rsidR="00352A72" w:rsidRPr="003B0CFD" w:rsidRDefault="00D1069F" w:rsidP="00E83B78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169,9%</w:t>
            </w:r>
          </w:p>
        </w:tc>
      </w:tr>
    </w:tbl>
    <w:p w:rsidR="005B0AE2" w:rsidRPr="0027091D" w:rsidRDefault="00A66B10" w:rsidP="0027091D">
      <w:pPr>
        <w:pStyle w:val="Listaszerbekezds"/>
        <w:numPr>
          <w:ilvl w:val="1"/>
          <w:numId w:val="18"/>
        </w:numPr>
        <w:spacing w:before="360" w:after="120" w:line="276" w:lineRule="auto"/>
        <w:ind w:left="426" w:hanging="426"/>
        <w:jc w:val="both"/>
        <w:rPr>
          <w:i/>
        </w:rPr>
      </w:pPr>
      <w:r w:rsidRPr="0027091D">
        <w:rPr>
          <w:i/>
        </w:rPr>
        <w:lastRenderedPageBreak/>
        <w:t xml:space="preserve"> </w:t>
      </w:r>
      <w:r w:rsidR="00A75510" w:rsidRPr="0027091D">
        <w:rPr>
          <w:i/>
        </w:rPr>
        <w:t>Mérleg szerinti eredmény</w:t>
      </w:r>
    </w:p>
    <w:p w:rsidR="00170D4E" w:rsidRDefault="00170D4E" w:rsidP="00801983">
      <w:pPr>
        <w:spacing w:after="120" w:line="276" w:lineRule="auto"/>
        <w:ind w:firstLine="357"/>
        <w:jc w:val="both"/>
      </w:pPr>
    </w:p>
    <w:p w:rsidR="00863AFD" w:rsidRDefault="00863AFD" w:rsidP="00801983">
      <w:pPr>
        <w:spacing w:after="120" w:line="276" w:lineRule="auto"/>
        <w:ind w:firstLine="357"/>
        <w:jc w:val="both"/>
      </w:pPr>
      <w:r>
        <w:t xml:space="preserve">A szokásos vállalkozási eredmény tartalmazza az üzemi eredmény pénzügyi eredménnyel módosított </w:t>
      </w:r>
      <w:r w:rsidR="008D7DE1">
        <w:t>összegét. Mivel a pénzügyi eredmény nagy összegű pozitív nyereséget</w:t>
      </w:r>
      <w:r>
        <w:t xml:space="preserve"> mutatott, a szokásos vállalkozási eredmény i</w:t>
      </w:r>
      <w:r w:rsidR="0059760C">
        <w:t xml:space="preserve">s ennek megfelelően alakult, így </w:t>
      </w:r>
      <w:r w:rsidR="0073533F">
        <w:t>a -</w:t>
      </w:r>
      <w:r w:rsidR="00696CB2">
        <w:t xml:space="preserve">63.465,- e </w:t>
      </w:r>
      <w:r w:rsidR="0073533F">
        <w:t>Ft-os üzemi veszteség -</w:t>
      </w:r>
      <w:r w:rsidR="007C61FB">
        <w:t>26.099,-</w:t>
      </w:r>
      <w:r>
        <w:t xml:space="preserve"> </w:t>
      </w:r>
      <w:r w:rsidR="007C61FB">
        <w:t xml:space="preserve">e </w:t>
      </w:r>
      <w:r>
        <w:t>Ft-ra csökkent. Tekintettel arra, ho</w:t>
      </w:r>
      <w:r w:rsidR="0073533F">
        <w:t xml:space="preserve">gy adófizetési kötelezettség </w:t>
      </w:r>
      <w:r>
        <w:t xml:space="preserve"> keletkezett</w:t>
      </w:r>
      <w:r w:rsidR="0073533F">
        <w:t xml:space="preserve"> </w:t>
      </w:r>
      <w:r w:rsidR="00696CB2">
        <w:t>133</w:t>
      </w:r>
      <w:r w:rsidR="00782D32">
        <w:t> </w:t>
      </w:r>
      <w:r w:rsidR="0073533F">
        <w:t xml:space="preserve">ezer </w:t>
      </w:r>
      <w:proofErr w:type="gramStart"/>
      <w:r w:rsidR="0073533F">
        <w:t>forint értékben</w:t>
      </w:r>
      <w:proofErr w:type="gramEnd"/>
      <w:r>
        <w:t xml:space="preserve">, a </w:t>
      </w:r>
      <w:r w:rsidR="0073533F">
        <w:t>szokásos vállalkozási</w:t>
      </w:r>
      <w:r>
        <w:t xml:space="preserve"> eredmény </w:t>
      </w:r>
      <w:r w:rsidR="0073533F">
        <w:t xml:space="preserve">ennyivel tér el a </w:t>
      </w:r>
      <w:r>
        <w:t>mérlegszerinti eredmén</w:t>
      </w:r>
      <w:r w:rsidR="004B1192">
        <w:t>y</w:t>
      </w:r>
      <w:r w:rsidR="0073533F">
        <w:t>től</w:t>
      </w:r>
      <w:r>
        <w:t xml:space="preserve">. </w:t>
      </w:r>
    </w:p>
    <w:p w:rsidR="00170D4E" w:rsidRDefault="00170D4E" w:rsidP="00801983">
      <w:pPr>
        <w:spacing w:after="120" w:line="276" w:lineRule="auto"/>
        <w:ind w:firstLine="357"/>
        <w:jc w:val="both"/>
        <w:rPr>
          <w:b/>
        </w:rPr>
      </w:pPr>
    </w:p>
    <w:p w:rsidR="00863AFD" w:rsidRDefault="00863AFD" w:rsidP="00801983">
      <w:pPr>
        <w:spacing w:after="120" w:line="276" w:lineRule="auto"/>
        <w:ind w:firstLine="357"/>
        <w:jc w:val="both"/>
        <w:rPr>
          <w:b/>
        </w:rPr>
      </w:pPr>
      <w:r w:rsidRPr="00863AFD">
        <w:rPr>
          <w:b/>
        </w:rPr>
        <w:t xml:space="preserve">Az ÉPIT Zrt. </w:t>
      </w:r>
      <w:r w:rsidR="00E57BD9">
        <w:rPr>
          <w:b/>
        </w:rPr>
        <w:t>2011</w:t>
      </w:r>
      <w:r w:rsidR="00B27882">
        <w:rPr>
          <w:b/>
        </w:rPr>
        <w:t>. </w:t>
      </w:r>
      <w:r w:rsidRPr="00863AFD">
        <w:rPr>
          <w:b/>
        </w:rPr>
        <w:t>évi mérleg</w:t>
      </w:r>
      <w:r w:rsidR="00843B46">
        <w:rPr>
          <w:b/>
        </w:rPr>
        <w:t xml:space="preserve"> </w:t>
      </w:r>
      <w:r w:rsidRPr="00863AFD">
        <w:rPr>
          <w:b/>
        </w:rPr>
        <w:t xml:space="preserve">szerinti eredménye </w:t>
      </w:r>
      <w:r w:rsidR="0059760C">
        <w:rPr>
          <w:b/>
        </w:rPr>
        <w:t xml:space="preserve">mínusz </w:t>
      </w:r>
      <w:r w:rsidR="003B6B37">
        <w:rPr>
          <w:b/>
        </w:rPr>
        <w:t>26.23</w:t>
      </w:r>
      <w:r w:rsidR="00696CB2">
        <w:rPr>
          <w:b/>
        </w:rPr>
        <w:t>2</w:t>
      </w:r>
      <w:r w:rsidR="00782D32">
        <w:rPr>
          <w:b/>
        </w:rPr>
        <w:t>,</w:t>
      </w:r>
      <w:proofErr w:type="spellStart"/>
      <w:r w:rsidR="00782D32">
        <w:rPr>
          <w:b/>
        </w:rPr>
        <w:t>-</w:t>
      </w:r>
      <w:r w:rsidRPr="00863AFD">
        <w:rPr>
          <w:b/>
        </w:rPr>
        <w:t>e</w:t>
      </w:r>
      <w:proofErr w:type="spellEnd"/>
      <w:r w:rsidR="00472594">
        <w:rPr>
          <w:b/>
        </w:rPr>
        <w:t xml:space="preserve"> </w:t>
      </w:r>
      <w:r w:rsidRPr="00863AFD">
        <w:rPr>
          <w:b/>
        </w:rPr>
        <w:t>Ft.</w:t>
      </w:r>
    </w:p>
    <w:p w:rsidR="00170D4E" w:rsidRDefault="00170D4E" w:rsidP="00801983">
      <w:pPr>
        <w:spacing w:after="120" w:line="276" w:lineRule="auto"/>
        <w:jc w:val="both"/>
      </w:pPr>
    </w:p>
    <w:p w:rsidR="00863AFD" w:rsidRPr="0088115F" w:rsidRDefault="0073533F" w:rsidP="00801983">
      <w:pPr>
        <w:spacing w:after="120" w:line="276" w:lineRule="auto"/>
        <w:jc w:val="both"/>
      </w:pPr>
      <w:r>
        <w:t xml:space="preserve">A </w:t>
      </w:r>
      <w:r w:rsidR="00E57BD9">
        <w:t>2011</w:t>
      </w:r>
      <w:r>
        <w:t>.</w:t>
      </w:r>
      <w:r w:rsidR="00782D32">
        <w:t> </w:t>
      </w:r>
      <w:r>
        <w:t xml:space="preserve">évi üzleti tervben </w:t>
      </w:r>
      <w:r w:rsidR="007C61FB">
        <w:t xml:space="preserve">negatív </w:t>
      </w:r>
      <w:r>
        <w:t xml:space="preserve">mérleg szerinti eredménnyel tervezett a társaság. Az ingatlanértékesítés elvárt volumenének elmaradása miatt a </w:t>
      </w:r>
      <w:r w:rsidR="007C61FB">
        <w:t>-10.8</w:t>
      </w:r>
      <w:r w:rsidR="006425A7">
        <w:t>8</w:t>
      </w:r>
      <w:r w:rsidR="007C61FB">
        <w:t xml:space="preserve">0,- e Ft </w:t>
      </w:r>
      <w:r>
        <w:t xml:space="preserve">eredmény helyett </w:t>
      </w:r>
      <w:r w:rsidR="006425A7">
        <w:t xml:space="preserve">nagyobb </w:t>
      </w:r>
      <w:r>
        <w:t xml:space="preserve">veszteséget realizáltunk. </w:t>
      </w:r>
      <w:r w:rsidR="001D756D">
        <w:t>Ez a mérleg szerinti eredmény</w:t>
      </w:r>
      <w:r w:rsidR="00863AFD">
        <w:t xml:space="preserve"> </w:t>
      </w:r>
      <w:r w:rsidR="00D16A49">
        <w:rPr>
          <w:b/>
        </w:rPr>
        <w:t>20,9</w:t>
      </w:r>
      <w:r w:rsidR="00170D4E">
        <w:rPr>
          <w:b/>
        </w:rPr>
        <w:t>%-kal magasabb</w:t>
      </w:r>
      <w:r w:rsidR="00863AFD" w:rsidRPr="00C72E51">
        <w:rPr>
          <w:b/>
        </w:rPr>
        <w:t xml:space="preserve">, </w:t>
      </w:r>
      <w:r w:rsidR="00863AFD" w:rsidRPr="00C72E51">
        <w:t xml:space="preserve">mint a </w:t>
      </w:r>
      <w:r w:rsidR="00E57BD9">
        <w:t>2010</w:t>
      </w:r>
      <w:r w:rsidR="00863AFD" w:rsidRPr="00C72E51">
        <w:t>-</w:t>
      </w:r>
      <w:r w:rsidR="00782D32">
        <w:t>e</w:t>
      </w:r>
      <w:r w:rsidR="00782D32" w:rsidRPr="00C72E51">
        <w:t xml:space="preserve">s </w:t>
      </w:r>
      <w:r w:rsidR="00863AFD" w:rsidRPr="00C72E51">
        <w:t>év</w:t>
      </w:r>
      <w:r w:rsidR="0088115F" w:rsidRPr="00C72E51">
        <w:t xml:space="preserve"> vesztesége.</w:t>
      </w:r>
    </w:p>
    <w:p w:rsidR="00D310A7" w:rsidRDefault="00863AFD" w:rsidP="00551944">
      <w:pPr>
        <w:spacing w:line="276" w:lineRule="auto"/>
        <w:jc w:val="both"/>
      </w:pPr>
      <w:r>
        <w:t xml:space="preserve">A mérleg szerinti eredmény alakulását, az alábbi táblázat </w:t>
      </w:r>
      <w:r w:rsidR="00B80E65">
        <w:t>mutatja.</w:t>
      </w:r>
    </w:p>
    <w:p w:rsidR="00D310A7" w:rsidRDefault="00D310A7" w:rsidP="00551944">
      <w:pPr>
        <w:spacing w:line="276" w:lineRule="auto"/>
        <w:jc w:val="right"/>
        <w:rPr>
          <w:sz w:val="18"/>
          <w:szCs w:val="18"/>
        </w:rPr>
      </w:pPr>
    </w:p>
    <w:p w:rsidR="00863AFD" w:rsidRPr="00863AFD" w:rsidRDefault="00863AFD" w:rsidP="00551944">
      <w:pPr>
        <w:spacing w:line="276" w:lineRule="auto"/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>a</w:t>
      </w:r>
      <w:r w:rsidRPr="00863AFD">
        <w:rPr>
          <w:sz w:val="18"/>
          <w:szCs w:val="18"/>
        </w:rPr>
        <w:t>datok</w:t>
      </w:r>
      <w:proofErr w:type="gramEnd"/>
      <w:r w:rsidRPr="00863AFD">
        <w:rPr>
          <w:sz w:val="18"/>
          <w:szCs w:val="18"/>
        </w:rPr>
        <w:t xml:space="preserve"> e</w:t>
      </w:r>
      <w:r w:rsidR="00B27882">
        <w:rPr>
          <w:sz w:val="18"/>
          <w:szCs w:val="18"/>
        </w:rPr>
        <w:t> </w:t>
      </w:r>
      <w:r w:rsidRPr="00863AFD">
        <w:rPr>
          <w:sz w:val="18"/>
          <w:szCs w:val="18"/>
        </w:rPr>
        <w:t>Ft-ban</w:t>
      </w:r>
    </w:p>
    <w:tbl>
      <w:tblPr>
        <w:tblW w:w="919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55"/>
        <w:gridCol w:w="1260"/>
        <w:gridCol w:w="965"/>
        <w:gridCol w:w="1195"/>
        <w:gridCol w:w="1260"/>
        <w:gridCol w:w="1260"/>
      </w:tblGrid>
      <w:tr w:rsidR="00B27882" w:rsidRPr="00801983">
        <w:trPr>
          <w:trHeight w:val="315"/>
        </w:trPr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CC"/>
            <w:vAlign w:val="center"/>
          </w:tcPr>
          <w:p w:rsidR="00B27882" w:rsidRPr="00801983" w:rsidRDefault="00B27882" w:rsidP="00106488">
            <w:pPr>
              <w:jc w:val="center"/>
              <w:rPr>
                <w:i/>
                <w:iCs/>
                <w:color w:val="000000"/>
              </w:rPr>
            </w:pPr>
            <w:r w:rsidRPr="00801983">
              <w:rPr>
                <w:i/>
                <w:iCs/>
                <w:color w:val="000000"/>
              </w:rPr>
              <w:t>Megnevezés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CC"/>
            <w:vAlign w:val="center"/>
          </w:tcPr>
          <w:p w:rsidR="00B27882" w:rsidRPr="00801983" w:rsidRDefault="00E57BD9" w:rsidP="001C264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2010</w:t>
            </w:r>
            <w:r w:rsidR="00B27882" w:rsidRPr="00801983">
              <w:rPr>
                <w:b/>
                <w:bCs/>
                <w:i/>
                <w:iCs/>
                <w:color w:val="000000"/>
              </w:rPr>
              <w:t>. tény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CFFCC"/>
            <w:noWrap/>
            <w:vAlign w:val="bottom"/>
          </w:tcPr>
          <w:p w:rsidR="00B27882" w:rsidRPr="00801983" w:rsidRDefault="00E57BD9" w:rsidP="001C264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2011</w:t>
            </w:r>
            <w:r w:rsidR="00B27882" w:rsidRPr="00801983">
              <w:rPr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B27882" w:rsidRPr="00801983" w:rsidRDefault="00E57BD9" w:rsidP="00C72E5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2011</w:t>
            </w:r>
            <w:r w:rsidR="00EF31B0" w:rsidRPr="00801983">
              <w:rPr>
                <w:b/>
                <w:bCs/>
                <w:i/>
                <w:iCs/>
                <w:color w:val="000000"/>
              </w:rPr>
              <w:t>. tény/</w:t>
            </w:r>
            <w:r w:rsidR="00EF31B0" w:rsidRPr="00801983">
              <w:rPr>
                <w:b/>
                <w:bCs/>
                <w:i/>
                <w:iCs/>
                <w:color w:val="000000"/>
              </w:rPr>
              <w:br/>
            </w:r>
            <w:r>
              <w:rPr>
                <w:b/>
                <w:bCs/>
                <w:i/>
                <w:iCs/>
                <w:color w:val="000000"/>
              </w:rPr>
              <w:t>2010</w:t>
            </w:r>
            <w:r w:rsidR="00B27882" w:rsidRPr="00801983">
              <w:rPr>
                <w:b/>
                <w:bCs/>
                <w:i/>
                <w:iCs/>
                <w:color w:val="000000"/>
              </w:rPr>
              <w:t>. </w:t>
            </w:r>
            <w:r w:rsidR="00C72E51" w:rsidRPr="00801983">
              <w:rPr>
                <w:b/>
                <w:bCs/>
                <w:i/>
                <w:iCs/>
                <w:color w:val="000000"/>
              </w:rPr>
              <w:t>tény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B27882" w:rsidRPr="00801983" w:rsidRDefault="00E57BD9" w:rsidP="001C264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2011</w:t>
            </w:r>
            <w:r w:rsidR="00B27882" w:rsidRPr="00801983">
              <w:rPr>
                <w:b/>
                <w:bCs/>
                <w:i/>
                <w:iCs/>
                <w:color w:val="000000"/>
              </w:rPr>
              <w:t>. tény/</w:t>
            </w:r>
            <w:r w:rsidR="00B27882" w:rsidRPr="00801983">
              <w:rPr>
                <w:b/>
                <w:bCs/>
                <w:i/>
                <w:iCs/>
                <w:color w:val="000000"/>
              </w:rPr>
              <w:br/>
            </w:r>
            <w:r>
              <w:rPr>
                <w:b/>
                <w:bCs/>
                <w:i/>
                <w:iCs/>
                <w:color w:val="000000"/>
              </w:rPr>
              <w:t>2011</w:t>
            </w:r>
            <w:r w:rsidR="00B27882" w:rsidRPr="00801983">
              <w:rPr>
                <w:b/>
                <w:bCs/>
                <w:i/>
                <w:iCs/>
                <w:color w:val="000000"/>
              </w:rPr>
              <w:t>. terv</w:t>
            </w:r>
          </w:p>
        </w:tc>
      </w:tr>
      <w:tr w:rsidR="00B27882" w:rsidRPr="00801983">
        <w:trPr>
          <w:trHeight w:val="300"/>
        </w:trPr>
        <w:tc>
          <w:tcPr>
            <w:tcW w:w="32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27882" w:rsidRPr="00801983" w:rsidRDefault="00B27882" w:rsidP="00106488">
            <w:pPr>
              <w:rPr>
                <w:i/>
                <w:iCs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27882" w:rsidRPr="00801983" w:rsidRDefault="00B27882" w:rsidP="00106488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27882" w:rsidRPr="00801983" w:rsidRDefault="00B27882" w:rsidP="0010648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01983">
              <w:rPr>
                <w:b/>
                <w:bCs/>
                <w:i/>
                <w:iCs/>
                <w:color w:val="000000"/>
              </w:rPr>
              <w:t>terv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B27882" w:rsidRPr="00801983" w:rsidRDefault="00B27882" w:rsidP="001C264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01983">
              <w:rPr>
                <w:b/>
                <w:bCs/>
                <w:i/>
                <w:iCs/>
                <w:color w:val="000000"/>
              </w:rPr>
              <w:t xml:space="preserve">tény </w:t>
            </w: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27882" w:rsidRPr="00801983" w:rsidRDefault="00B27882" w:rsidP="00106488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27882" w:rsidRPr="00801983" w:rsidRDefault="00B27882" w:rsidP="00106488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AE7ACC" w:rsidRPr="00801983" w:rsidTr="00F864C1">
        <w:trPr>
          <w:trHeight w:val="369"/>
        </w:trPr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CC"/>
            <w:noWrap/>
            <w:vAlign w:val="center"/>
          </w:tcPr>
          <w:p w:rsidR="00AE7ACC" w:rsidRPr="007A7F1E" w:rsidRDefault="00AE7ACC" w:rsidP="00F864C1">
            <w:pPr>
              <w:jc w:val="center"/>
              <w:rPr>
                <w:b/>
                <w:bCs/>
                <w:i/>
                <w:iCs/>
                <w:color w:val="FFFFFF"/>
              </w:rPr>
            </w:pPr>
            <w:r w:rsidRPr="007A7F1E">
              <w:rPr>
                <w:b/>
                <w:bCs/>
                <w:i/>
                <w:iCs/>
                <w:color w:val="FFFFFF"/>
              </w:rPr>
              <w:t>ÜZEMI (ÜZLETI) TEVÉKENYSÉG EREDMÉNYE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noWrap/>
            <w:vAlign w:val="center"/>
          </w:tcPr>
          <w:p w:rsidR="00AE7ACC" w:rsidRPr="007A7F1E" w:rsidRDefault="00AE7ACC" w:rsidP="00843B46">
            <w:pPr>
              <w:jc w:val="center"/>
              <w:rPr>
                <w:b/>
                <w:bCs/>
                <w:i/>
                <w:iCs/>
                <w:color w:val="FFFFFF"/>
              </w:rPr>
            </w:pPr>
            <w:r w:rsidRPr="007A7F1E">
              <w:rPr>
                <w:b/>
                <w:bCs/>
                <w:i/>
                <w:iCs/>
                <w:color w:val="FFFFFF"/>
              </w:rPr>
              <w:t>-</w:t>
            </w:r>
            <w:r w:rsidR="00843B46">
              <w:rPr>
                <w:b/>
                <w:bCs/>
                <w:i/>
                <w:iCs/>
                <w:color w:val="FFFFFF"/>
              </w:rPr>
              <w:t>59 086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99CC"/>
            <w:noWrap/>
            <w:vAlign w:val="center"/>
          </w:tcPr>
          <w:p w:rsidR="00AE7ACC" w:rsidRPr="007A7F1E" w:rsidRDefault="00772F9E" w:rsidP="00F864C1">
            <w:pPr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b/>
                <w:bCs/>
                <w:i/>
                <w:iCs/>
                <w:color w:val="FFFFFF"/>
              </w:rPr>
              <w:t>-31 880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noWrap/>
            <w:vAlign w:val="center"/>
          </w:tcPr>
          <w:p w:rsidR="00AE7ACC" w:rsidRPr="007A7F1E" w:rsidRDefault="00696CB2" w:rsidP="00696CB2">
            <w:pPr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b/>
                <w:bCs/>
                <w:i/>
                <w:iCs/>
                <w:color w:val="FFFFFF"/>
              </w:rPr>
              <w:t xml:space="preserve">- </w:t>
            </w:r>
            <w:r w:rsidR="00A81BE6">
              <w:rPr>
                <w:b/>
                <w:bCs/>
                <w:i/>
                <w:iCs/>
                <w:color w:val="FFFFFF"/>
              </w:rPr>
              <w:t>63 465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noWrap/>
            <w:vAlign w:val="center"/>
          </w:tcPr>
          <w:p w:rsidR="00AE7ACC" w:rsidRPr="007A7F1E" w:rsidRDefault="006425A7" w:rsidP="002A3792">
            <w:pPr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b/>
                <w:bCs/>
                <w:i/>
                <w:iCs/>
                <w:color w:val="FFFFFF"/>
              </w:rPr>
              <w:t>10</w:t>
            </w:r>
            <w:r w:rsidR="002A3792">
              <w:rPr>
                <w:b/>
                <w:bCs/>
                <w:i/>
                <w:iCs/>
                <w:color w:val="FFFFFF"/>
              </w:rPr>
              <w:t>7,4</w:t>
            </w:r>
            <w:r>
              <w:rPr>
                <w:b/>
                <w:bCs/>
                <w:i/>
                <w:iCs/>
                <w:color w:val="FFFFFF"/>
              </w:rPr>
              <w:t>%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noWrap/>
            <w:vAlign w:val="center"/>
          </w:tcPr>
          <w:p w:rsidR="00AE7ACC" w:rsidRPr="007A7F1E" w:rsidRDefault="006425A7" w:rsidP="00F864C1">
            <w:pPr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b/>
                <w:bCs/>
                <w:i/>
                <w:iCs/>
                <w:color w:val="FFFFFF"/>
              </w:rPr>
              <w:t>199,1%</w:t>
            </w:r>
          </w:p>
        </w:tc>
      </w:tr>
      <w:tr w:rsidR="00AE7ACC" w:rsidRPr="00801983" w:rsidTr="00F864C1">
        <w:trPr>
          <w:trHeight w:val="369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E7ACC" w:rsidRPr="00801983" w:rsidRDefault="00AE7ACC" w:rsidP="00F864C1">
            <w:pPr>
              <w:jc w:val="center"/>
              <w:rPr>
                <w:i/>
                <w:iCs/>
              </w:rPr>
            </w:pPr>
            <w:r w:rsidRPr="00801983">
              <w:rPr>
                <w:i/>
                <w:iCs/>
              </w:rPr>
              <w:t>PÉNZÜGYI MŰVELETEK BEVÉTELEI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E7ACC" w:rsidRPr="00801983" w:rsidRDefault="00AE7ACC" w:rsidP="00AE7ACC">
            <w:pPr>
              <w:jc w:val="center"/>
              <w:rPr>
                <w:i/>
                <w:iCs/>
                <w:color w:val="000000"/>
              </w:rPr>
            </w:pPr>
            <w:r w:rsidRPr="00801983">
              <w:rPr>
                <w:i/>
                <w:iCs/>
                <w:color w:val="000000"/>
              </w:rPr>
              <w:t>37 710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7ACC" w:rsidRPr="00801983" w:rsidRDefault="00772F9E" w:rsidP="00F864C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22 000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E7ACC" w:rsidRPr="00801983" w:rsidRDefault="00772F9E" w:rsidP="00F864C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41 578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E7ACC" w:rsidRPr="006425A7" w:rsidRDefault="006425A7" w:rsidP="006425A7">
            <w:pPr>
              <w:jc w:val="center"/>
              <w:rPr>
                <w:i/>
                <w:iCs/>
              </w:rPr>
            </w:pPr>
            <w:r w:rsidRPr="006425A7">
              <w:rPr>
                <w:bCs/>
                <w:i/>
                <w:iCs/>
              </w:rPr>
              <w:t>110,3%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E7ACC" w:rsidRPr="006425A7" w:rsidRDefault="006425A7" w:rsidP="00F864C1">
            <w:pPr>
              <w:jc w:val="center"/>
              <w:rPr>
                <w:i/>
                <w:color w:val="000000"/>
              </w:rPr>
            </w:pPr>
            <w:r w:rsidRPr="006425A7">
              <w:rPr>
                <w:i/>
                <w:color w:val="000000"/>
              </w:rPr>
              <w:t>189%</w:t>
            </w:r>
          </w:p>
        </w:tc>
      </w:tr>
      <w:tr w:rsidR="00AE7ACC" w:rsidRPr="00801983" w:rsidTr="00F864C1">
        <w:trPr>
          <w:trHeight w:val="369"/>
        </w:trPr>
        <w:tc>
          <w:tcPr>
            <w:tcW w:w="3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E7ACC" w:rsidRPr="00801983" w:rsidRDefault="00AE7ACC" w:rsidP="00F864C1">
            <w:pPr>
              <w:jc w:val="center"/>
              <w:rPr>
                <w:i/>
                <w:iCs/>
              </w:rPr>
            </w:pPr>
            <w:r w:rsidRPr="00801983">
              <w:rPr>
                <w:i/>
                <w:iCs/>
              </w:rPr>
              <w:t>PÉNZÜGYI MŰVELETEK RÁFORDÍTÁSAI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E7ACC" w:rsidRPr="00801983" w:rsidRDefault="00AE7ACC" w:rsidP="00AE7AC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01983">
              <w:rPr>
                <w:b/>
                <w:bCs/>
                <w:i/>
                <w:iCs/>
                <w:color w:val="000000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7ACC" w:rsidRPr="00801983" w:rsidRDefault="00A81BE6" w:rsidP="00F864C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E7ACC" w:rsidRPr="00801983" w:rsidRDefault="00772F9E" w:rsidP="00F864C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4 212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E7ACC" w:rsidRPr="00801983" w:rsidRDefault="006425A7" w:rsidP="00F864C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234</w:t>
            </w:r>
            <w:r w:rsidR="0027091D">
              <w:rPr>
                <w:i/>
                <w:iCs/>
                <w:color w:val="000000"/>
              </w:rPr>
              <w:t>00</w:t>
            </w:r>
            <w:r>
              <w:rPr>
                <w:i/>
                <w:iCs/>
                <w:color w:val="000000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E7ACC" w:rsidRPr="00801983" w:rsidRDefault="006425A7" w:rsidP="00F864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E7ACC" w:rsidRPr="00801983" w:rsidTr="00F864C1">
        <w:trPr>
          <w:trHeight w:val="369"/>
        </w:trPr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E7ACC" w:rsidRPr="00801983" w:rsidRDefault="00AE7ACC" w:rsidP="00F864C1">
            <w:pPr>
              <w:jc w:val="center"/>
              <w:rPr>
                <w:b/>
                <w:bCs/>
                <w:i/>
                <w:iCs/>
              </w:rPr>
            </w:pPr>
            <w:r w:rsidRPr="00801983">
              <w:rPr>
                <w:b/>
                <w:bCs/>
                <w:i/>
                <w:iCs/>
              </w:rPr>
              <w:t>PÉNZÜGYI MŰVELETEK EREDMÉNYE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E7ACC" w:rsidRPr="00801983" w:rsidRDefault="00AE7ACC" w:rsidP="00AE7ACC">
            <w:pPr>
              <w:jc w:val="center"/>
              <w:rPr>
                <w:b/>
                <w:bCs/>
                <w:i/>
                <w:iCs/>
              </w:rPr>
            </w:pPr>
            <w:r w:rsidRPr="00801983">
              <w:rPr>
                <w:b/>
                <w:bCs/>
                <w:i/>
                <w:iCs/>
              </w:rPr>
              <w:t>37 692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7ACC" w:rsidRPr="00801983" w:rsidRDefault="00772F9E" w:rsidP="00F864C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22 000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E7ACC" w:rsidRPr="00801983" w:rsidRDefault="00772F9E" w:rsidP="00F864C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37 366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E7ACC" w:rsidRPr="00801983" w:rsidRDefault="006425A7" w:rsidP="00F864C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99,1%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E7ACC" w:rsidRPr="00801983" w:rsidRDefault="006425A7" w:rsidP="006425A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169,8%</w:t>
            </w:r>
          </w:p>
        </w:tc>
      </w:tr>
      <w:tr w:rsidR="00AE7ACC" w:rsidRPr="00801983" w:rsidTr="00F864C1">
        <w:trPr>
          <w:trHeight w:val="369"/>
        </w:trPr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9966"/>
            <w:noWrap/>
            <w:vAlign w:val="center"/>
          </w:tcPr>
          <w:p w:rsidR="00AE7ACC" w:rsidRPr="00801983" w:rsidRDefault="00AE7ACC" w:rsidP="00F864C1">
            <w:pPr>
              <w:jc w:val="center"/>
              <w:rPr>
                <w:b/>
                <w:bCs/>
                <w:i/>
                <w:iCs/>
                <w:color w:val="FFFFFF"/>
              </w:rPr>
            </w:pPr>
            <w:r w:rsidRPr="00801983">
              <w:rPr>
                <w:b/>
                <w:bCs/>
                <w:i/>
                <w:iCs/>
                <w:color w:val="FFFFFF"/>
              </w:rPr>
              <w:t>SZOKÁSOS VÁLLALKOZÁSI EREDMÉNY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9966"/>
            <w:noWrap/>
            <w:vAlign w:val="center"/>
          </w:tcPr>
          <w:p w:rsidR="00AE7ACC" w:rsidRPr="00801983" w:rsidRDefault="00AE7ACC" w:rsidP="00843B46">
            <w:pPr>
              <w:jc w:val="center"/>
              <w:rPr>
                <w:b/>
                <w:bCs/>
                <w:i/>
                <w:iCs/>
                <w:color w:val="FFFFFF"/>
              </w:rPr>
            </w:pPr>
            <w:r w:rsidRPr="00801983">
              <w:rPr>
                <w:b/>
                <w:bCs/>
                <w:i/>
                <w:iCs/>
                <w:color w:val="FFFFFF"/>
              </w:rPr>
              <w:t>-</w:t>
            </w:r>
            <w:r w:rsidR="00843B46">
              <w:rPr>
                <w:b/>
                <w:bCs/>
                <w:i/>
                <w:iCs/>
                <w:color w:val="FFFFFF"/>
              </w:rPr>
              <w:t>21 394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339966"/>
            <w:noWrap/>
            <w:vAlign w:val="center"/>
          </w:tcPr>
          <w:p w:rsidR="00AE7ACC" w:rsidRPr="00801983" w:rsidRDefault="00772F9E" w:rsidP="00F864C1">
            <w:pPr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b/>
                <w:bCs/>
                <w:i/>
                <w:iCs/>
                <w:color w:val="FFFFFF"/>
              </w:rPr>
              <w:t>-9 880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9966"/>
            <w:noWrap/>
            <w:vAlign w:val="center"/>
          </w:tcPr>
          <w:p w:rsidR="00AE7ACC" w:rsidRPr="00801983" w:rsidRDefault="00772F9E" w:rsidP="00A81580">
            <w:pPr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b/>
                <w:bCs/>
                <w:i/>
                <w:iCs/>
                <w:color w:val="FFFFFF"/>
              </w:rPr>
              <w:t>-</w:t>
            </w:r>
            <w:r w:rsidR="00A81580">
              <w:rPr>
                <w:b/>
                <w:bCs/>
                <w:i/>
                <w:iCs/>
                <w:color w:val="FFFFFF"/>
              </w:rPr>
              <w:t>26 099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9966"/>
            <w:noWrap/>
            <w:vAlign w:val="center"/>
          </w:tcPr>
          <w:p w:rsidR="00AE7ACC" w:rsidRPr="00801983" w:rsidRDefault="00D16A49" w:rsidP="00F864C1">
            <w:pPr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b/>
                <w:bCs/>
                <w:i/>
                <w:iCs/>
                <w:color w:val="FFFFFF"/>
              </w:rPr>
              <w:t>121,9</w:t>
            </w:r>
            <w:r w:rsidR="006425A7">
              <w:rPr>
                <w:b/>
                <w:bCs/>
                <w:i/>
                <w:iCs/>
                <w:color w:val="FFFFFF"/>
              </w:rPr>
              <w:t>%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9966"/>
            <w:noWrap/>
            <w:vAlign w:val="center"/>
          </w:tcPr>
          <w:p w:rsidR="00AE7ACC" w:rsidRPr="00801983" w:rsidRDefault="006425A7" w:rsidP="00F864C1">
            <w:pPr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b/>
                <w:bCs/>
                <w:i/>
                <w:iCs/>
                <w:color w:val="FFFFFF"/>
              </w:rPr>
              <w:t>264,2%</w:t>
            </w:r>
          </w:p>
        </w:tc>
      </w:tr>
      <w:tr w:rsidR="00AE7ACC" w:rsidRPr="00801983" w:rsidTr="00F864C1">
        <w:trPr>
          <w:trHeight w:val="369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E7ACC" w:rsidRPr="00801983" w:rsidRDefault="00AE7ACC" w:rsidP="00F864C1">
            <w:pPr>
              <w:jc w:val="center"/>
              <w:rPr>
                <w:i/>
                <w:iCs/>
              </w:rPr>
            </w:pPr>
            <w:r w:rsidRPr="00801983">
              <w:rPr>
                <w:i/>
                <w:iCs/>
              </w:rPr>
              <w:t>RENDKÍVÜLI eredmény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E7ACC" w:rsidRPr="00801983" w:rsidRDefault="00A81BE6" w:rsidP="00AE7AC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7ACC" w:rsidRPr="00801983" w:rsidRDefault="00A81BE6" w:rsidP="00A81BE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E7ACC" w:rsidRPr="00801983" w:rsidRDefault="00A81BE6" w:rsidP="00F864C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E7ACC" w:rsidRPr="00801983" w:rsidRDefault="006425A7" w:rsidP="00F864C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E7ACC" w:rsidRPr="00801983" w:rsidRDefault="006425A7" w:rsidP="00F864C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</w:tr>
      <w:tr w:rsidR="00AE7ACC" w:rsidRPr="00801983" w:rsidTr="00F864C1">
        <w:trPr>
          <w:trHeight w:val="369"/>
        </w:trPr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9966"/>
            <w:noWrap/>
            <w:vAlign w:val="center"/>
          </w:tcPr>
          <w:p w:rsidR="00AE7ACC" w:rsidRPr="00801983" w:rsidRDefault="00AE7ACC" w:rsidP="00F864C1">
            <w:pPr>
              <w:jc w:val="center"/>
              <w:rPr>
                <w:b/>
                <w:bCs/>
                <w:i/>
                <w:iCs/>
                <w:color w:val="FFFFFF"/>
              </w:rPr>
            </w:pPr>
            <w:r w:rsidRPr="00801983">
              <w:rPr>
                <w:b/>
                <w:bCs/>
                <w:i/>
                <w:iCs/>
                <w:color w:val="FFFFFF"/>
              </w:rPr>
              <w:t>ADÓZÁS ELŐTTI EREDMÉNY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9966"/>
            <w:noWrap/>
            <w:vAlign w:val="center"/>
          </w:tcPr>
          <w:p w:rsidR="00AE7ACC" w:rsidRPr="00801983" w:rsidRDefault="00AE7ACC" w:rsidP="00772F9E">
            <w:pPr>
              <w:jc w:val="center"/>
              <w:rPr>
                <w:b/>
                <w:bCs/>
                <w:i/>
                <w:iCs/>
                <w:color w:val="FFFFFF"/>
              </w:rPr>
            </w:pPr>
            <w:r w:rsidRPr="00801983">
              <w:rPr>
                <w:b/>
                <w:bCs/>
                <w:i/>
                <w:iCs/>
                <w:color w:val="FFFFFF"/>
              </w:rPr>
              <w:t>-</w:t>
            </w:r>
            <w:r w:rsidR="00843B46">
              <w:rPr>
                <w:b/>
                <w:bCs/>
                <w:i/>
                <w:iCs/>
                <w:color w:val="FFFFFF"/>
              </w:rPr>
              <w:t>21 394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339966"/>
            <w:noWrap/>
            <w:vAlign w:val="center"/>
          </w:tcPr>
          <w:p w:rsidR="00AE7ACC" w:rsidRPr="00801983" w:rsidRDefault="00772F9E" w:rsidP="00F864C1">
            <w:pPr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b/>
                <w:bCs/>
                <w:i/>
                <w:iCs/>
                <w:color w:val="FFFFFF"/>
              </w:rPr>
              <w:t>-9 880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9966"/>
            <w:noWrap/>
            <w:vAlign w:val="center"/>
          </w:tcPr>
          <w:p w:rsidR="00AE7ACC" w:rsidRPr="00801983" w:rsidRDefault="00A81580" w:rsidP="00F864C1">
            <w:pPr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b/>
                <w:bCs/>
                <w:i/>
                <w:iCs/>
                <w:color w:val="FFFFFF"/>
              </w:rPr>
              <w:t>-26 099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9966"/>
            <w:noWrap/>
            <w:vAlign w:val="center"/>
          </w:tcPr>
          <w:p w:rsidR="00AE7ACC" w:rsidRPr="00801983" w:rsidRDefault="00843B46" w:rsidP="00F864C1">
            <w:pPr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b/>
                <w:bCs/>
                <w:i/>
                <w:iCs/>
                <w:color w:val="FFFFFF"/>
              </w:rPr>
              <w:t>121,9</w:t>
            </w:r>
            <w:r w:rsidR="006425A7">
              <w:rPr>
                <w:b/>
                <w:bCs/>
                <w:i/>
                <w:iCs/>
                <w:color w:val="FFFFFF"/>
              </w:rPr>
              <w:t>%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9966"/>
            <w:noWrap/>
            <w:vAlign w:val="center"/>
          </w:tcPr>
          <w:p w:rsidR="00AE7ACC" w:rsidRPr="00801983" w:rsidRDefault="006425A7" w:rsidP="00F864C1">
            <w:pPr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b/>
                <w:bCs/>
                <w:i/>
                <w:iCs/>
                <w:color w:val="FFFFFF"/>
              </w:rPr>
              <w:t>264,2%</w:t>
            </w:r>
          </w:p>
        </w:tc>
      </w:tr>
      <w:tr w:rsidR="00AE7ACC" w:rsidRPr="00801983" w:rsidTr="00F864C1">
        <w:trPr>
          <w:trHeight w:val="369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E7ACC" w:rsidRPr="00801983" w:rsidRDefault="00AE7ACC" w:rsidP="00F864C1">
            <w:pPr>
              <w:jc w:val="center"/>
              <w:rPr>
                <w:i/>
                <w:iCs/>
              </w:rPr>
            </w:pPr>
            <w:r w:rsidRPr="00801983">
              <w:rPr>
                <w:i/>
                <w:iCs/>
              </w:rPr>
              <w:t>Adófizetési kötelezettség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E7ACC" w:rsidRPr="00801983" w:rsidRDefault="00AE7ACC" w:rsidP="00AE7ACC">
            <w:pPr>
              <w:jc w:val="center"/>
              <w:rPr>
                <w:i/>
                <w:iCs/>
                <w:color w:val="000000"/>
              </w:rPr>
            </w:pPr>
            <w:r w:rsidRPr="00801983">
              <w:rPr>
                <w:i/>
                <w:iCs/>
                <w:color w:val="000000"/>
              </w:rPr>
              <w:t>299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7ACC" w:rsidRPr="00801983" w:rsidRDefault="006425A7" w:rsidP="00EF428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</w:t>
            </w:r>
            <w:r w:rsidR="00843B46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7ACC" w:rsidRPr="00801983" w:rsidRDefault="00A81580" w:rsidP="00F864C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E7ACC" w:rsidRPr="00801983" w:rsidRDefault="006425A7" w:rsidP="00F864C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44,5%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E7ACC" w:rsidRPr="00801983" w:rsidRDefault="006425A7" w:rsidP="00F864C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13,3%</w:t>
            </w:r>
          </w:p>
        </w:tc>
      </w:tr>
      <w:tr w:rsidR="00AE7ACC" w:rsidRPr="00801983" w:rsidTr="00F864C1">
        <w:trPr>
          <w:trHeight w:val="369"/>
        </w:trPr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9966"/>
            <w:noWrap/>
            <w:vAlign w:val="center"/>
          </w:tcPr>
          <w:p w:rsidR="00AE7ACC" w:rsidRPr="00801983" w:rsidRDefault="00AE7ACC" w:rsidP="00F864C1">
            <w:pPr>
              <w:jc w:val="center"/>
              <w:rPr>
                <w:b/>
                <w:bCs/>
                <w:i/>
                <w:iCs/>
                <w:color w:val="FFFFFF"/>
              </w:rPr>
            </w:pPr>
            <w:r w:rsidRPr="00801983">
              <w:rPr>
                <w:b/>
                <w:bCs/>
                <w:i/>
                <w:iCs/>
                <w:color w:val="FFFFFF"/>
              </w:rPr>
              <w:t>MÉRLEG SZERINTI EREDMÉNY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9966"/>
            <w:noWrap/>
            <w:vAlign w:val="center"/>
          </w:tcPr>
          <w:p w:rsidR="00AE7ACC" w:rsidRPr="00801983" w:rsidRDefault="00AE7ACC" w:rsidP="00772F9E">
            <w:pPr>
              <w:jc w:val="center"/>
              <w:rPr>
                <w:b/>
                <w:bCs/>
                <w:i/>
                <w:iCs/>
                <w:color w:val="FFFFFF"/>
              </w:rPr>
            </w:pPr>
            <w:r w:rsidRPr="00801983">
              <w:rPr>
                <w:b/>
                <w:bCs/>
                <w:i/>
                <w:iCs/>
                <w:color w:val="FFFFFF"/>
              </w:rPr>
              <w:t>-</w:t>
            </w:r>
            <w:r w:rsidR="00772F9E">
              <w:rPr>
                <w:b/>
                <w:bCs/>
                <w:i/>
                <w:iCs/>
                <w:color w:val="FFFFFF"/>
              </w:rPr>
              <w:t>2</w:t>
            </w:r>
            <w:r w:rsidR="00843B46">
              <w:rPr>
                <w:b/>
                <w:bCs/>
                <w:i/>
                <w:iCs/>
                <w:color w:val="FFFFFF"/>
              </w:rPr>
              <w:t>1 693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339966"/>
            <w:noWrap/>
            <w:vAlign w:val="center"/>
          </w:tcPr>
          <w:p w:rsidR="00AE7ACC" w:rsidRPr="00801983" w:rsidRDefault="007C61FB" w:rsidP="00F864C1">
            <w:pPr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b/>
                <w:bCs/>
                <w:i/>
                <w:iCs/>
                <w:color w:val="FFFFFF"/>
              </w:rPr>
              <w:t>-10.880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9966"/>
            <w:noWrap/>
            <w:vAlign w:val="center"/>
          </w:tcPr>
          <w:p w:rsidR="00AE7ACC" w:rsidRPr="00801983" w:rsidRDefault="00A81580" w:rsidP="00F864C1">
            <w:pPr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b/>
                <w:bCs/>
                <w:i/>
                <w:iCs/>
                <w:color w:val="FFFFFF"/>
              </w:rPr>
              <w:t>-26 232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9966"/>
            <w:noWrap/>
            <w:vAlign w:val="center"/>
          </w:tcPr>
          <w:p w:rsidR="00AE7ACC" w:rsidRPr="00801983" w:rsidRDefault="006425A7" w:rsidP="00843B46">
            <w:pPr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b/>
                <w:bCs/>
                <w:i/>
                <w:iCs/>
                <w:color w:val="FFFFFF"/>
              </w:rPr>
              <w:t>1</w:t>
            </w:r>
            <w:r w:rsidR="00843B46">
              <w:rPr>
                <w:b/>
                <w:bCs/>
                <w:i/>
                <w:iCs/>
                <w:color w:val="FFFFFF"/>
              </w:rPr>
              <w:t>20</w:t>
            </w:r>
            <w:r>
              <w:rPr>
                <w:b/>
                <w:bCs/>
                <w:i/>
                <w:iCs/>
                <w:color w:val="FFFFFF"/>
              </w:rPr>
              <w:t>,</w:t>
            </w:r>
            <w:r w:rsidR="00843B46">
              <w:rPr>
                <w:b/>
                <w:bCs/>
                <w:i/>
                <w:iCs/>
                <w:color w:val="FFFFFF"/>
              </w:rPr>
              <w:t>9</w:t>
            </w:r>
            <w:r>
              <w:rPr>
                <w:b/>
                <w:bCs/>
                <w:i/>
                <w:iCs/>
                <w:color w:val="FFFFFF"/>
              </w:rPr>
              <w:t>%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9966"/>
            <w:noWrap/>
            <w:vAlign w:val="center"/>
          </w:tcPr>
          <w:p w:rsidR="00AE7ACC" w:rsidRPr="00801983" w:rsidRDefault="006425A7" w:rsidP="00F864C1">
            <w:pPr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b/>
                <w:bCs/>
                <w:i/>
                <w:iCs/>
                <w:color w:val="FFFFFF"/>
              </w:rPr>
              <w:t>241,1%</w:t>
            </w:r>
          </w:p>
        </w:tc>
      </w:tr>
    </w:tbl>
    <w:p w:rsidR="0027091D" w:rsidRDefault="0027091D" w:rsidP="0027091D">
      <w:pPr>
        <w:pStyle w:val="Listaszerbekezds"/>
        <w:spacing w:before="600" w:after="360" w:line="276" w:lineRule="auto"/>
        <w:ind w:left="1855"/>
        <w:jc w:val="both"/>
        <w:rPr>
          <w:b/>
          <w:i/>
        </w:rPr>
      </w:pPr>
    </w:p>
    <w:p w:rsidR="0027091D" w:rsidRDefault="0027091D">
      <w:pPr>
        <w:rPr>
          <w:b/>
          <w:i/>
        </w:rPr>
      </w:pPr>
      <w:r>
        <w:rPr>
          <w:b/>
          <w:i/>
        </w:rPr>
        <w:br w:type="page"/>
      </w:r>
    </w:p>
    <w:p w:rsidR="00B80E65" w:rsidRPr="004201C3" w:rsidRDefault="00907D28" w:rsidP="001940B9">
      <w:pPr>
        <w:pStyle w:val="Listaszerbekezds"/>
        <w:numPr>
          <w:ilvl w:val="0"/>
          <w:numId w:val="8"/>
        </w:numPr>
        <w:spacing w:before="600" w:after="360" w:line="276" w:lineRule="auto"/>
        <w:jc w:val="both"/>
        <w:rPr>
          <w:b/>
          <w:i/>
        </w:rPr>
      </w:pPr>
      <w:r w:rsidRPr="004201C3">
        <w:rPr>
          <w:b/>
          <w:i/>
        </w:rPr>
        <w:lastRenderedPageBreak/>
        <w:t xml:space="preserve">Elszámolás az </w:t>
      </w:r>
      <w:r w:rsidR="00261273" w:rsidRPr="004201C3">
        <w:rPr>
          <w:b/>
          <w:i/>
        </w:rPr>
        <w:t>Önkormányzati vagyon</w:t>
      </w:r>
      <w:r w:rsidRPr="004201C3">
        <w:rPr>
          <w:b/>
          <w:i/>
        </w:rPr>
        <w:t>nal</w:t>
      </w:r>
    </w:p>
    <w:p w:rsidR="00261273" w:rsidRPr="00261273" w:rsidRDefault="0059760C" w:rsidP="00801983">
      <w:pPr>
        <w:spacing w:line="276" w:lineRule="auto"/>
        <w:ind w:firstLine="360"/>
        <w:jc w:val="both"/>
      </w:pPr>
      <w:r>
        <w:t>Számviteli elszámolásaink</w:t>
      </w:r>
      <w:r w:rsidR="00261273" w:rsidRPr="00261273">
        <w:t xml:space="preserve"> a Keretszerződés értelmében elkülönülnek a</w:t>
      </w:r>
      <w:r>
        <w:t>z Önkormányzatok pénzügyi szemléletű nyilvántartásaitól</w:t>
      </w:r>
      <w:r w:rsidR="00261273" w:rsidRPr="00261273">
        <w:t>. Az értékesített ingatlanokból származó bevételeket</w:t>
      </w:r>
      <w:r w:rsidR="00C50CA2" w:rsidRPr="00C50CA2">
        <w:t xml:space="preserve"> </w:t>
      </w:r>
      <w:r w:rsidR="00C50CA2">
        <w:t>a Keretszerződés rendelkezései szerint</w:t>
      </w:r>
      <w:r w:rsidR="00261273" w:rsidRPr="00261273">
        <w:t xml:space="preserve"> </w:t>
      </w:r>
      <w:r w:rsidR="00C50CA2">
        <w:t>az Észak</w:t>
      </w:r>
      <w:r w:rsidR="00843B46">
        <w:t>-</w:t>
      </w:r>
      <w:r w:rsidR="00C50CA2">
        <w:t xml:space="preserve">pesti </w:t>
      </w:r>
      <w:proofErr w:type="gramStart"/>
      <w:r w:rsidR="00C50CA2">
        <w:t xml:space="preserve">Térség </w:t>
      </w:r>
      <w:r w:rsidR="00261273" w:rsidRPr="00261273">
        <w:t>fejlesztési</w:t>
      </w:r>
      <w:proofErr w:type="gramEnd"/>
      <w:r w:rsidR="00261273" w:rsidRPr="00261273">
        <w:t>, fenntartási cél</w:t>
      </w:r>
      <w:r w:rsidR="00516CD1">
        <w:t>jainak</w:t>
      </w:r>
      <w:r w:rsidR="00261273" w:rsidRPr="00261273">
        <w:t xml:space="preserve"> megvalósítása</w:t>
      </w:r>
      <w:r w:rsidR="00C50CA2">
        <w:t>, illetve a</w:t>
      </w:r>
      <w:r w:rsidR="00775061">
        <w:t xml:space="preserve"> 2010. augusztus 23-án létrejött</w:t>
      </w:r>
      <w:r w:rsidR="00843B46">
        <w:t xml:space="preserve"> </w:t>
      </w:r>
      <w:r w:rsidR="00C50CA2">
        <w:t xml:space="preserve">megállapodás életbelépése óta az Újpesti Szakorvosi Rendelőintézet felújítása </w:t>
      </w:r>
      <w:r w:rsidR="00261273" w:rsidRPr="00261273">
        <w:t xml:space="preserve">érdekében </w:t>
      </w:r>
      <w:r w:rsidR="00C50CA2" w:rsidRPr="00261273">
        <w:t xml:space="preserve">a tulajdonos önkormányzatok </w:t>
      </w:r>
      <w:r w:rsidR="00261273" w:rsidRPr="00261273">
        <w:t>az ÉPIT Zrt</w:t>
      </w:r>
      <w:r w:rsidR="00780A2E">
        <w:t>.</w:t>
      </w:r>
      <w:r w:rsidR="00261273" w:rsidRPr="00261273">
        <w:t xml:space="preserve"> kezelésében hagyják.</w:t>
      </w:r>
    </w:p>
    <w:p w:rsidR="00261273" w:rsidRDefault="00261273" w:rsidP="00801983">
      <w:pPr>
        <w:spacing w:after="360" w:line="276" w:lineRule="auto"/>
        <w:ind w:firstLine="357"/>
        <w:jc w:val="both"/>
      </w:pPr>
      <w:r w:rsidRPr="00261273">
        <w:t xml:space="preserve">Az ingatlanértékesítésekből keletkezett pénzvagyon a Társaság könyveiben, mint tulajdonos önkormányzatokkal </w:t>
      </w:r>
      <w:r w:rsidR="009102D7">
        <w:t xml:space="preserve">szemben </w:t>
      </w:r>
      <w:r w:rsidRPr="00261273">
        <w:t>fennálló kötelezet</w:t>
      </w:r>
      <w:r w:rsidR="00740590">
        <w:t>tség van nyilvántartva. Az ÉPIT </w:t>
      </w:r>
      <w:r w:rsidRPr="00261273">
        <w:t xml:space="preserve">Zrt. az Önkormányzatok felé történő beruházási, fejlesztési, valamint fenntartási </w:t>
      </w:r>
      <w:r w:rsidR="009102D7">
        <w:t>költségeket és ráfordításokat</w:t>
      </w:r>
      <w:r w:rsidRPr="00261273">
        <w:t>, az ingatlanok tényleges tula</w:t>
      </w:r>
      <w:r w:rsidR="00936495">
        <w:t>jdoni arányai szerint</w:t>
      </w:r>
      <w:r w:rsidRPr="00261273">
        <w:t xml:space="preserve"> számlázza ki. Ebből</w:t>
      </w:r>
      <w:r w:rsidR="009102D7">
        <w:t xml:space="preserve"> </w:t>
      </w:r>
      <w:r w:rsidRPr="00261273">
        <w:t xml:space="preserve">adódóan </w:t>
      </w:r>
      <w:r w:rsidR="00E57BD9">
        <w:t>2011</w:t>
      </w:r>
      <w:r w:rsidR="00EF31B0">
        <w:t>-ben</w:t>
      </w:r>
      <w:r w:rsidRPr="00261273">
        <w:t xml:space="preserve"> az </w:t>
      </w:r>
      <w:r w:rsidRPr="00261273">
        <w:rPr>
          <w:b/>
        </w:rPr>
        <w:t>Újpesti Önkormányzat</w:t>
      </w:r>
      <w:r w:rsidRPr="00261273">
        <w:t xml:space="preserve"> </w:t>
      </w:r>
      <w:r w:rsidRPr="00261273">
        <w:rPr>
          <w:b/>
        </w:rPr>
        <w:t>felé</w:t>
      </w:r>
      <w:r w:rsidRPr="00261273">
        <w:t>, az ÉPI</w:t>
      </w:r>
      <w:r w:rsidR="00740590">
        <w:t>T </w:t>
      </w:r>
      <w:proofErr w:type="spellStart"/>
      <w:r w:rsidR="0059760C">
        <w:t>Zrt.-nek</w:t>
      </w:r>
      <w:proofErr w:type="spellEnd"/>
      <w:r w:rsidR="0059760C">
        <w:t xml:space="preserve"> </w:t>
      </w:r>
      <w:r w:rsidR="003B6B37">
        <w:t>25.796</w:t>
      </w:r>
      <w:r w:rsidR="00780A2E">
        <w:t>,- e</w:t>
      </w:r>
      <w:r w:rsidR="003B6B37">
        <w:t xml:space="preserve"> Ft</w:t>
      </w:r>
      <w:r w:rsidR="00EF31B0">
        <w:t xml:space="preserve"> </w:t>
      </w:r>
      <w:r w:rsidR="003B6B37">
        <w:t xml:space="preserve">követelése </w:t>
      </w:r>
      <w:r w:rsidR="00EF31B0">
        <w:t>áll fent</w:t>
      </w:r>
      <w:r w:rsidRPr="00261273">
        <w:t>.</w:t>
      </w:r>
      <w:r w:rsidR="009102D7">
        <w:t xml:space="preserve"> </w:t>
      </w:r>
      <w:r w:rsidRPr="00261273">
        <w:t xml:space="preserve">A </w:t>
      </w:r>
      <w:r w:rsidR="00740590">
        <w:rPr>
          <w:b/>
        </w:rPr>
        <w:t>Fővárosi </w:t>
      </w:r>
      <w:r w:rsidRPr="00261273">
        <w:rPr>
          <w:b/>
        </w:rPr>
        <w:t>Önkormányzat felé</w:t>
      </w:r>
      <w:r w:rsidR="0059760C">
        <w:rPr>
          <w:b/>
        </w:rPr>
        <w:t xml:space="preserve"> </w:t>
      </w:r>
      <w:r w:rsidR="0059760C">
        <w:t>az</w:t>
      </w:r>
      <w:r w:rsidR="00740590">
        <w:t xml:space="preserve"> ÉPIT </w:t>
      </w:r>
      <w:r w:rsidRPr="00261273">
        <w:t xml:space="preserve">Zrt. </w:t>
      </w:r>
      <w:r w:rsidRPr="00261273">
        <w:rPr>
          <w:b/>
        </w:rPr>
        <w:t>kötelezettség</w:t>
      </w:r>
      <w:r w:rsidR="0059760C">
        <w:rPr>
          <w:b/>
        </w:rPr>
        <w:t xml:space="preserve">e </w:t>
      </w:r>
      <w:r w:rsidR="00780A2E">
        <w:rPr>
          <w:b/>
        </w:rPr>
        <w:br/>
      </w:r>
      <w:r w:rsidR="003B6B37">
        <w:rPr>
          <w:b/>
        </w:rPr>
        <w:t>405.532,- e</w:t>
      </w:r>
      <w:r w:rsidR="00780A2E">
        <w:rPr>
          <w:b/>
        </w:rPr>
        <w:t xml:space="preserve"> </w:t>
      </w:r>
      <w:r w:rsidRPr="00261273">
        <w:rPr>
          <w:b/>
        </w:rPr>
        <w:t>Ft</w:t>
      </w:r>
      <w:r w:rsidR="00740590">
        <w:t xml:space="preserve"> </w:t>
      </w:r>
      <w:r w:rsidR="00E57BD9">
        <w:t>2011</w:t>
      </w:r>
      <w:r w:rsidR="00740590">
        <w:t>. december </w:t>
      </w:r>
      <w:r w:rsidRPr="00261273">
        <w:t>31-én.</w:t>
      </w:r>
    </w:p>
    <w:p w:rsidR="00843B46" w:rsidRDefault="00843B46"/>
    <w:p w:rsidR="000740AE" w:rsidRPr="004201C3" w:rsidRDefault="000740AE" w:rsidP="001940B9">
      <w:pPr>
        <w:pStyle w:val="Listaszerbekezds"/>
        <w:numPr>
          <w:ilvl w:val="0"/>
          <w:numId w:val="15"/>
        </w:numPr>
        <w:spacing w:after="360" w:line="276" w:lineRule="auto"/>
        <w:ind w:left="1985" w:hanging="851"/>
        <w:jc w:val="both"/>
        <w:rPr>
          <w:b/>
          <w:i/>
        </w:rPr>
      </w:pPr>
      <w:r w:rsidRPr="004201C3">
        <w:rPr>
          <w:b/>
          <w:i/>
        </w:rPr>
        <w:t>Egyéb, a társaság üzleti tevékenységéhez kapcsolódó észrevétel</w:t>
      </w:r>
    </w:p>
    <w:p w:rsidR="003B6B37" w:rsidRDefault="0009696B" w:rsidP="00801983">
      <w:pPr>
        <w:spacing w:after="120" w:line="276" w:lineRule="auto"/>
        <w:ind w:firstLine="357"/>
        <w:jc w:val="both"/>
      </w:pPr>
      <w:r>
        <w:t xml:space="preserve">A </w:t>
      </w:r>
      <w:r w:rsidR="00780A2E">
        <w:t>2009</w:t>
      </w:r>
      <w:r>
        <w:t>-ben képzett céltartalék – mely egy munkaügyi per miatt került k</w:t>
      </w:r>
      <w:r w:rsidR="00936495">
        <w:t>önyveinkbe</w:t>
      </w:r>
      <w:r w:rsidR="004D4D68">
        <w:t xml:space="preserve"> </w:t>
      </w:r>
      <w:r w:rsidR="003B6B37">
        <w:t>–</w:t>
      </w:r>
      <w:r w:rsidR="00936495">
        <w:t xml:space="preserve"> visszavezetésre</w:t>
      </w:r>
      <w:r w:rsidR="00780A2E">
        <w:t xml:space="preserve"> került, mert másodfokon </w:t>
      </w:r>
      <w:r w:rsidR="003B6B37">
        <w:t>is társaságunk javára döntött a bíróság.</w:t>
      </w:r>
    </w:p>
    <w:p w:rsidR="003E6DFD" w:rsidRPr="00261273" w:rsidRDefault="003B6B37" w:rsidP="00801983">
      <w:pPr>
        <w:spacing w:after="120" w:line="276" w:lineRule="auto"/>
        <w:ind w:firstLine="357"/>
        <w:jc w:val="both"/>
      </w:pPr>
      <w:r>
        <w:t xml:space="preserve"> </w:t>
      </w:r>
      <w:r w:rsidR="00F864C1">
        <w:t xml:space="preserve">A bevezetőben </w:t>
      </w:r>
      <w:r w:rsidR="00591F80">
        <w:t>is leírtakra</w:t>
      </w:r>
      <w:r w:rsidR="00F864C1">
        <w:t xml:space="preserve"> tekintettel</w:t>
      </w:r>
      <w:r>
        <w:t xml:space="preserve"> </w:t>
      </w:r>
      <w:r w:rsidR="00F864C1">
        <w:t xml:space="preserve">az Üzleti </w:t>
      </w:r>
      <w:r w:rsidR="00780A2E">
        <w:t xml:space="preserve">és Fejlesztési </w:t>
      </w:r>
      <w:r w:rsidR="00F864C1">
        <w:t xml:space="preserve">terv </w:t>
      </w:r>
      <w:r>
        <w:t xml:space="preserve">nemcsak </w:t>
      </w:r>
      <w:r w:rsidR="00F864C1">
        <w:t>rövid távú feladatokat tartalmazott</w:t>
      </w:r>
      <w:r w:rsidR="00780A2E">
        <w:t>.</w:t>
      </w:r>
      <w:r w:rsidR="00591F80">
        <w:t xml:space="preserve"> </w:t>
      </w:r>
      <w:r w:rsidR="00780A2E">
        <w:t>A</w:t>
      </w:r>
      <w:r w:rsidR="0019458A">
        <w:t xml:space="preserve"> </w:t>
      </w:r>
      <w:r w:rsidR="00591F80">
        <w:t>„Keretszerződés” hatály</w:t>
      </w:r>
      <w:r w:rsidR="00936495">
        <w:t xml:space="preserve">ának </w:t>
      </w:r>
      <w:r>
        <w:t xml:space="preserve">ismételt </w:t>
      </w:r>
      <w:r w:rsidR="00936495">
        <w:t>módosítás</w:t>
      </w:r>
      <w:r w:rsidR="00F864C1">
        <w:t>ára</w:t>
      </w:r>
      <w:r w:rsidR="00780A2E">
        <w:t xml:space="preserve"> tekintettel</w:t>
      </w:r>
      <w:r w:rsidR="00591F80">
        <w:t>, a társaság foglakoztatás politikájá</w:t>
      </w:r>
      <w:r w:rsidR="00F864C1">
        <w:t>n</w:t>
      </w:r>
      <w:r w:rsidR="00591F80">
        <w:t xml:space="preserve"> változtatni nem k</w:t>
      </w:r>
      <w:r w:rsidR="0019458A">
        <w:t xml:space="preserve">ellett. Változatlan </w:t>
      </w:r>
      <w:r w:rsidR="00591F80">
        <w:t>szerve</w:t>
      </w:r>
      <w:r w:rsidR="003E6DFD">
        <w:t>zeti struktúrában, 5</w:t>
      </w:r>
      <w:r w:rsidR="007907A7">
        <w:t>,24</w:t>
      </w:r>
      <w:r w:rsidR="003E6DFD">
        <w:t> </w:t>
      </w:r>
      <w:r w:rsidR="0019458A">
        <w:t>fő átlagos statisztikai létszámmal láttuk el</w:t>
      </w:r>
      <w:r w:rsidR="00780A2E">
        <w:t xml:space="preserve"> 2011-ben is </w:t>
      </w:r>
      <w:r w:rsidR="0019458A">
        <w:t>feladatainkat.</w:t>
      </w:r>
      <w:r w:rsidR="003E6DFD" w:rsidRPr="003E6DFD">
        <w:t xml:space="preserve"> </w:t>
      </w:r>
    </w:p>
    <w:p w:rsidR="003E6DFD" w:rsidRDefault="00936495" w:rsidP="00BF176A">
      <w:pPr>
        <w:spacing w:after="120" w:line="276" w:lineRule="auto"/>
        <w:ind w:firstLine="357"/>
        <w:jc w:val="both"/>
      </w:pPr>
      <w:r>
        <w:t>Az ÉPIT</w:t>
      </w:r>
      <w:r w:rsidR="00782D32">
        <w:t> </w:t>
      </w:r>
      <w:proofErr w:type="spellStart"/>
      <w:r>
        <w:t>Zrt</w:t>
      </w:r>
      <w:r w:rsidR="00516CD1">
        <w:t>.</w:t>
      </w:r>
      <w:r>
        <w:t>-nek</w:t>
      </w:r>
      <w:proofErr w:type="spellEnd"/>
      <w:r w:rsidR="0019458A">
        <w:t xml:space="preserve"> környezetvédelemmel kapcsolatos kiterjesztett felelősségi ter</w:t>
      </w:r>
      <w:r>
        <w:t>he</w:t>
      </w:r>
      <w:r w:rsidR="0019458A">
        <w:t xml:space="preserve"> nem keletkezett. </w:t>
      </w:r>
    </w:p>
    <w:p w:rsidR="00BF176A" w:rsidRPr="00261273" w:rsidRDefault="00BF176A" w:rsidP="00BF176A">
      <w:pPr>
        <w:spacing w:after="360" w:line="276" w:lineRule="auto"/>
        <w:jc w:val="both"/>
      </w:pPr>
      <w:r>
        <w:t>A mérleg fordulónapja után nem következett be lényeges esemény.</w:t>
      </w:r>
    </w:p>
    <w:p w:rsidR="004619B2" w:rsidRPr="000232CC" w:rsidRDefault="004619B2" w:rsidP="00801983">
      <w:pPr>
        <w:spacing w:after="360" w:line="276" w:lineRule="auto"/>
        <w:ind w:firstLine="357"/>
        <w:jc w:val="both"/>
        <w:rPr>
          <w:b/>
          <w:sz w:val="28"/>
          <w:szCs w:val="28"/>
          <w:u w:val="single"/>
        </w:rPr>
      </w:pPr>
      <w:r w:rsidRPr="000232CC">
        <w:rPr>
          <w:b/>
          <w:sz w:val="28"/>
          <w:szCs w:val="28"/>
          <w:u w:val="single"/>
        </w:rPr>
        <w:t>Összefoglalás</w:t>
      </w:r>
    </w:p>
    <w:p w:rsidR="00815F1D" w:rsidRDefault="004619B2" w:rsidP="00801983">
      <w:pPr>
        <w:spacing w:after="120" w:line="276" w:lineRule="auto"/>
        <w:ind w:firstLine="360"/>
        <w:jc w:val="both"/>
      </w:pPr>
      <w:r w:rsidRPr="00815F1D">
        <w:t>A</w:t>
      </w:r>
      <w:r w:rsidR="00B80E65" w:rsidRPr="00815F1D">
        <w:t xml:space="preserve"> </w:t>
      </w:r>
      <w:r w:rsidR="0088115F" w:rsidRPr="00815F1D">
        <w:t>Zrt</w:t>
      </w:r>
      <w:r w:rsidR="00780A2E">
        <w:t>.</w:t>
      </w:r>
      <w:r w:rsidR="0088115F" w:rsidRPr="00815F1D">
        <w:t xml:space="preserve"> vezetése</w:t>
      </w:r>
      <w:r w:rsidRPr="00815F1D">
        <w:t xml:space="preserve"> </w:t>
      </w:r>
      <w:r w:rsidR="00B80E65" w:rsidRPr="00815F1D">
        <w:t xml:space="preserve">mindent megtett, hogy teljesítse </w:t>
      </w:r>
      <w:r w:rsidRPr="00815F1D">
        <w:t>a tulajdonosok által elfogadott üzleti és fejlesztési tervet.</w:t>
      </w:r>
      <w:r w:rsidR="00CA1581" w:rsidRPr="00815F1D">
        <w:t xml:space="preserve"> A </w:t>
      </w:r>
      <w:r w:rsidR="00CA1581" w:rsidRPr="00815F1D">
        <w:rPr>
          <w:b/>
        </w:rPr>
        <w:t xml:space="preserve">tervteljesítés </w:t>
      </w:r>
      <w:r w:rsidR="0088115F" w:rsidRPr="00815F1D">
        <w:rPr>
          <w:b/>
        </w:rPr>
        <w:t>a mérleg szerinti eredményt tekintve</w:t>
      </w:r>
      <w:r w:rsidR="000740AE" w:rsidRPr="00815F1D">
        <w:rPr>
          <w:b/>
        </w:rPr>
        <w:t xml:space="preserve"> </w:t>
      </w:r>
      <w:r w:rsidR="00936495">
        <w:rPr>
          <w:b/>
        </w:rPr>
        <w:t>nem volt teljesen sikeres</w:t>
      </w:r>
      <w:r w:rsidR="004D4D68">
        <w:rPr>
          <w:b/>
        </w:rPr>
        <w:t>.</w:t>
      </w:r>
      <w:r w:rsidR="00B80E65" w:rsidRPr="00815F1D">
        <w:t xml:space="preserve"> </w:t>
      </w:r>
      <w:r w:rsidR="00780A2E">
        <w:t xml:space="preserve">Társaságunk ingatlanértékesítésekhez kapcsolódó bevételei a szűk fizetőképes piaci kereslet révén csak kis mértékben realizálódtak. A Keretszerződés </w:t>
      </w:r>
      <w:r w:rsidR="00516CD1">
        <w:t xml:space="preserve">szerint végzett </w:t>
      </w:r>
      <w:r w:rsidR="00780A2E">
        <w:t>fejlesztések</w:t>
      </w:r>
      <w:r w:rsidR="00516CD1">
        <w:t xml:space="preserve"> és fenntartási munkák</w:t>
      </w:r>
      <w:r w:rsidR="00780A2E">
        <w:t xml:space="preserve"> díjazása elmaradt</w:t>
      </w:r>
      <w:r w:rsidR="00F864C1">
        <w:t>.</w:t>
      </w:r>
      <w:r w:rsidR="00780A2E">
        <w:t xml:space="preserve"> </w:t>
      </w:r>
      <w:r w:rsidR="00516CD1">
        <w:t>Az ú</w:t>
      </w:r>
      <w:r w:rsidR="00780A2E">
        <w:t xml:space="preserve">j, </w:t>
      </w:r>
      <w:r w:rsidR="00516CD1">
        <w:t xml:space="preserve">keretszerződésen </w:t>
      </w:r>
      <w:r w:rsidR="00843B46">
        <w:t>felüli</w:t>
      </w:r>
      <w:r w:rsidR="00516CD1">
        <w:t xml:space="preserve">, </w:t>
      </w:r>
      <w:r w:rsidR="00780A2E">
        <w:t>közszolgáltatási típusú szerződéseink fenti okokból fakadó veszteséget csökkentették.</w:t>
      </w:r>
    </w:p>
    <w:p w:rsidR="00815F1D" w:rsidRPr="00815F1D" w:rsidRDefault="00FD1C0B" w:rsidP="00801983">
      <w:pPr>
        <w:spacing w:after="120" w:line="276" w:lineRule="auto"/>
        <w:ind w:firstLine="360"/>
        <w:jc w:val="both"/>
      </w:pPr>
      <w:r>
        <w:t xml:space="preserve">A Zrt. </w:t>
      </w:r>
      <w:r w:rsidR="00815F1D" w:rsidRPr="00815F1D">
        <w:t>bevételé</w:t>
      </w:r>
      <w:r>
        <w:t xml:space="preserve">t jelentő </w:t>
      </w:r>
      <w:r w:rsidR="00E57BD9">
        <w:t>2011</w:t>
      </w:r>
      <w:r>
        <w:t>. </w:t>
      </w:r>
      <w:r w:rsidR="00815F1D" w:rsidRPr="00815F1D">
        <w:t>évi ingatlanértékesítésekre jelentős hatást gyakorolt a világgazdasági válsággal összefüggő ingatlanpia</w:t>
      </w:r>
      <w:r w:rsidR="00936495">
        <w:t>ci visszaesés</w:t>
      </w:r>
      <w:r w:rsidR="004D4D68">
        <w:t>.</w:t>
      </w:r>
      <w:r w:rsidR="00936495">
        <w:t xml:space="preserve"> </w:t>
      </w:r>
      <w:r w:rsidR="00815F1D" w:rsidRPr="00815F1D">
        <w:t>A csekély érdeklődés nem tette lehetővé</w:t>
      </w:r>
      <w:r w:rsidR="00516CD1">
        <w:t xml:space="preserve"> az</w:t>
      </w:r>
      <w:r w:rsidR="00936495">
        <w:t xml:space="preserve"> </w:t>
      </w:r>
      <w:r w:rsidR="00516CD1" w:rsidRPr="00815F1D">
        <w:t>ingatlan</w:t>
      </w:r>
      <w:r w:rsidR="00516CD1">
        <w:t>ok terv szerinti</w:t>
      </w:r>
      <w:r w:rsidR="00815F1D" w:rsidRPr="00815F1D">
        <w:t xml:space="preserve"> </w:t>
      </w:r>
      <w:r w:rsidR="00516CD1">
        <w:t xml:space="preserve">mennyiségben való </w:t>
      </w:r>
      <w:r w:rsidR="00815F1D" w:rsidRPr="00815F1D">
        <w:t xml:space="preserve">értékesítését. </w:t>
      </w:r>
    </w:p>
    <w:p w:rsidR="004619B2" w:rsidRDefault="004619B2" w:rsidP="00782D32">
      <w:pPr>
        <w:spacing w:after="480" w:line="276" w:lineRule="auto"/>
        <w:ind w:firstLine="357"/>
        <w:jc w:val="both"/>
      </w:pPr>
      <w:r>
        <w:lastRenderedPageBreak/>
        <w:t>A</w:t>
      </w:r>
      <w:r w:rsidR="00377DE4">
        <w:t xml:space="preserve">z </w:t>
      </w:r>
      <w:r>
        <w:t>előzőekben bemuta</w:t>
      </w:r>
      <w:r w:rsidR="00377DE4">
        <w:t>t</w:t>
      </w:r>
      <w:r>
        <w:t>t</w:t>
      </w:r>
      <w:r w:rsidR="00377DE4">
        <w:t>uk, hogy a különböző</w:t>
      </w:r>
      <w:r>
        <w:t xml:space="preserve"> </w:t>
      </w:r>
      <w:r w:rsidR="003A3DA3">
        <w:t xml:space="preserve">negatív hatások </w:t>
      </w:r>
      <w:r w:rsidR="005A68B2">
        <w:t>ellenére</w:t>
      </w:r>
      <w:r w:rsidR="003A3DA3">
        <w:t xml:space="preserve"> az</w:t>
      </w:r>
      <w:r w:rsidR="00936495">
        <w:t xml:space="preserve"> üzleti terv teljesítése részben megvalósult, </w:t>
      </w:r>
      <w:r w:rsidR="00780A2E">
        <w:t>egy</w:t>
      </w:r>
      <w:r w:rsidR="00936495">
        <w:t xml:space="preserve"> ingatlan értékesítése megtörtént ezért e</w:t>
      </w:r>
      <w:r w:rsidR="00780A2E">
        <w:t>b</w:t>
      </w:r>
      <w:r w:rsidR="00936495">
        <w:t>ből saját jogú bevételhez jutott a társaság</w:t>
      </w:r>
      <w:r w:rsidR="005A68B2">
        <w:t>.</w:t>
      </w:r>
      <w:r w:rsidR="003A3DA3">
        <w:t xml:space="preserve"> </w:t>
      </w:r>
    </w:p>
    <w:p w:rsidR="00780A2E" w:rsidRDefault="00780A2E" w:rsidP="00782D32">
      <w:pPr>
        <w:spacing w:after="480" w:line="276" w:lineRule="auto"/>
        <w:ind w:firstLine="357"/>
        <w:jc w:val="both"/>
      </w:pPr>
      <w:r>
        <w:t xml:space="preserve">A társaság éves munkáról számos beszámolót készített, </w:t>
      </w:r>
      <w:proofErr w:type="gramStart"/>
      <w:r>
        <w:t>erőfeszítéseket eszközölt</w:t>
      </w:r>
      <w:proofErr w:type="gramEnd"/>
      <w:r>
        <w:t xml:space="preserve"> minden munkavállaló, a menedzsment és az Igazgatóság is annak érdekében, hogy az Üzleti és Fejlesztési terv előirányzatait teljesíthesse, a működést és gazdálkodást befolyásoló külső tényezők ráhatását azonban teljes mértékben nem tudta kiküszöbölni.</w:t>
      </w:r>
    </w:p>
    <w:p w:rsidR="00E36F9F" w:rsidRDefault="00936495" w:rsidP="003E6DFD">
      <w:pPr>
        <w:spacing w:after="840" w:line="360" w:lineRule="auto"/>
        <w:ind w:firstLine="357"/>
        <w:jc w:val="both"/>
      </w:pPr>
      <w:r>
        <w:t xml:space="preserve">Budapest, </w:t>
      </w:r>
      <w:r w:rsidR="0027091D">
        <w:t>2012. április 20.</w:t>
      </w:r>
    </w:p>
    <w:p w:rsidR="00E36F9F" w:rsidRDefault="00013EB1" w:rsidP="00782D32">
      <w:pPr>
        <w:tabs>
          <w:tab w:val="center" w:pos="5954"/>
        </w:tabs>
        <w:spacing w:after="1560" w:line="276" w:lineRule="auto"/>
        <w:jc w:val="both"/>
      </w:pPr>
      <w:r>
        <w:tab/>
        <w:t>Észak-pesti Ingatlan- és Térségfejlesztési Zrt.</w:t>
      </w:r>
      <w:r>
        <w:br/>
      </w:r>
      <w:r>
        <w:tab/>
        <w:t>Igazgatósága</w:t>
      </w:r>
    </w:p>
    <w:p w:rsidR="0022700A" w:rsidRDefault="00782D32" w:rsidP="00A916A8">
      <w:pPr>
        <w:spacing w:after="360" w:line="276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Kgy.</w:t>
      </w:r>
      <w:r w:rsidR="0067218B">
        <w:rPr>
          <w:b/>
          <w:bCs/>
          <w:u w:val="single"/>
        </w:rPr>
        <w:t> </w:t>
      </w:r>
      <w:r w:rsidR="0022700A" w:rsidRPr="00E41F5D">
        <w:rPr>
          <w:b/>
          <w:bCs/>
          <w:u w:val="single"/>
        </w:rPr>
        <w:t>Határozati javaslat:</w:t>
      </w:r>
    </w:p>
    <w:p w:rsidR="0022700A" w:rsidRPr="00E41F5D" w:rsidRDefault="00CA01F3" w:rsidP="0067218B">
      <w:pPr>
        <w:spacing w:after="240" w:line="276" w:lineRule="auto"/>
        <w:jc w:val="center"/>
        <w:rPr>
          <w:b/>
        </w:rPr>
      </w:pPr>
      <w:r>
        <w:rPr>
          <w:b/>
        </w:rPr>
        <w:t>…/201</w:t>
      </w:r>
      <w:r w:rsidR="00C70126">
        <w:rPr>
          <w:b/>
        </w:rPr>
        <w:t>2</w:t>
      </w:r>
      <w:r w:rsidR="00740590">
        <w:rPr>
          <w:b/>
        </w:rPr>
        <w:t>. </w:t>
      </w:r>
      <w:r w:rsidR="0022700A" w:rsidRPr="00E41F5D">
        <w:rPr>
          <w:b/>
        </w:rPr>
        <w:t>(</w:t>
      </w:r>
      <w:r w:rsidR="00740590">
        <w:rPr>
          <w:b/>
        </w:rPr>
        <w:t>V. </w:t>
      </w:r>
      <w:proofErr w:type="gramStart"/>
      <w:r w:rsidR="00740590">
        <w:rPr>
          <w:b/>
        </w:rPr>
        <w:t>..</w:t>
      </w:r>
      <w:r w:rsidR="0022700A" w:rsidRPr="00E41F5D">
        <w:rPr>
          <w:b/>
        </w:rPr>
        <w:t>.</w:t>
      </w:r>
      <w:proofErr w:type="gramEnd"/>
      <w:r w:rsidR="0022700A" w:rsidRPr="00E41F5D">
        <w:rPr>
          <w:b/>
        </w:rPr>
        <w:t>) Kgy.</w:t>
      </w:r>
      <w:r w:rsidR="00741047">
        <w:rPr>
          <w:b/>
        </w:rPr>
        <w:t> </w:t>
      </w:r>
      <w:r w:rsidR="0022700A" w:rsidRPr="00E41F5D">
        <w:rPr>
          <w:b/>
        </w:rPr>
        <w:t>határozat</w:t>
      </w:r>
    </w:p>
    <w:p w:rsidR="0067218B" w:rsidRPr="00E41F5D" w:rsidRDefault="0022700A" w:rsidP="003004AB">
      <w:pPr>
        <w:spacing w:after="600" w:line="276" w:lineRule="auto"/>
        <w:jc w:val="both"/>
        <w:rPr>
          <w:b/>
        </w:rPr>
      </w:pPr>
      <w:r w:rsidRPr="00E41F5D">
        <w:rPr>
          <w:b/>
        </w:rPr>
        <w:t xml:space="preserve">Az Észak-pesti Ingatlan- és Térségfejlesztési Zrt. Közgyűlése a Részvénytársaság </w:t>
      </w:r>
      <w:r w:rsidR="00E57BD9">
        <w:rPr>
          <w:b/>
        </w:rPr>
        <w:t>2011</w:t>
      </w:r>
      <w:r w:rsidRPr="00E41F5D">
        <w:rPr>
          <w:b/>
        </w:rPr>
        <w:t>.</w:t>
      </w:r>
      <w:r w:rsidR="00741047">
        <w:rPr>
          <w:b/>
        </w:rPr>
        <w:t> </w:t>
      </w:r>
      <w:r w:rsidRPr="00E41F5D">
        <w:rPr>
          <w:b/>
        </w:rPr>
        <w:t>évi számviteli törvény szerinti beszámolóját</w:t>
      </w:r>
      <w:r w:rsidR="00740590">
        <w:rPr>
          <w:b/>
        </w:rPr>
        <w:t xml:space="preserve"> </w:t>
      </w:r>
      <w:r w:rsidR="001744A7">
        <w:rPr>
          <w:b/>
          <w:i/>
        </w:rPr>
        <w:t> 805.</w:t>
      </w:r>
      <w:r w:rsidR="00A81580">
        <w:rPr>
          <w:b/>
          <w:i/>
        </w:rPr>
        <w:t>042</w:t>
      </w:r>
      <w:r w:rsidR="008552E0" w:rsidRPr="008552E0">
        <w:rPr>
          <w:b/>
          <w:i/>
        </w:rPr>
        <w:t>,-</w:t>
      </w:r>
      <w:r w:rsidR="00170D4E">
        <w:rPr>
          <w:b/>
          <w:i/>
        </w:rPr>
        <w:t xml:space="preserve"> </w:t>
      </w:r>
      <w:r w:rsidR="008552E0" w:rsidRPr="008552E0">
        <w:rPr>
          <w:b/>
          <w:i/>
        </w:rPr>
        <w:t>e</w:t>
      </w:r>
      <w:r w:rsidR="00741047" w:rsidRPr="008552E0">
        <w:rPr>
          <w:b/>
          <w:i/>
        </w:rPr>
        <w:t> </w:t>
      </w:r>
      <w:r w:rsidRPr="008552E0">
        <w:rPr>
          <w:b/>
          <w:i/>
        </w:rPr>
        <w:t>Ft</w:t>
      </w:r>
      <w:r w:rsidRPr="00E41F5D">
        <w:rPr>
          <w:b/>
        </w:rPr>
        <w:t xml:space="preserve"> egyező eszköz- és </w:t>
      </w:r>
      <w:r w:rsidR="00B25976">
        <w:rPr>
          <w:b/>
        </w:rPr>
        <w:t>forrásoldali mérleg</w:t>
      </w:r>
      <w:r w:rsidR="0088312C">
        <w:rPr>
          <w:b/>
        </w:rPr>
        <w:t xml:space="preserve"> </w:t>
      </w:r>
      <w:r w:rsidR="00741047">
        <w:rPr>
          <w:b/>
        </w:rPr>
        <w:t>f</w:t>
      </w:r>
      <w:r w:rsidR="00FD1C0B">
        <w:rPr>
          <w:b/>
        </w:rPr>
        <w:t xml:space="preserve">őösszeggel, </w:t>
      </w:r>
      <w:r w:rsidR="00FD1C0B" w:rsidRPr="008552E0">
        <w:rPr>
          <w:b/>
          <w:i/>
        </w:rPr>
        <w:t>mínusz </w:t>
      </w:r>
      <w:r w:rsidR="00A81580">
        <w:rPr>
          <w:b/>
          <w:i/>
        </w:rPr>
        <w:t>26.232</w:t>
      </w:r>
      <w:r w:rsidR="008552E0" w:rsidRPr="008552E0">
        <w:rPr>
          <w:b/>
          <w:i/>
        </w:rPr>
        <w:t>,-</w:t>
      </w:r>
      <w:r w:rsidR="00170D4E">
        <w:rPr>
          <w:b/>
          <w:i/>
        </w:rPr>
        <w:t xml:space="preserve"> </w:t>
      </w:r>
      <w:r w:rsidR="00741047" w:rsidRPr="008552E0">
        <w:rPr>
          <w:b/>
          <w:i/>
        </w:rPr>
        <w:t>e </w:t>
      </w:r>
      <w:r w:rsidRPr="008552E0">
        <w:rPr>
          <w:b/>
          <w:i/>
        </w:rPr>
        <w:t>Ft</w:t>
      </w:r>
      <w:r w:rsidRPr="00E41F5D">
        <w:rPr>
          <w:b/>
        </w:rPr>
        <w:t xml:space="preserve"> mérleg szerinti eredménnyel </w:t>
      </w:r>
      <w:r w:rsidR="00741047">
        <w:rPr>
          <w:b/>
        </w:rPr>
        <w:t>elfogad</w:t>
      </w:r>
      <w:r w:rsidR="008552E0">
        <w:rPr>
          <w:b/>
        </w:rPr>
        <w:t>j</w:t>
      </w:r>
      <w:r w:rsidR="00741047">
        <w:rPr>
          <w:b/>
        </w:rPr>
        <w:t>a, és a keletkezett veszteséget a következő évek nyereségével szemben elhatárolja.</w:t>
      </w:r>
    </w:p>
    <w:sectPr w:rsidR="0067218B" w:rsidRPr="00E41F5D" w:rsidSect="002A3792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797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29E" w:rsidRDefault="00B6429E">
      <w:r>
        <w:separator/>
      </w:r>
    </w:p>
  </w:endnote>
  <w:endnote w:type="continuationSeparator" w:id="0">
    <w:p w:rsidR="00B6429E" w:rsidRDefault="00B64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29E" w:rsidRDefault="00F51582" w:rsidP="008F3FB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B6429E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6429E" w:rsidRDefault="00B6429E" w:rsidP="00CF7331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29E" w:rsidRDefault="00F51582" w:rsidP="008F3FB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B6429E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E79CA">
      <w:rPr>
        <w:rStyle w:val="Oldalszm"/>
        <w:noProof/>
      </w:rPr>
      <w:t>15</w:t>
    </w:r>
    <w:r>
      <w:rPr>
        <w:rStyle w:val="Oldalszm"/>
      </w:rPr>
      <w:fldChar w:fldCharType="end"/>
    </w:r>
  </w:p>
  <w:p w:rsidR="00B6429E" w:rsidRDefault="00B6429E" w:rsidP="00CF7331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29E" w:rsidRDefault="00B6429E">
      <w:r>
        <w:separator/>
      </w:r>
    </w:p>
  </w:footnote>
  <w:footnote w:type="continuationSeparator" w:id="0">
    <w:p w:rsidR="00B6429E" w:rsidRDefault="00B64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29E" w:rsidRPr="0058127A" w:rsidRDefault="00B6429E" w:rsidP="0058127A">
    <w:pPr>
      <w:pStyle w:val="lfej"/>
      <w:jc w:val="right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29E" w:rsidRPr="00F93E83" w:rsidRDefault="00B6429E" w:rsidP="00F93E83">
    <w:pPr>
      <w:pStyle w:val="lfej"/>
      <w:jc w:val="right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5A26"/>
    <w:multiLevelType w:val="multilevel"/>
    <w:tmpl w:val="38C2EDBC"/>
    <w:lvl w:ilvl="0">
      <w:start w:val="3"/>
      <w:numFmt w:val="upperRoman"/>
      <w:lvlText w:val="%1."/>
      <w:lvlJc w:val="left"/>
      <w:pPr>
        <w:ind w:left="1997" w:hanging="720"/>
      </w:pPr>
      <w:rPr>
        <w:rFonts w:ascii="Times New Roman" w:hAnsi="Times New Roman" w:cs="Times New Roman" w:hint="default"/>
        <w:b w:val="0"/>
        <w:sz w:val="28"/>
        <w:u w:val="none"/>
      </w:rPr>
    </w:lvl>
    <w:lvl w:ilvl="1">
      <w:start w:val="6"/>
      <w:numFmt w:val="decimal"/>
      <w:lvlRestart w:val="0"/>
      <w:lvlText w:val="%1.6"/>
      <w:lvlJc w:val="left"/>
      <w:pPr>
        <w:ind w:left="1932" w:hanging="360"/>
      </w:pPr>
      <w:rPr>
        <w:rFonts w:hint="default"/>
      </w:rPr>
    </w:lvl>
    <w:lvl w:ilvl="2">
      <w:start w:val="3"/>
      <w:numFmt w:val="decimal"/>
      <w:lvlText w:val="%1.%21.1"/>
      <w:lvlJc w:val="left"/>
      <w:pPr>
        <w:ind w:left="2166" w:hanging="180"/>
      </w:pPr>
      <w:rPr>
        <w:rFonts w:hint="default"/>
      </w:rPr>
    </w:lvl>
    <w:lvl w:ilvl="3">
      <w:start w:val="2"/>
      <w:numFmt w:val="upperRoman"/>
      <w:lvlText w:val="%4."/>
      <w:lvlJc w:val="left"/>
      <w:pPr>
        <w:ind w:left="3372" w:hanging="360"/>
      </w:pPr>
      <w:rPr>
        <w:rFonts w:ascii="Times New Roman" w:hAnsi="Times New Roman" w:cs="Times New Roman" w:hint="default"/>
        <w:b w:val="0"/>
        <w:sz w:val="28"/>
        <w:u w:val="none"/>
      </w:rPr>
    </w:lvl>
    <w:lvl w:ilvl="4">
      <w:start w:val="1"/>
      <w:numFmt w:val="lowerLetter"/>
      <w:lvlText w:val="%5."/>
      <w:lvlJc w:val="left"/>
      <w:pPr>
        <w:ind w:left="40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2" w:hanging="180"/>
      </w:pPr>
      <w:rPr>
        <w:rFonts w:hint="default"/>
      </w:rPr>
    </w:lvl>
  </w:abstractNum>
  <w:abstractNum w:abstractNumId="1">
    <w:nsid w:val="16EF7D20"/>
    <w:multiLevelType w:val="multilevel"/>
    <w:tmpl w:val="22AEF4AA"/>
    <w:lvl w:ilvl="0">
      <w:start w:val="3"/>
      <w:numFmt w:val="upperRoman"/>
      <w:lvlText w:val="%1."/>
      <w:lvlJc w:val="left"/>
      <w:pPr>
        <w:ind w:left="1997" w:hanging="720"/>
      </w:pPr>
      <w:rPr>
        <w:rFonts w:ascii="Times New Roman" w:hAnsi="Times New Roman" w:cs="Times New Roman" w:hint="default"/>
        <w:b w:val="0"/>
        <w:sz w:val="28"/>
        <w:u w:val="none"/>
      </w:rPr>
    </w:lvl>
    <w:lvl w:ilvl="1">
      <w:start w:val="5"/>
      <w:numFmt w:val="decimal"/>
      <w:lvlRestart w:val="0"/>
      <w:lvlText w:val="%1.5"/>
      <w:lvlJc w:val="left"/>
      <w:pPr>
        <w:ind w:left="1932" w:hanging="360"/>
      </w:pPr>
      <w:rPr>
        <w:rFonts w:hint="default"/>
      </w:rPr>
    </w:lvl>
    <w:lvl w:ilvl="2">
      <w:start w:val="3"/>
      <w:numFmt w:val="decimal"/>
      <w:lvlText w:val="%1.%21.1"/>
      <w:lvlJc w:val="left"/>
      <w:pPr>
        <w:ind w:left="2166" w:hanging="180"/>
      </w:pPr>
      <w:rPr>
        <w:rFonts w:hint="default"/>
      </w:rPr>
    </w:lvl>
    <w:lvl w:ilvl="3">
      <w:start w:val="2"/>
      <w:numFmt w:val="upperRoman"/>
      <w:lvlText w:val="%4."/>
      <w:lvlJc w:val="left"/>
      <w:pPr>
        <w:ind w:left="3372" w:hanging="360"/>
      </w:pPr>
      <w:rPr>
        <w:rFonts w:ascii="Times New Roman" w:hAnsi="Times New Roman" w:cs="Times New Roman" w:hint="default"/>
        <w:b w:val="0"/>
        <w:sz w:val="28"/>
        <w:u w:val="none"/>
      </w:rPr>
    </w:lvl>
    <w:lvl w:ilvl="4">
      <w:start w:val="1"/>
      <w:numFmt w:val="lowerLetter"/>
      <w:lvlText w:val="%5."/>
      <w:lvlJc w:val="left"/>
      <w:pPr>
        <w:ind w:left="40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2" w:hanging="180"/>
      </w:pPr>
      <w:rPr>
        <w:rFonts w:hint="default"/>
      </w:rPr>
    </w:lvl>
  </w:abstractNum>
  <w:abstractNum w:abstractNumId="2">
    <w:nsid w:val="1FDC601F"/>
    <w:multiLevelType w:val="multilevel"/>
    <w:tmpl w:val="E3245BF8"/>
    <w:lvl w:ilvl="0">
      <w:start w:val="2"/>
      <w:numFmt w:val="upperRoman"/>
      <w:lvlText w:val="%1."/>
      <w:lvlJc w:val="left"/>
      <w:pPr>
        <w:ind w:left="1430" w:hanging="720"/>
      </w:pPr>
      <w:rPr>
        <w:rFonts w:ascii="Times New Roman" w:hAnsi="Times New Roman" w:cs="Times New Roman" w:hint="default"/>
        <w:b w:val="0"/>
        <w:sz w:val="28"/>
        <w:u w:val="none"/>
      </w:rPr>
    </w:lvl>
    <w:lvl w:ilvl="1">
      <w:start w:val="1"/>
      <w:numFmt w:val="none"/>
      <w:lvlText w:val="%1. 1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2"/>
      <w:numFmt w:val="upperRoman"/>
      <w:lvlText w:val="%4."/>
      <w:lvlJc w:val="left"/>
      <w:pPr>
        <w:ind w:left="3230" w:hanging="360"/>
      </w:pPr>
      <w:rPr>
        <w:rFonts w:ascii="Times New Roman" w:hAnsi="Times New Roman" w:cs="Times New Roman" w:hint="default"/>
        <w:b w:val="0"/>
        <w:i/>
        <w:sz w:val="24"/>
        <w:szCs w:val="24"/>
        <w:u w:val="no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3">
    <w:nsid w:val="20E10B19"/>
    <w:multiLevelType w:val="multilevel"/>
    <w:tmpl w:val="6D1E7296"/>
    <w:lvl w:ilvl="0">
      <w:start w:val="3"/>
      <w:numFmt w:val="upperRoman"/>
      <w:lvlText w:val="%1."/>
      <w:lvlJc w:val="left"/>
      <w:pPr>
        <w:ind w:left="1855" w:hanging="720"/>
      </w:pPr>
      <w:rPr>
        <w:rFonts w:ascii="Times New Roman" w:hAnsi="Times New Roman" w:cs="Times New Roman" w:hint="default"/>
        <w:b w:val="0"/>
        <w:sz w:val="28"/>
        <w:u w:val="none"/>
      </w:rPr>
    </w:lvl>
    <w:lvl w:ilvl="1">
      <w:start w:val="1"/>
      <w:numFmt w:val="none"/>
      <w:lvlText w:val="%1.4."/>
      <w:lvlJc w:val="left"/>
      <w:pPr>
        <w:ind w:left="1790" w:hanging="360"/>
      </w:pPr>
      <w:rPr>
        <w:rFonts w:hint="default"/>
      </w:rPr>
    </w:lvl>
    <w:lvl w:ilvl="2">
      <w:start w:val="3"/>
      <w:numFmt w:val="decimal"/>
      <w:lvlText w:val="%1.%2%3.4"/>
      <w:lvlJc w:val="left"/>
      <w:pPr>
        <w:ind w:left="2024" w:hanging="180"/>
      </w:pPr>
      <w:rPr>
        <w:rFonts w:hint="default"/>
      </w:rPr>
    </w:lvl>
    <w:lvl w:ilvl="3">
      <w:start w:val="2"/>
      <w:numFmt w:val="upperRoman"/>
      <w:lvlText w:val="%4."/>
      <w:lvlJc w:val="left"/>
      <w:pPr>
        <w:ind w:left="3230" w:hanging="360"/>
      </w:pPr>
      <w:rPr>
        <w:rFonts w:ascii="Times New Roman" w:hAnsi="Times New Roman" w:cs="Times New Roman" w:hint="default"/>
        <w:b w:val="0"/>
        <w:sz w:val="28"/>
        <w:u w:val="no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4">
    <w:nsid w:val="27FB7E2C"/>
    <w:multiLevelType w:val="multilevel"/>
    <w:tmpl w:val="E61204AE"/>
    <w:lvl w:ilvl="0">
      <w:start w:val="3"/>
      <w:numFmt w:val="upperRoman"/>
      <w:lvlText w:val="%1."/>
      <w:lvlJc w:val="left"/>
      <w:pPr>
        <w:ind w:left="1855" w:hanging="720"/>
      </w:pPr>
      <w:rPr>
        <w:rFonts w:ascii="Times New Roman" w:hAnsi="Times New Roman" w:cs="Times New Roman" w:hint="default"/>
        <w:b w:val="0"/>
        <w:sz w:val="28"/>
        <w:u w:val="none"/>
      </w:rPr>
    </w:lvl>
    <w:lvl w:ilvl="1">
      <w:start w:val="1"/>
      <w:numFmt w:val="none"/>
      <w:lvlText w:val="%1.3. 1"/>
      <w:lvlJc w:val="left"/>
      <w:pPr>
        <w:ind w:left="1790" w:hanging="360"/>
      </w:pPr>
      <w:rPr>
        <w:rFonts w:hint="default"/>
      </w:rPr>
    </w:lvl>
    <w:lvl w:ilvl="2">
      <w:start w:val="3"/>
      <w:numFmt w:val="decimal"/>
      <w:lvlText w:val="%1.%2%3.4"/>
      <w:lvlJc w:val="left"/>
      <w:pPr>
        <w:ind w:left="2024" w:hanging="180"/>
      </w:pPr>
      <w:rPr>
        <w:rFonts w:hint="default"/>
      </w:rPr>
    </w:lvl>
    <w:lvl w:ilvl="3">
      <w:start w:val="2"/>
      <w:numFmt w:val="upperRoman"/>
      <w:lvlText w:val="%4."/>
      <w:lvlJc w:val="left"/>
      <w:pPr>
        <w:ind w:left="3230" w:hanging="360"/>
      </w:pPr>
      <w:rPr>
        <w:rFonts w:ascii="Times New Roman" w:hAnsi="Times New Roman" w:cs="Times New Roman" w:hint="default"/>
        <w:b w:val="0"/>
        <w:sz w:val="28"/>
        <w:u w:val="no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>
    <w:nsid w:val="2B95273E"/>
    <w:multiLevelType w:val="hybridMultilevel"/>
    <w:tmpl w:val="5AC247C6"/>
    <w:lvl w:ilvl="0" w:tplc="B7A028A4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318E50CA"/>
    <w:multiLevelType w:val="multilevel"/>
    <w:tmpl w:val="5E52D04E"/>
    <w:lvl w:ilvl="0">
      <w:start w:val="3"/>
      <w:numFmt w:val="upperRoman"/>
      <w:lvlText w:val="%1."/>
      <w:lvlJc w:val="left"/>
      <w:pPr>
        <w:ind w:left="1855" w:hanging="720"/>
      </w:pPr>
      <w:rPr>
        <w:rFonts w:ascii="Times New Roman" w:hAnsi="Times New Roman" w:cs="Times New Roman" w:hint="default"/>
        <w:b w:val="0"/>
        <w:sz w:val="28"/>
        <w:u w:val="none"/>
      </w:rPr>
    </w:lvl>
    <w:lvl w:ilvl="1">
      <w:start w:val="1"/>
      <w:numFmt w:val="none"/>
      <w:lvlText w:val="%1.3."/>
      <w:lvlJc w:val="left"/>
      <w:pPr>
        <w:ind w:left="1790" w:hanging="360"/>
      </w:pPr>
      <w:rPr>
        <w:rFonts w:hint="default"/>
      </w:rPr>
    </w:lvl>
    <w:lvl w:ilvl="2">
      <w:start w:val="3"/>
      <w:numFmt w:val="decimal"/>
      <w:lvlText w:val="%1.%2%3.2"/>
      <w:lvlJc w:val="left"/>
      <w:pPr>
        <w:ind w:left="2307" w:hanging="180"/>
      </w:pPr>
      <w:rPr>
        <w:rFonts w:hint="default"/>
      </w:rPr>
    </w:lvl>
    <w:lvl w:ilvl="3">
      <w:start w:val="2"/>
      <w:numFmt w:val="upperRoman"/>
      <w:lvlText w:val="%4."/>
      <w:lvlJc w:val="left"/>
      <w:pPr>
        <w:ind w:left="3230" w:hanging="360"/>
      </w:pPr>
      <w:rPr>
        <w:rFonts w:ascii="Times New Roman" w:hAnsi="Times New Roman" w:cs="Times New Roman" w:hint="default"/>
        <w:b w:val="0"/>
        <w:sz w:val="28"/>
        <w:u w:val="no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>
    <w:nsid w:val="38455BF2"/>
    <w:multiLevelType w:val="multilevel"/>
    <w:tmpl w:val="86E6AA98"/>
    <w:lvl w:ilvl="0">
      <w:start w:val="3"/>
      <w:numFmt w:val="upperRoman"/>
      <w:lvlText w:val="%1."/>
      <w:lvlJc w:val="left"/>
      <w:pPr>
        <w:ind w:left="1855" w:hanging="720"/>
      </w:pPr>
      <w:rPr>
        <w:rFonts w:ascii="Times New Roman" w:hAnsi="Times New Roman" w:cs="Times New Roman" w:hint="default"/>
        <w:b w:val="0"/>
        <w:sz w:val="28"/>
        <w:u w:val="none"/>
      </w:rPr>
    </w:lvl>
    <w:lvl w:ilvl="1">
      <w:start w:val="1"/>
      <w:numFmt w:val="none"/>
      <w:lvlText w:val="%1.1. 1"/>
      <w:lvlJc w:val="left"/>
      <w:pPr>
        <w:ind w:left="1790" w:hanging="360"/>
      </w:pPr>
      <w:rPr>
        <w:rFonts w:hint="default"/>
      </w:rPr>
    </w:lvl>
    <w:lvl w:ilvl="2">
      <w:start w:val="3"/>
      <w:numFmt w:val="decimal"/>
      <w:lvlText w:val="%1.%21.2"/>
      <w:lvlJc w:val="left"/>
      <w:pPr>
        <w:ind w:left="2024" w:hanging="180"/>
      </w:pPr>
      <w:rPr>
        <w:rFonts w:hint="default"/>
      </w:rPr>
    </w:lvl>
    <w:lvl w:ilvl="3">
      <w:start w:val="2"/>
      <w:numFmt w:val="upperRoman"/>
      <w:lvlText w:val="%4."/>
      <w:lvlJc w:val="left"/>
      <w:pPr>
        <w:ind w:left="3230" w:hanging="360"/>
      </w:pPr>
      <w:rPr>
        <w:rFonts w:ascii="Times New Roman" w:hAnsi="Times New Roman" w:cs="Times New Roman" w:hint="default"/>
        <w:b w:val="0"/>
        <w:sz w:val="28"/>
        <w:u w:val="no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8">
    <w:nsid w:val="3F5F694A"/>
    <w:multiLevelType w:val="multilevel"/>
    <w:tmpl w:val="2AAE9B9A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/>
        <w:sz w:val="24"/>
        <w:szCs w:val="24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4D43394A"/>
    <w:multiLevelType w:val="multilevel"/>
    <w:tmpl w:val="1B306BEE"/>
    <w:lvl w:ilvl="0">
      <w:start w:val="3"/>
      <w:numFmt w:val="upperRoman"/>
      <w:lvlText w:val="%1."/>
      <w:lvlJc w:val="left"/>
      <w:pPr>
        <w:ind w:left="1855" w:hanging="720"/>
      </w:pPr>
      <w:rPr>
        <w:rFonts w:ascii="Times New Roman" w:hAnsi="Times New Roman" w:cs="Times New Roman" w:hint="default"/>
        <w:b w:val="0"/>
        <w:sz w:val="28"/>
        <w:u w:val="none"/>
      </w:rPr>
    </w:lvl>
    <w:lvl w:ilvl="1">
      <w:start w:val="1"/>
      <w:numFmt w:val="none"/>
      <w:lvlText w:val="%1.1."/>
      <w:lvlJc w:val="left"/>
      <w:pPr>
        <w:ind w:left="1790" w:hanging="360"/>
      </w:pPr>
      <w:rPr>
        <w:rFonts w:hint="default"/>
      </w:rPr>
    </w:lvl>
    <w:lvl w:ilvl="2">
      <w:start w:val="3"/>
      <w:numFmt w:val="decimal"/>
      <w:lvlText w:val="%1.%2%3.3"/>
      <w:lvlJc w:val="left"/>
      <w:pPr>
        <w:ind w:left="2024" w:hanging="180"/>
      </w:pPr>
      <w:rPr>
        <w:rFonts w:hint="default"/>
      </w:rPr>
    </w:lvl>
    <w:lvl w:ilvl="3">
      <w:start w:val="2"/>
      <w:numFmt w:val="upperRoman"/>
      <w:lvlText w:val="%4."/>
      <w:lvlJc w:val="left"/>
      <w:pPr>
        <w:ind w:left="3230" w:hanging="360"/>
      </w:pPr>
      <w:rPr>
        <w:rFonts w:ascii="Times New Roman" w:hAnsi="Times New Roman" w:cs="Times New Roman" w:hint="default"/>
        <w:b w:val="0"/>
        <w:sz w:val="28"/>
        <w:u w:val="no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0">
    <w:nsid w:val="501C0C9E"/>
    <w:multiLevelType w:val="multilevel"/>
    <w:tmpl w:val="D51665F2"/>
    <w:lvl w:ilvl="0">
      <w:start w:val="3"/>
      <w:numFmt w:val="upperRoman"/>
      <w:lvlText w:val="%1."/>
      <w:lvlJc w:val="left"/>
      <w:pPr>
        <w:ind w:left="1855" w:hanging="720"/>
      </w:pPr>
      <w:rPr>
        <w:rFonts w:ascii="Times New Roman" w:hAnsi="Times New Roman" w:cs="Times New Roman" w:hint="default"/>
        <w:b w:val="0"/>
        <w:sz w:val="28"/>
        <w:u w:val="none"/>
      </w:rPr>
    </w:lvl>
    <w:lvl w:ilvl="1">
      <w:start w:val="1"/>
      <w:numFmt w:val="none"/>
      <w:lvlText w:val="%1.2."/>
      <w:lvlJc w:val="left"/>
      <w:pPr>
        <w:ind w:left="1790" w:hanging="360"/>
      </w:pPr>
      <w:rPr>
        <w:rFonts w:hint="default"/>
      </w:rPr>
    </w:lvl>
    <w:lvl w:ilvl="2">
      <w:start w:val="3"/>
      <w:numFmt w:val="decimal"/>
      <w:lvlText w:val="%1.%2%3.3"/>
      <w:lvlJc w:val="left"/>
      <w:pPr>
        <w:ind w:left="2024" w:hanging="180"/>
      </w:pPr>
      <w:rPr>
        <w:rFonts w:hint="default"/>
      </w:rPr>
    </w:lvl>
    <w:lvl w:ilvl="3">
      <w:start w:val="2"/>
      <w:numFmt w:val="upperRoman"/>
      <w:lvlText w:val="%4."/>
      <w:lvlJc w:val="left"/>
      <w:pPr>
        <w:ind w:left="3230" w:hanging="360"/>
      </w:pPr>
      <w:rPr>
        <w:rFonts w:ascii="Times New Roman" w:hAnsi="Times New Roman" w:cs="Times New Roman" w:hint="default"/>
        <w:b w:val="0"/>
        <w:sz w:val="28"/>
        <w:u w:val="no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1">
    <w:nsid w:val="5CAC6B4B"/>
    <w:multiLevelType w:val="multilevel"/>
    <w:tmpl w:val="8F66BD1E"/>
    <w:lvl w:ilvl="0">
      <w:start w:val="2"/>
      <w:numFmt w:val="upperRoman"/>
      <w:lvlText w:val="%1."/>
      <w:lvlJc w:val="left"/>
      <w:pPr>
        <w:ind w:left="1430" w:hanging="720"/>
      </w:pPr>
      <w:rPr>
        <w:rFonts w:ascii="Times New Roman" w:hAnsi="Times New Roman" w:cs="Times New Roman" w:hint="default"/>
        <w:b w:val="0"/>
        <w:sz w:val="28"/>
        <w:u w:val="none"/>
      </w:rPr>
    </w:lvl>
    <w:lvl w:ilvl="1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2"/>
      <w:numFmt w:val="upperRoman"/>
      <w:lvlText w:val="%4."/>
      <w:lvlJc w:val="left"/>
      <w:pPr>
        <w:ind w:left="3230" w:hanging="360"/>
      </w:pPr>
      <w:rPr>
        <w:rFonts w:ascii="Times New Roman" w:hAnsi="Times New Roman" w:cs="Times New Roman" w:hint="default"/>
        <w:b/>
        <w:sz w:val="24"/>
        <w:szCs w:val="24"/>
        <w:u w:val="no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2">
    <w:nsid w:val="5F4067AB"/>
    <w:multiLevelType w:val="multilevel"/>
    <w:tmpl w:val="5C1C26E6"/>
    <w:lvl w:ilvl="0">
      <w:start w:val="3"/>
      <w:numFmt w:val="upperRoman"/>
      <w:lvlText w:val="%1."/>
      <w:lvlJc w:val="left"/>
      <w:pPr>
        <w:ind w:left="1855" w:hanging="720"/>
      </w:pPr>
      <w:rPr>
        <w:rFonts w:ascii="Times New Roman" w:hAnsi="Times New Roman" w:cs="Times New Roman" w:hint="default"/>
        <w:b/>
        <w:sz w:val="24"/>
        <w:szCs w:val="24"/>
        <w:u w:val="none"/>
      </w:rPr>
    </w:lvl>
    <w:lvl w:ilvl="1">
      <w:start w:val="1"/>
      <w:numFmt w:val="none"/>
      <w:lvlText w:val="%1.3."/>
      <w:lvlJc w:val="left"/>
      <w:pPr>
        <w:ind w:left="1790" w:hanging="360"/>
      </w:pPr>
      <w:rPr>
        <w:rFonts w:hint="default"/>
      </w:rPr>
    </w:lvl>
    <w:lvl w:ilvl="2">
      <w:start w:val="3"/>
      <w:numFmt w:val="decimal"/>
      <w:lvlText w:val="%1.%2%3.3"/>
      <w:lvlJc w:val="left"/>
      <w:pPr>
        <w:ind w:left="2024" w:hanging="180"/>
      </w:pPr>
      <w:rPr>
        <w:rFonts w:hint="default"/>
      </w:rPr>
    </w:lvl>
    <w:lvl w:ilvl="3">
      <w:start w:val="2"/>
      <w:numFmt w:val="upperRoman"/>
      <w:lvlText w:val="%4."/>
      <w:lvlJc w:val="left"/>
      <w:pPr>
        <w:ind w:left="3230" w:hanging="360"/>
      </w:pPr>
      <w:rPr>
        <w:rFonts w:ascii="Times New Roman" w:hAnsi="Times New Roman" w:cs="Times New Roman" w:hint="default"/>
        <w:b w:val="0"/>
        <w:sz w:val="28"/>
        <w:u w:val="no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3">
    <w:nsid w:val="602C3F4D"/>
    <w:multiLevelType w:val="hybridMultilevel"/>
    <w:tmpl w:val="69EC17BE"/>
    <w:lvl w:ilvl="0" w:tplc="F4E813B0">
      <w:start w:val="3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FF29C6"/>
    <w:multiLevelType w:val="multilevel"/>
    <w:tmpl w:val="5C78CC92"/>
    <w:lvl w:ilvl="0">
      <w:start w:val="5"/>
      <w:numFmt w:val="upperRoman"/>
      <w:lvlText w:val="%1."/>
      <w:lvlJc w:val="left"/>
      <w:pPr>
        <w:ind w:left="1855" w:hanging="720"/>
      </w:pPr>
      <w:rPr>
        <w:rFonts w:ascii="Times New Roman" w:hAnsi="Times New Roman" w:cs="Times New Roman" w:hint="default"/>
        <w:b/>
        <w:sz w:val="24"/>
        <w:szCs w:val="24"/>
        <w:u w:val="none"/>
      </w:rPr>
    </w:lvl>
    <w:lvl w:ilvl="1">
      <w:start w:val="1"/>
      <w:numFmt w:val="none"/>
      <w:lvlText w:val="%1.1. 1"/>
      <w:lvlJc w:val="left"/>
      <w:pPr>
        <w:ind w:left="1790" w:hanging="360"/>
      </w:pPr>
      <w:rPr>
        <w:rFonts w:hint="default"/>
      </w:rPr>
    </w:lvl>
    <w:lvl w:ilvl="2">
      <w:start w:val="3"/>
      <w:numFmt w:val="decimal"/>
      <w:lvlText w:val="%1.%21.1"/>
      <w:lvlJc w:val="left"/>
      <w:pPr>
        <w:ind w:left="2024" w:hanging="180"/>
      </w:pPr>
      <w:rPr>
        <w:rFonts w:hint="default"/>
      </w:rPr>
    </w:lvl>
    <w:lvl w:ilvl="3">
      <w:start w:val="2"/>
      <w:numFmt w:val="upperRoman"/>
      <w:lvlText w:val="%4."/>
      <w:lvlJc w:val="left"/>
      <w:pPr>
        <w:ind w:left="3230" w:hanging="360"/>
      </w:pPr>
      <w:rPr>
        <w:rFonts w:ascii="Times New Roman" w:hAnsi="Times New Roman" w:cs="Times New Roman" w:hint="default"/>
        <w:b w:val="0"/>
        <w:sz w:val="28"/>
        <w:u w:val="no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5">
    <w:nsid w:val="67E3460F"/>
    <w:multiLevelType w:val="hybridMultilevel"/>
    <w:tmpl w:val="DF72C8CA"/>
    <w:lvl w:ilvl="0" w:tplc="A23EAA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9831868"/>
    <w:multiLevelType w:val="multilevel"/>
    <w:tmpl w:val="23FA7804"/>
    <w:lvl w:ilvl="0">
      <w:start w:val="2"/>
      <w:numFmt w:val="upperRoman"/>
      <w:lvlText w:val="%1."/>
      <w:lvlJc w:val="left"/>
      <w:pPr>
        <w:ind w:left="1430" w:hanging="720"/>
      </w:pPr>
      <w:rPr>
        <w:rFonts w:ascii="Times New Roman" w:hAnsi="Times New Roman" w:cs="Times New Roman" w:hint="default"/>
        <w:b w:val="0"/>
        <w:sz w:val="28"/>
        <w:u w:val="none"/>
      </w:rPr>
    </w:lvl>
    <w:lvl w:ilvl="1">
      <w:start w:val="1"/>
      <w:numFmt w:val="none"/>
      <w:lvlText w:val="%1. 1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2"/>
      <w:numFmt w:val="upperRoman"/>
      <w:lvlText w:val="%4."/>
      <w:lvlJc w:val="left"/>
      <w:pPr>
        <w:ind w:left="3230" w:hanging="360"/>
      </w:pPr>
      <w:rPr>
        <w:rFonts w:ascii="Times New Roman" w:hAnsi="Times New Roman" w:cs="Times New Roman" w:hint="default"/>
        <w:b w:val="0"/>
        <w:sz w:val="28"/>
        <w:u w:val="no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7">
    <w:nsid w:val="74CC0AB6"/>
    <w:multiLevelType w:val="multilevel"/>
    <w:tmpl w:val="5E52D04E"/>
    <w:lvl w:ilvl="0">
      <w:start w:val="3"/>
      <w:numFmt w:val="upperRoman"/>
      <w:lvlText w:val="%1."/>
      <w:lvlJc w:val="left"/>
      <w:pPr>
        <w:ind w:left="1855" w:hanging="720"/>
      </w:pPr>
      <w:rPr>
        <w:rFonts w:ascii="Times New Roman" w:hAnsi="Times New Roman" w:cs="Times New Roman" w:hint="default"/>
        <w:b w:val="0"/>
        <w:sz w:val="28"/>
        <w:u w:val="none"/>
      </w:rPr>
    </w:lvl>
    <w:lvl w:ilvl="1">
      <w:start w:val="1"/>
      <w:numFmt w:val="none"/>
      <w:lvlText w:val="%1.3."/>
      <w:lvlJc w:val="left"/>
      <w:pPr>
        <w:ind w:left="1790" w:hanging="360"/>
      </w:pPr>
      <w:rPr>
        <w:rFonts w:hint="default"/>
      </w:rPr>
    </w:lvl>
    <w:lvl w:ilvl="2">
      <w:start w:val="3"/>
      <w:numFmt w:val="decimal"/>
      <w:lvlText w:val="%1.%2%3.2"/>
      <w:lvlJc w:val="left"/>
      <w:pPr>
        <w:ind w:left="2307" w:hanging="180"/>
      </w:pPr>
      <w:rPr>
        <w:rFonts w:hint="default"/>
      </w:rPr>
    </w:lvl>
    <w:lvl w:ilvl="3">
      <w:start w:val="2"/>
      <w:numFmt w:val="upperRoman"/>
      <w:lvlText w:val="%4."/>
      <w:lvlJc w:val="left"/>
      <w:pPr>
        <w:ind w:left="3230" w:hanging="360"/>
      </w:pPr>
      <w:rPr>
        <w:rFonts w:ascii="Times New Roman" w:hAnsi="Times New Roman" w:cs="Times New Roman" w:hint="default"/>
        <w:b w:val="0"/>
        <w:sz w:val="28"/>
        <w:u w:val="no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11"/>
  </w:num>
  <w:num w:numId="5">
    <w:abstractNumId w:val="16"/>
  </w:num>
  <w:num w:numId="6">
    <w:abstractNumId w:val="2"/>
  </w:num>
  <w:num w:numId="7">
    <w:abstractNumId w:val="6"/>
  </w:num>
  <w:num w:numId="8">
    <w:abstractNumId w:val="12"/>
  </w:num>
  <w:num w:numId="9">
    <w:abstractNumId w:val="3"/>
  </w:num>
  <w:num w:numId="10">
    <w:abstractNumId w:val="13"/>
  </w:num>
  <w:num w:numId="11">
    <w:abstractNumId w:val="9"/>
  </w:num>
  <w:num w:numId="12">
    <w:abstractNumId w:val="7"/>
  </w:num>
  <w:num w:numId="13">
    <w:abstractNumId w:val="17"/>
  </w:num>
  <w:num w:numId="14">
    <w:abstractNumId w:val="4"/>
  </w:num>
  <w:num w:numId="15">
    <w:abstractNumId w:val="14"/>
  </w:num>
  <w:num w:numId="16">
    <w:abstractNumId w:val="10"/>
  </w:num>
  <w:num w:numId="17">
    <w:abstractNumId w:val="1"/>
  </w:num>
  <w:num w:numId="18">
    <w:abstractNumId w:val="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AB8"/>
    <w:rsid w:val="00002914"/>
    <w:rsid w:val="00012BFA"/>
    <w:rsid w:val="00013EB1"/>
    <w:rsid w:val="00014A05"/>
    <w:rsid w:val="000232CC"/>
    <w:rsid w:val="00030043"/>
    <w:rsid w:val="00032771"/>
    <w:rsid w:val="000362E4"/>
    <w:rsid w:val="00053995"/>
    <w:rsid w:val="0006334A"/>
    <w:rsid w:val="00071FAC"/>
    <w:rsid w:val="000740AE"/>
    <w:rsid w:val="00074605"/>
    <w:rsid w:val="000763A1"/>
    <w:rsid w:val="00080007"/>
    <w:rsid w:val="0008104E"/>
    <w:rsid w:val="00090C65"/>
    <w:rsid w:val="000910C7"/>
    <w:rsid w:val="00092B3D"/>
    <w:rsid w:val="00094D32"/>
    <w:rsid w:val="0009696B"/>
    <w:rsid w:val="000A0A76"/>
    <w:rsid w:val="000A1D49"/>
    <w:rsid w:val="000A3A7A"/>
    <w:rsid w:val="000A5376"/>
    <w:rsid w:val="000B1174"/>
    <w:rsid w:val="000B373B"/>
    <w:rsid w:val="000B4469"/>
    <w:rsid w:val="000C3B05"/>
    <w:rsid w:val="000C3B40"/>
    <w:rsid w:val="000D0358"/>
    <w:rsid w:val="000D0CCE"/>
    <w:rsid w:val="000D1415"/>
    <w:rsid w:val="000D163F"/>
    <w:rsid w:val="000D74DC"/>
    <w:rsid w:val="000D76B0"/>
    <w:rsid w:val="000E7553"/>
    <w:rsid w:val="000E7AFA"/>
    <w:rsid w:val="000F031F"/>
    <w:rsid w:val="000F3DC8"/>
    <w:rsid w:val="00106488"/>
    <w:rsid w:val="00111A65"/>
    <w:rsid w:val="00115BBE"/>
    <w:rsid w:val="00135558"/>
    <w:rsid w:val="001374E2"/>
    <w:rsid w:val="00145B31"/>
    <w:rsid w:val="00150810"/>
    <w:rsid w:val="001674CC"/>
    <w:rsid w:val="00170D4E"/>
    <w:rsid w:val="001744A7"/>
    <w:rsid w:val="0017631A"/>
    <w:rsid w:val="00181FDA"/>
    <w:rsid w:val="00184B2E"/>
    <w:rsid w:val="0018584B"/>
    <w:rsid w:val="0019110A"/>
    <w:rsid w:val="001940B9"/>
    <w:rsid w:val="0019458A"/>
    <w:rsid w:val="001A33B6"/>
    <w:rsid w:val="001A58C1"/>
    <w:rsid w:val="001C0557"/>
    <w:rsid w:val="001C12FB"/>
    <w:rsid w:val="001C264A"/>
    <w:rsid w:val="001D296A"/>
    <w:rsid w:val="001D74D8"/>
    <w:rsid w:val="001D756D"/>
    <w:rsid w:val="001E1B00"/>
    <w:rsid w:val="001E3BC8"/>
    <w:rsid w:val="001F4001"/>
    <w:rsid w:val="00206B60"/>
    <w:rsid w:val="00211B21"/>
    <w:rsid w:val="00212680"/>
    <w:rsid w:val="00217247"/>
    <w:rsid w:val="00221B95"/>
    <w:rsid w:val="0022700A"/>
    <w:rsid w:val="00242770"/>
    <w:rsid w:val="00242DB2"/>
    <w:rsid w:val="00246916"/>
    <w:rsid w:val="00250188"/>
    <w:rsid w:val="00250ED0"/>
    <w:rsid w:val="00257929"/>
    <w:rsid w:val="00261273"/>
    <w:rsid w:val="0026600F"/>
    <w:rsid w:val="0027091D"/>
    <w:rsid w:val="00285047"/>
    <w:rsid w:val="002871CA"/>
    <w:rsid w:val="00292BE9"/>
    <w:rsid w:val="002958A7"/>
    <w:rsid w:val="00297CCE"/>
    <w:rsid w:val="002A3792"/>
    <w:rsid w:val="002A7C1A"/>
    <w:rsid w:val="002A7DD1"/>
    <w:rsid w:val="002B2F1A"/>
    <w:rsid w:val="002B6D90"/>
    <w:rsid w:val="002C27B6"/>
    <w:rsid w:val="002C6969"/>
    <w:rsid w:val="002C6DA3"/>
    <w:rsid w:val="002F085E"/>
    <w:rsid w:val="002F1763"/>
    <w:rsid w:val="002F2236"/>
    <w:rsid w:val="002F279B"/>
    <w:rsid w:val="003004AB"/>
    <w:rsid w:val="00305A20"/>
    <w:rsid w:val="00305B06"/>
    <w:rsid w:val="00312065"/>
    <w:rsid w:val="00327170"/>
    <w:rsid w:val="003307D1"/>
    <w:rsid w:val="00337B20"/>
    <w:rsid w:val="00340F40"/>
    <w:rsid w:val="0034489E"/>
    <w:rsid w:val="00352A72"/>
    <w:rsid w:val="003560E5"/>
    <w:rsid w:val="00357E35"/>
    <w:rsid w:val="0036506F"/>
    <w:rsid w:val="00377DE4"/>
    <w:rsid w:val="00381CE2"/>
    <w:rsid w:val="003835AF"/>
    <w:rsid w:val="0039301E"/>
    <w:rsid w:val="00393247"/>
    <w:rsid w:val="00396FB3"/>
    <w:rsid w:val="003A3DA3"/>
    <w:rsid w:val="003B0CFD"/>
    <w:rsid w:val="003B6B37"/>
    <w:rsid w:val="003C0404"/>
    <w:rsid w:val="003C539C"/>
    <w:rsid w:val="003C5485"/>
    <w:rsid w:val="003D2717"/>
    <w:rsid w:val="003D7158"/>
    <w:rsid w:val="003D7CFF"/>
    <w:rsid w:val="003E100B"/>
    <w:rsid w:val="003E6DFD"/>
    <w:rsid w:val="003F5237"/>
    <w:rsid w:val="004014EE"/>
    <w:rsid w:val="0040202E"/>
    <w:rsid w:val="004076A0"/>
    <w:rsid w:val="004163A9"/>
    <w:rsid w:val="004201C3"/>
    <w:rsid w:val="004201D9"/>
    <w:rsid w:val="00422340"/>
    <w:rsid w:val="004247E2"/>
    <w:rsid w:val="00426CCA"/>
    <w:rsid w:val="00430280"/>
    <w:rsid w:val="00430998"/>
    <w:rsid w:val="00440B79"/>
    <w:rsid w:val="004619B2"/>
    <w:rsid w:val="00472594"/>
    <w:rsid w:val="00475BE3"/>
    <w:rsid w:val="004810BB"/>
    <w:rsid w:val="00481868"/>
    <w:rsid w:val="00483FCE"/>
    <w:rsid w:val="004853D0"/>
    <w:rsid w:val="004A1764"/>
    <w:rsid w:val="004A1A36"/>
    <w:rsid w:val="004A21AB"/>
    <w:rsid w:val="004B1192"/>
    <w:rsid w:val="004B23C8"/>
    <w:rsid w:val="004C4C9A"/>
    <w:rsid w:val="004C5833"/>
    <w:rsid w:val="004D181F"/>
    <w:rsid w:val="004D44B2"/>
    <w:rsid w:val="004D4D68"/>
    <w:rsid w:val="004D4E46"/>
    <w:rsid w:val="004D7144"/>
    <w:rsid w:val="004E22FB"/>
    <w:rsid w:val="004F19E8"/>
    <w:rsid w:val="004F2FA0"/>
    <w:rsid w:val="004F6949"/>
    <w:rsid w:val="00502566"/>
    <w:rsid w:val="00506F90"/>
    <w:rsid w:val="00507F24"/>
    <w:rsid w:val="00511314"/>
    <w:rsid w:val="00514C0A"/>
    <w:rsid w:val="00516CD1"/>
    <w:rsid w:val="00520EAD"/>
    <w:rsid w:val="00532A12"/>
    <w:rsid w:val="005359AA"/>
    <w:rsid w:val="00536BBC"/>
    <w:rsid w:val="00537750"/>
    <w:rsid w:val="005404AE"/>
    <w:rsid w:val="00551944"/>
    <w:rsid w:val="00567F6C"/>
    <w:rsid w:val="005753E1"/>
    <w:rsid w:val="0058127A"/>
    <w:rsid w:val="00587779"/>
    <w:rsid w:val="00591F80"/>
    <w:rsid w:val="005941CF"/>
    <w:rsid w:val="0059760C"/>
    <w:rsid w:val="00597917"/>
    <w:rsid w:val="005A5F94"/>
    <w:rsid w:val="005A68B2"/>
    <w:rsid w:val="005A7AB8"/>
    <w:rsid w:val="005B0647"/>
    <w:rsid w:val="005B0783"/>
    <w:rsid w:val="005B0AE2"/>
    <w:rsid w:val="005B49B2"/>
    <w:rsid w:val="005D41F9"/>
    <w:rsid w:val="005E24A6"/>
    <w:rsid w:val="005F061E"/>
    <w:rsid w:val="005F08E6"/>
    <w:rsid w:val="0060774E"/>
    <w:rsid w:val="0061672E"/>
    <w:rsid w:val="00616FB2"/>
    <w:rsid w:val="0062485E"/>
    <w:rsid w:val="00625DD4"/>
    <w:rsid w:val="00632E13"/>
    <w:rsid w:val="006425A7"/>
    <w:rsid w:val="00644150"/>
    <w:rsid w:val="006446BE"/>
    <w:rsid w:val="00652384"/>
    <w:rsid w:val="00652C26"/>
    <w:rsid w:val="00653830"/>
    <w:rsid w:val="006560A7"/>
    <w:rsid w:val="00660BF4"/>
    <w:rsid w:val="00664357"/>
    <w:rsid w:val="00666EE7"/>
    <w:rsid w:val="0067218B"/>
    <w:rsid w:val="00672F06"/>
    <w:rsid w:val="00673F66"/>
    <w:rsid w:val="006772B3"/>
    <w:rsid w:val="00681F6B"/>
    <w:rsid w:val="0068201F"/>
    <w:rsid w:val="00682F8A"/>
    <w:rsid w:val="0068675F"/>
    <w:rsid w:val="00696CB2"/>
    <w:rsid w:val="0069768E"/>
    <w:rsid w:val="006B1563"/>
    <w:rsid w:val="006B1F3E"/>
    <w:rsid w:val="006B30FD"/>
    <w:rsid w:val="006B4229"/>
    <w:rsid w:val="006B66F0"/>
    <w:rsid w:val="006C6124"/>
    <w:rsid w:val="006D08ED"/>
    <w:rsid w:val="006D4212"/>
    <w:rsid w:val="006D5FAE"/>
    <w:rsid w:val="006E6680"/>
    <w:rsid w:val="006E7050"/>
    <w:rsid w:val="006F5901"/>
    <w:rsid w:val="006F726E"/>
    <w:rsid w:val="006F756C"/>
    <w:rsid w:val="00701941"/>
    <w:rsid w:val="007120BA"/>
    <w:rsid w:val="007146E2"/>
    <w:rsid w:val="0072088B"/>
    <w:rsid w:val="0072628D"/>
    <w:rsid w:val="00727EE1"/>
    <w:rsid w:val="00730BB3"/>
    <w:rsid w:val="0073533F"/>
    <w:rsid w:val="0073684A"/>
    <w:rsid w:val="0074054A"/>
    <w:rsid w:val="00740590"/>
    <w:rsid w:val="00741047"/>
    <w:rsid w:val="0074202D"/>
    <w:rsid w:val="00744A7E"/>
    <w:rsid w:val="00746A21"/>
    <w:rsid w:val="00753917"/>
    <w:rsid w:val="00761CBE"/>
    <w:rsid w:val="00762B4E"/>
    <w:rsid w:val="007634EA"/>
    <w:rsid w:val="00766C9C"/>
    <w:rsid w:val="00772F9E"/>
    <w:rsid w:val="00775061"/>
    <w:rsid w:val="00775572"/>
    <w:rsid w:val="00780A2E"/>
    <w:rsid w:val="00782D32"/>
    <w:rsid w:val="007856CA"/>
    <w:rsid w:val="007907A7"/>
    <w:rsid w:val="0079731B"/>
    <w:rsid w:val="007A5847"/>
    <w:rsid w:val="007A6C64"/>
    <w:rsid w:val="007A7F1E"/>
    <w:rsid w:val="007C61FB"/>
    <w:rsid w:val="007D3085"/>
    <w:rsid w:val="007D31CB"/>
    <w:rsid w:val="007D36B1"/>
    <w:rsid w:val="007D3CC2"/>
    <w:rsid w:val="007D5AF0"/>
    <w:rsid w:val="007E0FED"/>
    <w:rsid w:val="007E6AFB"/>
    <w:rsid w:val="007F5825"/>
    <w:rsid w:val="00800273"/>
    <w:rsid w:val="00801983"/>
    <w:rsid w:val="00811847"/>
    <w:rsid w:val="00815821"/>
    <w:rsid w:val="00815F1D"/>
    <w:rsid w:val="00820C98"/>
    <w:rsid w:val="00824867"/>
    <w:rsid w:val="00827F2F"/>
    <w:rsid w:val="0084172B"/>
    <w:rsid w:val="00842A06"/>
    <w:rsid w:val="00843B46"/>
    <w:rsid w:val="00845036"/>
    <w:rsid w:val="00845395"/>
    <w:rsid w:val="00845E06"/>
    <w:rsid w:val="008552E0"/>
    <w:rsid w:val="008559D3"/>
    <w:rsid w:val="00860EFB"/>
    <w:rsid w:val="008621C4"/>
    <w:rsid w:val="008623CC"/>
    <w:rsid w:val="00863AFD"/>
    <w:rsid w:val="0087043D"/>
    <w:rsid w:val="008710CB"/>
    <w:rsid w:val="0088115F"/>
    <w:rsid w:val="0088312C"/>
    <w:rsid w:val="008878E1"/>
    <w:rsid w:val="00896211"/>
    <w:rsid w:val="00897669"/>
    <w:rsid w:val="008A3BC0"/>
    <w:rsid w:val="008A7164"/>
    <w:rsid w:val="008A73C2"/>
    <w:rsid w:val="008C6F40"/>
    <w:rsid w:val="008D7DE1"/>
    <w:rsid w:val="008E5D79"/>
    <w:rsid w:val="008F33AC"/>
    <w:rsid w:val="008F3FB5"/>
    <w:rsid w:val="008F53A2"/>
    <w:rsid w:val="008F7913"/>
    <w:rsid w:val="00905277"/>
    <w:rsid w:val="00905511"/>
    <w:rsid w:val="0090662F"/>
    <w:rsid w:val="00907D28"/>
    <w:rsid w:val="009102D7"/>
    <w:rsid w:val="00910E80"/>
    <w:rsid w:val="00911D8E"/>
    <w:rsid w:val="00914E34"/>
    <w:rsid w:val="0091607B"/>
    <w:rsid w:val="00917B02"/>
    <w:rsid w:val="00923FA8"/>
    <w:rsid w:val="00936495"/>
    <w:rsid w:val="00942362"/>
    <w:rsid w:val="00943938"/>
    <w:rsid w:val="00944DF0"/>
    <w:rsid w:val="00946301"/>
    <w:rsid w:val="00946A35"/>
    <w:rsid w:val="0094713A"/>
    <w:rsid w:val="00955246"/>
    <w:rsid w:val="009561A8"/>
    <w:rsid w:val="00972816"/>
    <w:rsid w:val="00982C62"/>
    <w:rsid w:val="0098595B"/>
    <w:rsid w:val="00985EDE"/>
    <w:rsid w:val="0099765C"/>
    <w:rsid w:val="009A1405"/>
    <w:rsid w:val="009A4937"/>
    <w:rsid w:val="009A6E37"/>
    <w:rsid w:val="009B221A"/>
    <w:rsid w:val="009C16D2"/>
    <w:rsid w:val="009C1D96"/>
    <w:rsid w:val="009C33CC"/>
    <w:rsid w:val="009C3B22"/>
    <w:rsid w:val="009C5ACA"/>
    <w:rsid w:val="009D605E"/>
    <w:rsid w:val="009E1711"/>
    <w:rsid w:val="009E251D"/>
    <w:rsid w:val="009E3DB0"/>
    <w:rsid w:val="009E4F84"/>
    <w:rsid w:val="009E79CA"/>
    <w:rsid w:val="009F60D1"/>
    <w:rsid w:val="00A00AF0"/>
    <w:rsid w:val="00A00E86"/>
    <w:rsid w:val="00A0133E"/>
    <w:rsid w:val="00A13742"/>
    <w:rsid w:val="00A16D84"/>
    <w:rsid w:val="00A25148"/>
    <w:rsid w:val="00A30B21"/>
    <w:rsid w:val="00A313FF"/>
    <w:rsid w:val="00A3769E"/>
    <w:rsid w:val="00A377C6"/>
    <w:rsid w:val="00A431F4"/>
    <w:rsid w:val="00A45632"/>
    <w:rsid w:val="00A46ECD"/>
    <w:rsid w:val="00A5536A"/>
    <w:rsid w:val="00A66B10"/>
    <w:rsid w:val="00A7092D"/>
    <w:rsid w:val="00A7450A"/>
    <w:rsid w:val="00A75510"/>
    <w:rsid w:val="00A77280"/>
    <w:rsid w:val="00A81580"/>
    <w:rsid w:val="00A81BE6"/>
    <w:rsid w:val="00A8684E"/>
    <w:rsid w:val="00A9027D"/>
    <w:rsid w:val="00A916A8"/>
    <w:rsid w:val="00A93E19"/>
    <w:rsid w:val="00AA1123"/>
    <w:rsid w:val="00AA4DFF"/>
    <w:rsid w:val="00AB1F37"/>
    <w:rsid w:val="00AB351B"/>
    <w:rsid w:val="00AC3E7C"/>
    <w:rsid w:val="00AC7819"/>
    <w:rsid w:val="00AD2AF2"/>
    <w:rsid w:val="00AE19DB"/>
    <w:rsid w:val="00AE29EB"/>
    <w:rsid w:val="00AE6B3C"/>
    <w:rsid w:val="00AE7ACC"/>
    <w:rsid w:val="00AE7CA2"/>
    <w:rsid w:val="00AF1D93"/>
    <w:rsid w:val="00AF5944"/>
    <w:rsid w:val="00B00258"/>
    <w:rsid w:val="00B0555D"/>
    <w:rsid w:val="00B06185"/>
    <w:rsid w:val="00B07180"/>
    <w:rsid w:val="00B12007"/>
    <w:rsid w:val="00B120C4"/>
    <w:rsid w:val="00B12457"/>
    <w:rsid w:val="00B25976"/>
    <w:rsid w:val="00B26C2D"/>
    <w:rsid w:val="00B27882"/>
    <w:rsid w:val="00B4120E"/>
    <w:rsid w:val="00B452AD"/>
    <w:rsid w:val="00B536A9"/>
    <w:rsid w:val="00B55979"/>
    <w:rsid w:val="00B56A58"/>
    <w:rsid w:val="00B6429E"/>
    <w:rsid w:val="00B70729"/>
    <w:rsid w:val="00B80813"/>
    <w:rsid w:val="00B80C88"/>
    <w:rsid w:val="00B80D46"/>
    <w:rsid w:val="00B80E65"/>
    <w:rsid w:val="00B839DE"/>
    <w:rsid w:val="00B91EE8"/>
    <w:rsid w:val="00B9229B"/>
    <w:rsid w:val="00B92E79"/>
    <w:rsid w:val="00BA18A9"/>
    <w:rsid w:val="00BB0885"/>
    <w:rsid w:val="00BB1973"/>
    <w:rsid w:val="00BB6F0B"/>
    <w:rsid w:val="00BC271F"/>
    <w:rsid w:val="00BC341B"/>
    <w:rsid w:val="00BD1B45"/>
    <w:rsid w:val="00BD53B4"/>
    <w:rsid w:val="00BD55C8"/>
    <w:rsid w:val="00BD6EC1"/>
    <w:rsid w:val="00BE098F"/>
    <w:rsid w:val="00BE3786"/>
    <w:rsid w:val="00BF176A"/>
    <w:rsid w:val="00BF36B5"/>
    <w:rsid w:val="00BF4632"/>
    <w:rsid w:val="00C1743B"/>
    <w:rsid w:val="00C20930"/>
    <w:rsid w:val="00C30777"/>
    <w:rsid w:val="00C31E31"/>
    <w:rsid w:val="00C326CE"/>
    <w:rsid w:val="00C34A1D"/>
    <w:rsid w:val="00C41C38"/>
    <w:rsid w:val="00C456BA"/>
    <w:rsid w:val="00C4642E"/>
    <w:rsid w:val="00C50CA2"/>
    <w:rsid w:val="00C56817"/>
    <w:rsid w:val="00C653C8"/>
    <w:rsid w:val="00C70126"/>
    <w:rsid w:val="00C72E51"/>
    <w:rsid w:val="00C76EC8"/>
    <w:rsid w:val="00C93F30"/>
    <w:rsid w:val="00C95A95"/>
    <w:rsid w:val="00CA01F3"/>
    <w:rsid w:val="00CA0C93"/>
    <w:rsid w:val="00CA1581"/>
    <w:rsid w:val="00CA174A"/>
    <w:rsid w:val="00CB617D"/>
    <w:rsid w:val="00CB72B0"/>
    <w:rsid w:val="00CD31B8"/>
    <w:rsid w:val="00CE02A8"/>
    <w:rsid w:val="00CE6B51"/>
    <w:rsid w:val="00CE7E8F"/>
    <w:rsid w:val="00CF7331"/>
    <w:rsid w:val="00D058F4"/>
    <w:rsid w:val="00D05BD0"/>
    <w:rsid w:val="00D1069F"/>
    <w:rsid w:val="00D16A49"/>
    <w:rsid w:val="00D24AB2"/>
    <w:rsid w:val="00D310A7"/>
    <w:rsid w:val="00D344DF"/>
    <w:rsid w:val="00D4004F"/>
    <w:rsid w:val="00D40A93"/>
    <w:rsid w:val="00D43286"/>
    <w:rsid w:val="00D63F5E"/>
    <w:rsid w:val="00D65F38"/>
    <w:rsid w:val="00D6690B"/>
    <w:rsid w:val="00D731D5"/>
    <w:rsid w:val="00D74D99"/>
    <w:rsid w:val="00D86A67"/>
    <w:rsid w:val="00D872FF"/>
    <w:rsid w:val="00D90305"/>
    <w:rsid w:val="00D92014"/>
    <w:rsid w:val="00D93D92"/>
    <w:rsid w:val="00DA190F"/>
    <w:rsid w:val="00DA7EF9"/>
    <w:rsid w:val="00DB553C"/>
    <w:rsid w:val="00DC6373"/>
    <w:rsid w:val="00DC75C1"/>
    <w:rsid w:val="00DD11EB"/>
    <w:rsid w:val="00DD2404"/>
    <w:rsid w:val="00DD354F"/>
    <w:rsid w:val="00E02735"/>
    <w:rsid w:val="00E02853"/>
    <w:rsid w:val="00E0294D"/>
    <w:rsid w:val="00E06960"/>
    <w:rsid w:val="00E1367D"/>
    <w:rsid w:val="00E15CEA"/>
    <w:rsid w:val="00E21327"/>
    <w:rsid w:val="00E26987"/>
    <w:rsid w:val="00E36F9F"/>
    <w:rsid w:val="00E57BD9"/>
    <w:rsid w:val="00E6208A"/>
    <w:rsid w:val="00E768F5"/>
    <w:rsid w:val="00E77498"/>
    <w:rsid w:val="00E77602"/>
    <w:rsid w:val="00E83B78"/>
    <w:rsid w:val="00E8781B"/>
    <w:rsid w:val="00EA2BE6"/>
    <w:rsid w:val="00EB15E0"/>
    <w:rsid w:val="00EB25C6"/>
    <w:rsid w:val="00EB3A2A"/>
    <w:rsid w:val="00EB57BC"/>
    <w:rsid w:val="00EB5C76"/>
    <w:rsid w:val="00EB5E3E"/>
    <w:rsid w:val="00EB7CF6"/>
    <w:rsid w:val="00EC4B71"/>
    <w:rsid w:val="00EC66DF"/>
    <w:rsid w:val="00EC738D"/>
    <w:rsid w:val="00ED2505"/>
    <w:rsid w:val="00ED500D"/>
    <w:rsid w:val="00EF0040"/>
    <w:rsid w:val="00EF31B0"/>
    <w:rsid w:val="00EF4286"/>
    <w:rsid w:val="00F03A73"/>
    <w:rsid w:val="00F06B76"/>
    <w:rsid w:val="00F10D87"/>
    <w:rsid w:val="00F16BFD"/>
    <w:rsid w:val="00F40C62"/>
    <w:rsid w:val="00F4677B"/>
    <w:rsid w:val="00F51582"/>
    <w:rsid w:val="00F51785"/>
    <w:rsid w:val="00F540E4"/>
    <w:rsid w:val="00F57422"/>
    <w:rsid w:val="00F71D45"/>
    <w:rsid w:val="00F763BD"/>
    <w:rsid w:val="00F82343"/>
    <w:rsid w:val="00F864C1"/>
    <w:rsid w:val="00F912C9"/>
    <w:rsid w:val="00F93E83"/>
    <w:rsid w:val="00FD1C0B"/>
    <w:rsid w:val="00FD20E3"/>
    <w:rsid w:val="00FD3DF4"/>
    <w:rsid w:val="00FD4FAC"/>
    <w:rsid w:val="00FD63F6"/>
    <w:rsid w:val="00FD7C99"/>
    <w:rsid w:val="00FF4258"/>
    <w:rsid w:val="00FF5746"/>
    <w:rsid w:val="00FF579C"/>
    <w:rsid w:val="00FF5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D08ED"/>
    <w:rPr>
      <w:sz w:val="24"/>
      <w:szCs w:val="24"/>
    </w:rPr>
  </w:style>
  <w:style w:type="paragraph" w:styleId="Cmsor1">
    <w:name w:val="heading 1"/>
    <w:basedOn w:val="Norml"/>
    <w:next w:val="Norml"/>
    <w:qFormat/>
    <w:rsid w:val="00532A12"/>
    <w:pPr>
      <w:keepNext/>
      <w:numPr>
        <w:numId w:val="1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532A12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532A12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532A12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qFormat/>
    <w:rsid w:val="00532A12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532A12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qFormat/>
    <w:rsid w:val="00532A12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6"/>
    </w:pPr>
  </w:style>
  <w:style w:type="paragraph" w:styleId="Cmsor8">
    <w:name w:val="heading 8"/>
    <w:basedOn w:val="Norml"/>
    <w:next w:val="Norml"/>
    <w:qFormat/>
    <w:rsid w:val="00532A12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7"/>
    </w:pPr>
    <w:rPr>
      <w:i/>
      <w:iCs/>
    </w:rPr>
  </w:style>
  <w:style w:type="paragraph" w:styleId="Cmsor9">
    <w:name w:val="heading 9"/>
    <w:basedOn w:val="Norml"/>
    <w:next w:val="Norml"/>
    <w:qFormat/>
    <w:rsid w:val="00532A12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CF7331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CF7331"/>
  </w:style>
  <w:style w:type="paragraph" w:customStyle="1" w:styleId="Stlus">
    <w:name w:val="Stílus"/>
    <w:rsid w:val="00B56A5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Rcsostblzat">
    <w:name w:val="Table Grid"/>
    <w:basedOn w:val="Normltblzat"/>
    <w:rsid w:val="00B56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rsid w:val="00664357"/>
    <w:pPr>
      <w:tabs>
        <w:tab w:val="center" w:pos="4536"/>
        <w:tab w:val="right" w:pos="9072"/>
      </w:tabs>
    </w:pPr>
  </w:style>
  <w:style w:type="character" w:styleId="Jegyzethivatkozs">
    <w:name w:val="annotation reference"/>
    <w:basedOn w:val="Bekezdsalapbettpusa"/>
    <w:rsid w:val="00C456BA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456B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456BA"/>
  </w:style>
  <w:style w:type="paragraph" w:styleId="Megjegyzstrgya">
    <w:name w:val="annotation subject"/>
    <w:basedOn w:val="Jegyzetszveg"/>
    <w:next w:val="Jegyzetszveg"/>
    <w:link w:val="MegjegyzstrgyaChar"/>
    <w:rsid w:val="00C456B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456BA"/>
    <w:rPr>
      <w:b/>
      <w:bCs/>
    </w:rPr>
  </w:style>
  <w:style w:type="paragraph" w:styleId="Buborkszveg">
    <w:name w:val="Balloon Text"/>
    <w:basedOn w:val="Norml"/>
    <w:link w:val="BuborkszvegChar"/>
    <w:rsid w:val="00C456B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C456B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B11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A3048-01FB-48C1-BFDD-5556D3C1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16</Pages>
  <Words>4473</Words>
  <Characters>30015</Characters>
  <Application>Microsoft Office Word</Application>
  <DocSecurity>0</DocSecurity>
  <Lines>250</Lines>
  <Paragraphs>68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Bevezető</vt:lpstr>
    </vt:vector>
  </TitlesOfParts>
  <Company>-</Company>
  <LinksUpToDate>false</LinksUpToDate>
  <CharactersWithSpaces>34420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Bevezető</dc:title>
  <dc:subject/>
  <dc:creator>-</dc:creator>
  <cp:keywords/>
  <cp:lastModifiedBy>Zsoldos Mónika</cp:lastModifiedBy>
  <cp:revision>10</cp:revision>
  <cp:lastPrinted>2012-04-16T09:04:00Z</cp:lastPrinted>
  <dcterms:created xsi:type="dcterms:W3CDTF">2012-04-16T07:26:00Z</dcterms:created>
  <dcterms:modified xsi:type="dcterms:W3CDTF">2012-04-20T13:20:00Z</dcterms:modified>
</cp:coreProperties>
</file>