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9509C3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0279D6" w:rsidRPr="00732570" w:rsidRDefault="000279D6" w:rsidP="000279D6">
      <w:pPr>
        <w:jc w:val="both"/>
        <w:rPr>
          <w:rFonts w:ascii="Arial" w:hAnsi="Arial" w:cs="Arial"/>
        </w:rPr>
      </w:pPr>
      <w:r w:rsidRPr="00732570">
        <w:rPr>
          <w:rFonts w:ascii="Arial" w:hAnsi="Arial" w:cs="Arial"/>
        </w:rPr>
        <w:t xml:space="preserve">A </w:t>
      </w:r>
      <w:r w:rsidRPr="003B6382">
        <w:rPr>
          <w:rFonts w:ascii="Arial" w:hAnsi="Arial" w:cs="Arial"/>
          <w:b/>
        </w:rPr>
        <w:t xml:space="preserve">FOK Fővárosi Oktatástechnológiai Központ Szolgáltató Közhasznú Nonprofit Kft. </w:t>
      </w:r>
      <w:r w:rsidRPr="00732570">
        <w:rPr>
          <w:rFonts w:ascii="Arial" w:hAnsi="Arial" w:cs="Arial"/>
        </w:rPr>
        <w:t xml:space="preserve">(a továbbiakban </w:t>
      </w:r>
      <w:r>
        <w:rPr>
          <w:rFonts w:ascii="Arial" w:hAnsi="Arial" w:cs="Arial"/>
        </w:rPr>
        <w:t>FOK</w:t>
      </w:r>
      <w:r w:rsidRPr="00732570">
        <w:rPr>
          <w:rFonts w:ascii="Arial" w:hAnsi="Arial" w:cs="Arial"/>
        </w:rPr>
        <w:t xml:space="preserve"> Kft., vagy Társaság)</w:t>
      </w:r>
      <w:r w:rsidRPr="00732570">
        <w:rPr>
          <w:rFonts w:ascii="Arial" w:hAnsi="Arial" w:cs="Arial"/>
          <w:b/>
        </w:rPr>
        <w:t xml:space="preserve"> </w:t>
      </w:r>
      <w:r w:rsidRPr="00732570">
        <w:rPr>
          <w:rFonts w:ascii="Arial" w:hAnsi="Arial" w:cs="Arial"/>
        </w:rPr>
        <w:t xml:space="preserve">elkészítette a 2012. évi </w:t>
      </w:r>
      <w:r>
        <w:rPr>
          <w:rFonts w:ascii="Arial" w:hAnsi="Arial" w:cs="Arial"/>
        </w:rPr>
        <w:t>éves</w:t>
      </w:r>
      <w:r w:rsidRPr="00732570">
        <w:rPr>
          <w:rFonts w:ascii="Arial" w:hAnsi="Arial" w:cs="Arial"/>
        </w:rPr>
        <w:t xml:space="preserve"> beszámolóját, amely bemutatja a Társaság elmúlt évi szakmai és gazdálkodási tevékenységét. </w:t>
      </w:r>
    </w:p>
    <w:p w:rsidR="000279D6" w:rsidRDefault="000279D6" w:rsidP="000279D6">
      <w:pPr>
        <w:pStyle w:val="BPmegszlts"/>
        <w:spacing w:before="0" w:after="0"/>
        <w:jc w:val="both"/>
        <w:rPr>
          <w:noProof w:val="0"/>
          <w:lang w:eastAsia="en-US"/>
        </w:rPr>
      </w:pPr>
      <w:r w:rsidRPr="0035739C">
        <w:rPr>
          <w:noProof w:val="0"/>
          <w:lang w:eastAsia="en-US"/>
        </w:rPr>
        <w:t>A FOK Fővárosi Oktatástechnológiai Központ Szolgáltató Közhasznú Nonprofit Kft. Budapest Főváros Önkormányzata 100 %-os tulajdonában lévő társaság.</w:t>
      </w:r>
    </w:p>
    <w:p w:rsidR="000279D6" w:rsidRPr="00B81F1E" w:rsidRDefault="000279D6" w:rsidP="000279D6">
      <w:pPr>
        <w:pStyle w:val="BPmegszlts"/>
        <w:spacing w:before="0" w:after="0"/>
        <w:jc w:val="both"/>
        <w:rPr>
          <w:highlight w:val="yellow"/>
        </w:rPr>
      </w:pPr>
    </w:p>
    <w:p w:rsidR="000279D6" w:rsidRDefault="000279D6" w:rsidP="000279D6">
      <w:pPr>
        <w:jc w:val="both"/>
        <w:rPr>
          <w:rFonts w:ascii="Arial" w:hAnsi="Arial" w:cs="Arial"/>
        </w:rPr>
      </w:pPr>
      <w:r w:rsidRPr="00732570">
        <w:rPr>
          <w:rFonts w:ascii="Arial" w:hAnsi="Arial" w:cs="Arial"/>
        </w:rPr>
        <w:t>A Budapest Főváros Önkormányzata vagyonáról, a vagyonelemek feletti tulajdonosi jogok gyakorlásáról szóló 22/2012. (III.14.) Főv. Kgy. számú rendelet ( továbbiakban: Vagyonrendelet) 56. §-ának (1) bekezdése értelmében a Fővárosi Önkormányzat tulajdonában lévő gazdasági társaság (a továbbiakban e szakaszban: társaság) vonatkozásában a tulajdonosi pozícióból eredő tagi, részvényesi jogok gyakorlásáról  és kötelezettségek teljesítéséről – a (3) bekezdésben foglaltak kivételével – a Fővárosi Közgyűlés dönt. Egyszemélyes társaság esetén a Fővárosi Közgyűlés egyedüli tagként, részvényesként közvetlenül dönt</w:t>
      </w:r>
      <w:r w:rsidR="00DD1DD4">
        <w:rPr>
          <w:rFonts w:ascii="Arial" w:hAnsi="Arial" w:cs="Arial"/>
        </w:rPr>
        <w:t>.</w:t>
      </w:r>
    </w:p>
    <w:p w:rsidR="00C163F0" w:rsidRDefault="00C163F0" w:rsidP="00C163F0">
      <w:pPr>
        <w:pStyle w:val="BPszvegtest"/>
      </w:pPr>
      <w:r>
        <w:t>A gazdasági társaságokról szóló 2006. évi IV. törvény (Gt.) 35. § (3) bekezdésében foglaltak szerint, ha a gazdasági társaságnál felügyelőbizottság működik, a számviteli törvény szerinti beszámolóról a gazdasági társaság legfőbb szerve csak a felügyelőbizottság írásbeli jelentésének birtokában határozhat.</w:t>
      </w:r>
    </w:p>
    <w:p w:rsidR="00556BA5" w:rsidRDefault="00556BA5" w:rsidP="00556BA5">
      <w:pPr>
        <w:pStyle w:val="BPszvegtest"/>
        <w:shd w:val="clear" w:color="auto" w:fill="FFFFFF" w:themeFill="background1"/>
        <w:spacing w:after="120"/>
      </w:pPr>
      <w:r>
        <w:t>A társasági törvénynek megfelelően a felügyelőbizottság és a könyvvizsgáló benyújtotta a beszámolóval kapcsolatos határozatát, illetve jelentését.</w:t>
      </w:r>
    </w:p>
    <w:p w:rsidR="00556BA5" w:rsidRPr="00C841BE" w:rsidRDefault="00556BA5" w:rsidP="00556BA5">
      <w:pPr>
        <w:pStyle w:val="BPszvegtest"/>
        <w:spacing w:before="120" w:after="120"/>
      </w:pPr>
    </w:p>
    <w:p w:rsidR="00556BA5" w:rsidRDefault="00556BA5" w:rsidP="00556BA5">
      <w:pPr>
        <w:pStyle w:val="BPszvegtest"/>
        <w:spacing w:after="0"/>
      </w:pPr>
      <w:r>
        <w:lastRenderedPageBreak/>
        <w:t xml:space="preserve">A társaság </w:t>
      </w:r>
      <w:r>
        <w:rPr>
          <w:iCs/>
        </w:rPr>
        <w:t xml:space="preserve">felügyelőbizottságának határozata jelen előterjesztés </w:t>
      </w:r>
      <w:r w:rsidRPr="00556BA5">
        <w:rPr>
          <w:b/>
          <w:iCs/>
        </w:rPr>
        <w:t>2. sz. melléklet</w:t>
      </w:r>
      <w:r>
        <w:rPr>
          <w:iCs/>
        </w:rPr>
        <w:t>ét képezi.</w:t>
      </w:r>
      <w:r w:rsidRPr="00DF2651">
        <w:t xml:space="preserve"> </w:t>
      </w:r>
    </w:p>
    <w:p w:rsidR="00556BA5" w:rsidRDefault="00556BA5" w:rsidP="000279D6">
      <w:pPr>
        <w:pStyle w:val="BPszvegtest"/>
        <w:spacing w:after="0"/>
        <w:rPr>
          <w:b/>
        </w:rPr>
      </w:pPr>
    </w:p>
    <w:p w:rsidR="000279D6" w:rsidRPr="00732570" w:rsidRDefault="000279D6" w:rsidP="000279D6">
      <w:pPr>
        <w:pStyle w:val="BPszvegtest"/>
        <w:spacing w:after="0"/>
        <w:rPr>
          <w:b/>
        </w:rPr>
      </w:pPr>
      <w:r w:rsidRPr="00732570">
        <w:rPr>
          <w:b/>
        </w:rPr>
        <w:t xml:space="preserve">A </w:t>
      </w:r>
      <w:r w:rsidRPr="0035739C">
        <w:rPr>
          <w:b/>
        </w:rPr>
        <w:t>FOK Kft</w:t>
      </w:r>
      <w:r>
        <w:rPr>
          <w:b/>
        </w:rPr>
        <w:t>.</w:t>
      </w:r>
      <w:r w:rsidRPr="0035739C">
        <w:rPr>
          <w:b/>
        </w:rPr>
        <w:t xml:space="preserve"> </w:t>
      </w:r>
      <w:r w:rsidRPr="00732570">
        <w:rPr>
          <w:b/>
        </w:rPr>
        <w:t xml:space="preserve">2012. évi </w:t>
      </w:r>
      <w:r>
        <w:rPr>
          <w:b/>
        </w:rPr>
        <w:t xml:space="preserve">éves </w:t>
      </w:r>
      <w:r w:rsidRPr="00732570">
        <w:rPr>
          <w:b/>
        </w:rPr>
        <w:t>beszámolójára vonatkozó gazdasági elemzéseket és az abból adódó következtetéseket a Főjegyzői Iroda Monitoring – Controlling Referatúrája készítette.</w:t>
      </w:r>
    </w:p>
    <w:p w:rsidR="000279D6" w:rsidRPr="00732570" w:rsidRDefault="000279D6" w:rsidP="000279D6">
      <w:pPr>
        <w:pStyle w:val="BPszvegtest"/>
        <w:spacing w:after="0" w:line="240" w:lineRule="auto"/>
        <w:rPr>
          <w:rFonts w:asciiTheme="minorHAnsi" w:hAnsiTheme="minorHAnsi" w:cstheme="minorHAnsi"/>
        </w:rPr>
      </w:pPr>
    </w:p>
    <w:p w:rsidR="000279D6" w:rsidRPr="00732570" w:rsidRDefault="000279D6" w:rsidP="000279D6">
      <w:pPr>
        <w:pStyle w:val="BPszvegtest"/>
        <w:spacing w:after="0" w:line="240" w:lineRule="auto"/>
        <w:rPr>
          <w:b/>
        </w:rPr>
      </w:pPr>
      <w:r w:rsidRPr="00732570">
        <w:rPr>
          <w:b/>
        </w:rPr>
        <w:t xml:space="preserve">A jelen előterjesztés </w:t>
      </w:r>
      <w:r w:rsidRPr="0035739C">
        <w:rPr>
          <w:b/>
        </w:rPr>
        <w:t>FOK Fővárosi Oktatástechnológiai Központ Szolgáltató Közhasznú Nonprofit Kft.</w:t>
      </w:r>
      <w:r>
        <w:rPr>
          <w:b/>
        </w:rPr>
        <w:t xml:space="preserve"> </w:t>
      </w:r>
      <w:r w:rsidRPr="00732570">
        <w:rPr>
          <w:b/>
        </w:rPr>
        <w:t xml:space="preserve">2012. évi </w:t>
      </w:r>
      <w:r>
        <w:rPr>
          <w:b/>
        </w:rPr>
        <w:t>éves</w:t>
      </w:r>
      <w:r w:rsidRPr="00732570">
        <w:rPr>
          <w:b/>
        </w:rPr>
        <w:t xml:space="preserve"> beszámolóját tartalmazza. </w:t>
      </w:r>
    </w:p>
    <w:p w:rsidR="00957EC2" w:rsidRDefault="00957EC2" w:rsidP="000279D6">
      <w:pPr>
        <w:rPr>
          <w:rFonts w:ascii="Arial" w:hAnsi="Arial" w:cs="Arial"/>
          <w:b/>
          <w:sz w:val="24"/>
          <w:szCs w:val="24"/>
        </w:rPr>
      </w:pPr>
    </w:p>
    <w:p w:rsidR="000279D6" w:rsidRPr="004B512B" w:rsidRDefault="000279D6" w:rsidP="00123433">
      <w:pPr>
        <w:jc w:val="both"/>
        <w:rPr>
          <w:rFonts w:ascii="Arial" w:hAnsi="Arial" w:cs="Arial"/>
          <w:b/>
        </w:rPr>
      </w:pPr>
      <w:r w:rsidRPr="004B512B">
        <w:rPr>
          <w:rFonts w:ascii="Arial" w:hAnsi="Arial" w:cs="Arial"/>
          <w:b/>
        </w:rPr>
        <w:t>FOK Fővárosi Oktatástechnológiai Központ Szolgáltató Közhasznú Nonprofit Kft.</w:t>
      </w:r>
      <w:r w:rsidR="00E1778A" w:rsidRPr="004B512B">
        <w:rPr>
          <w:rFonts w:ascii="Arial" w:hAnsi="Arial" w:cs="Arial"/>
          <w:b/>
        </w:rPr>
        <w:t xml:space="preserve"> </w:t>
      </w:r>
      <w:r w:rsidRPr="004B512B">
        <w:rPr>
          <w:rFonts w:ascii="Arial" w:hAnsi="Arial" w:cs="Arial"/>
          <w:b/>
        </w:rPr>
        <w:t>2012. évi üzleti beszámolójának összefoglalója</w:t>
      </w:r>
      <w:r w:rsidR="00957EC2" w:rsidRPr="004B512B">
        <w:rPr>
          <w:rFonts w:ascii="Arial" w:hAnsi="Arial" w:cs="Arial"/>
          <w:b/>
        </w:rPr>
        <w:t>, a vonatkozó dokumentumokat az előterjesztés 1. számú melléklete tartalmazza.</w:t>
      </w:r>
    </w:p>
    <w:p w:rsidR="000279D6" w:rsidRPr="00B81F1E" w:rsidRDefault="000279D6" w:rsidP="000279D6">
      <w:pPr>
        <w:spacing w:line="240" w:lineRule="auto"/>
        <w:contextualSpacing/>
        <w:rPr>
          <w:highlight w:val="yellow"/>
        </w:rPr>
      </w:pPr>
    </w:p>
    <w:p w:rsidR="000279D6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35739C">
        <w:rPr>
          <w:rFonts w:ascii="Arial" w:hAnsi="Arial" w:cs="Arial"/>
        </w:rPr>
        <w:t>FOK Fővárosi Oktatástechnológiai Központ Szolgáltató Közhasznú Nonprofit Kft.</w:t>
      </w:r>
      <w:r>
        <w:rPr>
          <w:rFonts w:ascii="Arial" w:hAnsi="Arial" w:cs="Arial"/>
        </w:rPr>
        <w:t xml:space="preserve"> </w:t>
      </w:r>
      <w:r w:rsidRPr="00732570">
        <w:rPr>
          <w:rFonts w:ascii="Arial" w:hAnsi="Arial" w:cs="Arial"/>
          <w:b/>
        </w:rPr>
        <w:t>tulajdonosa</w:t>
      </w:r>
      <w:r w:rsidRPr="00732570">
        <w:rPr>
          <w:rFonts w:ascii="Arial" w:hAnsi="Arial" w:cs="Arial"/>
        </w:rPr>
        <w:t>:</w:t>
      </w:r>
    </w:p>
    <w:p w:rsidR="000279D6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0279D6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</w:p>
    <w:tbl>
      <w:tblPr>
        <w:tblW w:w="7011" w:type="dxa"/>
        <w:jc w:val="center"/>
        <w:tblCellMar>
          <w:left w:w="70" w:type="dxa"/>
          <w:right w:w="70" w:type="dxa"/>
        </w:tblCellMar>
        <w:tblLook w:val="0000"/>
      </w:tblPr>
      <w:tblGrid>
        <w:gridCol w:w="3589"/>
        <w:gridCol w:w="1539"/>
        <w:gridCol w:w="1883"/>
      </w:tblGrid>
      <w:tr w:rsidR="000279D6" w:rsidRPr="00732570" w:rsidTr="00822610">
        <w:trPr>
          <w:trHeight w:hRule="exact" w:val="284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732570" w:rsidRDefault="000279D6" w:rsidP="0082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570">
              <w:rPr>
                <w:rFonts w:ascii="Times New Roman" w:eastAsia="Times New Roman" w:hAnsi="Times New Roman"/>
                <w:sz w:val="24"/>
                <w:szCs w:val="24"/>
              </w:rPr>
              <w:t>Tulajdonosok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732570" w:rsidRDefault="000279D6" w:rsidP="0082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570">
              <w:rPr>
                <w:rFonts w:ascii="Times New Roman" w:eastAsia="Times New Roman" w:hAnsi="Times New Roman"/>
                <w:sz w:val="24"/>
                <w:szCs w:val="24"/>
              </w:rPr>
              <w:t>Törzstőke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79D6" w:rsidRPr="00732570" w:rsidRDefault="000279D6" w:rsidP="0082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570">
              <w:rPr>
                <w:rFonts w:ascii="Times New Roman" w:eastAsia="Times New Roman" w:hAnsi="Times New Roman"/>
                <w:sz w:val="24"/>
                <w:szCs w:val="24"/>
              </w:rPr>
              <w:t>Tulajdoni hányad</w:t>
            </w:r>
          </w:p>
        </w:tc>
      </w:tr>
      <w:tr w:rsidR="000279D6" w:rsidRPr="00732570" w:rsidTr="00822610">
        <w:trPr>
          <w:trHeight w:hRule="exact" w:val="284"/>
          <w:jc w:val="center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732570" w:rsidRDefault="000279D6" w:rsidP="008226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570">
              <w:rPr>
                <w:rFonts w:ascii="Times New Roman" w:eastAsia="Times New Roman" w:hAnsi="Times New Roman"/>
                <w:sz w:val="24"/>
                <w:szCs w:val="24"/>
              </w:rPr>
              <w:t>Fővárosi Önkormányzat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732570" w:rsidRDefault="000279D6" w:rsidP="0082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39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739C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</w:t>
            </w:r>
            <w:r w:rsidRPr="00732570">
              <w:rPr>
                <w:rFonts w:ascii="Times New Roman" w:eastAsia="Times New Roman" w:hAnsi="Times New Roman"/>
                <w:sz w:val="24"/>
                <w:szCs w:val="24"/>
              </w:rPr>
              <w:t xml:space="preserve"> Ft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732570" w:rsidRDefault="000279D6" w:rsidP="00822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732570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</w:tbl>
    <w:p w:rsidR="000279D6" w:rsidRPr="00732570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0279D6" w:rsidRPr="00B81F1E" w:rsidRDefault="000279D6" w:rsidP="000279D6">
      <w:pPr>
        <w:spacing w:after="120" w:line="240" w:lineRule="auto"/>
        <w:contextualSpacing/>
        <w:jc w:val="both"/>
        <w:rPr>
          <w:rFonts w:cstheme="minorHAnsi"/>
          <w:highlight w:val="yellow"/>
        </w:rPr>
      </w:pPr>
    </w:p>
    <w:p w:rsidR="000279D6" w:rsidRPr="00590484" w:rsidRDefault="000279D6" w:rsidP="000279D6">
      <w:pPr>
        <w:spacing w:after="0" w:line="240" w:lineRule="auto"/>
        <w:jc w:val="both"/>
        <w:rPr>
          <w:rFonts w:ascii="Arial" w:hAnsi="Arial" w:cs="Arial"/>
        </w:rPr>
      </w:pPr>
      <w:r w:rsidRPr="0059048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FOK</w:t>
      </w:r>
      <w:r w:rsidRPr="00590484">
        <w:rPr>
          <w:rFonts w:ascii="Arial" w:hAnsi="Arial" w:cs="Arial"/>
        </w:rPr>
        <w:t xml:space="preserve"> Kft. tulajdonosi szerkezetében a 2012. évben változás nem történt.</w:t>
      </w:r>
    </w:p>
    <w:p w:rsidR="000279D6" w:rsidRPr="00B81F1E" w:rsidRDefault="000279D6" w:rsidP="000279D6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0279D6" w:rsidRPr="00B81F1E" w:rsidRDefault="000279D6" w:rsidP="000279D6">
      <w:pPr>
        <w:spacing w:after="0" w:line="240" w:lineRule="auto"/>
        <w:jc w:val="both"/>
        <w:rPr>
          <w:rFonts w:cstheme="minorHAnsi"/>
          <w:highlight w:val="yellow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5020"/>
        <w:gridCol w:w="1467"/>
        <w:gridCol w:w="1418"/>
      </w:tblGrid>
      <w:tr w:rsidR="000279D6" w:rsidRPr="00B81F1E" w:rsidTr="00822610">
        <w:trPr>
          <w:trHeight w:val="220"/>
          <w:jc w:val="center"/>
        </w:trPr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FOK</w:t>
            </w:r>
            <w:r w:rsidRPr="00590484">
              <w:rPr>
                <w:rFonts w:ascii="Times New Roman" w:hAnsi="Times New Roman"/>
                <w:b/>
                <w:color w:val="000000"/>
              </w:rPr>
              <w:t xml:space="preserve"> Kft. Főbb Mérlegadatai</w:t>
            </w:r>
          </w:p>
        </w:tc>
        <w:tc>
          <w:tcPr>
            <w:tcW w:w="1467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4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2011.12.31</w:t>
            </w:r>
          </w:p>
        </w:tc>
        <w:tc>
          <w:tcPr>
            <w:tcW w:w="1418" w:type="dxa"/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4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2012.12.31</w:t>
            </w:r>
          </w:p>
        </w:tc>
      </w:tr>
      <w:tr w:rsidR="000279D6" w:rsidRPr="00B81F1E" w:rsidTr="00822610">
        <w:trPr>
          <w:trHeight w:val="197"/>
          <w:jc w:val="center"/>
        </w:trPr>
        <w:tc>
          <w:tcPr>
            <w:tcW w:w="50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904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</w:t>
            </w:r>
            <w:r w:rsidRPr="0059048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Ft]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4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tény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04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tény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A. BEFEKTETETT ESZKÖZÖK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51 086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38 196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B. FORGÓESZKÖZÖK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39 841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41 338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C. Aktív időbeli elhatárolások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7 799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228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ESZKÖZÖK (AKTÍVÁK) ÖSSZESEN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98 726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79 762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279D6" w:rsidRDefault="000279D6" w:rsidP="0058396A">
            <w:pPr>
              <w:spacing w:after="120"/>
              <w:rPr>
                <w:rFonts w:cs="Calibri"/>
                <w:color w:val="000000"/>
              </w:rPr>
            </w:pP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279D6" w:rsidRDefault="000279D6" w:rsidP="0058396A">
            <w:pPr>
              <w:spacing w:after="120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279D6" w:rsidRDefault="000279D6" w:rsidP="0058396A">
            <w:pPr>
              <w:spacing w:after="120"/>
              <w:rPr>
                <w:rFonts w:cs="Calibri"/>
                <w:color w:val="000000"/>
              </w:rPr>
            </w:pP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D. SAJÁT TŐKE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47 514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50 827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590484">
              <w:rPr>
                <w:rFonts w:cs="Calibri"/>
                <w:i/>
                <w:color w:val="000000"/>
              </w:rPr>
              <w:t xml:space="preserve">        I.   Jegyzett tőke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35739C">
              <w:rPr>
                <w:rFonts w:cs="Calibri"/>
                <w:i/>
                <w:color w:val="000000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35739C">
              <w:rPr>
                <w:rFonts w:cs="Calibri"/>
                <w:i/>
                <w:color w:val="000000"/>
              </w:rPr>
              <w:t>10 000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 xml:space="preserve">        III. Tőketartalék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12 361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12 361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590484">
              <w:rPr>
                <w:rFonts w:cs="Calibri"/>
                <w:i/>
                <w:color w:val="000000"/>
              </w:rPr>
              <w:t xml:space="preserve">        IV.  Eredménytartalék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35739C">
              <w:rPr>
                <w:rFonts w:cs="Calibri"/>
                <w:i/>
                <w:color w:val="000000"/>
              </w:rPr>
              <w:t>23 499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35739C">
              <w:rPr>
                <w:rFonts w:cs="Calibri"/>
                <w:i/>
                <w:color w:val="000000"/>
              </w:rPr>
              <w:t>25 153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590484">
              <w:rPr>
                <w:rFonts w:cs="Calibri"/>
                <w:i/>
                <w:color w:val="000000"/>
              </w:rPr>
              <w:t xml:space="preserve">        VII. Mérleg szerinti eredmény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35739C">
              <w:rPr>
                <w:rFonts w:cs="Calibri"/>
                <w:i/>
                <w:color w:val="000000"/>
              </w:rPr>
              <w:t>1 654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35739C">
              <w:rPr>
                <w:rFonts w:cs="Calibri"/>
                <w:i/>
                <w:color w:val="000000"/>
              </w:rPr>
              <w:t>3 313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E. CÉLTARTALÉKOK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0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F. KÖTELEZETTSÉGEK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7 751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7 963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G. Passzív időbeli elhatárolások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43 461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20 972</w:t>
            </w:r>
          </w:p>
        </w:tc>
      </w:tr>
      <w:tr w:rsidR="000279D6" w:rsidRPr="00B81F1E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590484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590484">
              <w:rPr>
                <w:rFonts w:cs="Calibri"/>
                <w:b/>
                <w:color w:val="000000"/>
              </w:rPr>
              <w:t>FORRÁSOK (PASSZÍVÁK) ÖSSZESEN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98 726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9D6" w:rsidRPr="0035739C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35739C">
              <w:rPr>
                <w:rFonts w:cs="Calibri"/>
                <w:b/>
                <w:color w:val="000000"/>
              </w:rPr>
              <w:t>79 762</w:t>
            </w:r>
          </w:p>
        </w:tc>
      </w:tr>
    </w:tbl>
    <w:p w:rsidR="000279D6" w:rsidRPr="00B81F1E" w:rsidRDefault="000279D6" w:rsidP="000279D6">
      <w:pPr>
        <w:spacing w:after="120" w:line="240" w:lineRule="auto"/>
        <w:contextualSpacing/>
        <w:jc w:val="both"/>
        <w:rPr>
          <w:rFonts w:cstheme="minorHAnsi"/>
          <w:b/>
          <w:sz w:val="24"/>
          <w:szCs w:val="24"/>
          <w:highlight w:val="yellow"/>
        </w:rPr>
      </w:pPr>
    </w:p>
    <w:p w:rsidR="000279D6" w:rsidRPr="004954C8" w:rsidRDefault="000279D6" w:rsidP="000279D6">
      <w:pPr>
        <w:keepNext/>
        <w:spacing w:after="120" w:line="240" w:lineRule="auto"/>
        <w:contextualSpacing/>
        <w:jc w:val="both"/>
        <w:rPr>
          <w:rFonts w:ascii="Arial" w:hAnsi="Arial" w:cs="Arial"/>
        </w:rPr>
      </w:pPr>
      <w:r w:rsidRPr="004954C8">
        <w:rPr>
          <w:rFonts w:ascii="Arial" w:hAnsi="Arial" w:cs="Arial"/>
          <w:b/>
        </w:rPr>
        <w:lastRenderedPageBreak/>
        <w:t>Fő tevékenység</w:t>
      </w:r>
      <w:r w:rsidRPr="004954C8">
        <w:rPr>
          <w:rFonts w:ascii="Arial" w:hAnsi="Arial" w:cs="Arial"/>
        </w:rPr>
        <w:t xml:space="preserve"> </w:t>
      </w:r>
    </w:p>
    <w:p w:rsidR="000279D6" w:rsidRPr="00590484" w:rsidRDefault="000279D6" w:rsidP="000279D6">
      <w:pPr>
        <w:keepNext/>
        <w:spacing w:after="120" w:line="240" w:lineRule="auto"/>
        <w:contextualSpacing/>
        <w:jc w:val="both"/>
        <w:rPr>
          <w:rFonts w:ascii="Arial" w:hAnsi="Arial" w:cs="Arial"/>
        </w:rPr>
      </w:pPr>
    </w:p>
    <w:p w:rsidR="000279D6" w:rsidRPr="006A686A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6A686A">
        <w:rPr>
          <w:rFonts w:ascii="Arial" w:hAnsi="Arial" w:cs="Arial"/>
        </w:rPr>
        <w:t>A Fővárosi Önkormányzat, mint közoktatási intézményfenntartó munkájának aktív támogatása a tanügy</w:t>
      </w:r>
      <w:r>
        <w:rPr>
          <w:rFonts w:ascii="Arial" w:hAnsi="Arial" w:cs="Arial"/>
        </w:rPr>
        <w:t>-</w:t>
      </w:r>
      <w:r w:rsidRPr="006A686A">
        <w:rPr>
          <w:rFonts w:ascii="Arial" w:hAnsi="Arial" w:cs="Arial"/>
        </w:rPr>
        <w:t>igazgatási, közoktatás-szervezési és finanszírozási területeken, a háttér</w:t>
      </w:r>
      <w:r>
        <w:rPr>
          <w:rFonts w:ascii="Arial" w:hAnsi="Arial" w:cs="Arial"/>
        </w:rPr>
        <w:t>-</w:t>
      </w:r>
      <w:r w:rsidRPr="006A686A">
        <w:rPr>
          <w:rFonts w:ascii="Arial" w:hAnsi="Arial" w:cs="Arial"/>
        </w:rPr>
        <w:t>adminisztrációs, az adatszolgáltatási és a kommunikációs folyamatok fejlesztésével, korszerű IT szolgáltatásokkal.</w:t>
      </w:r>
    </w:p>
    <w:p w:rsidR="000279D6" w:rsidRPr="0035739C" w:rsidRDefault="000279D6" w:rsidP="000279D6">
      <w:pPr>
        <w:spacing w:after="120" w:line="240" w:lineRule="auto"/>
        <w:contextualSpacing/>
        <w:jc w:val="both"/>
        <w:rPr>
          <w:rFonts w:cs="Calibri"/>
          <w:i/>
          <w:color w:val="000000"/>
        </w:rPr>
      </w:pPr>
    </w:p>
    <w:p w:rsidR="000279D6" w:rsidRPr="004954C8" w:rsidRDefault="000279D6" w:rsidP="000279D6">
      <w:pPr>
        <w:keepNext/>
        <w:spacing w:after="120" w:line="240" w:lineRule="auto"/>
        <w:contextualSpacing/>
        <w:jc w:val="both"/>
        <w:rPr>
          <w:rFonts w:ascii="Arial" w:hAnsi="Arial" w:cs="Arial"/>
          <w:b/>
        </w:rPr>
      </w:pPr>
      <w:r w:rsidRPr="004954C8">
        <w:rPr>
          <w:rFonts w:ascii="Arial" w:hAnsi="Arial" w:cs="Arial"/>
          <w:b/>
        </w:rPr>
        <w:t>A Társaság legfontosabb feladatai:</w:t>
      </w:r>
    </w:p>
    <w:p w:rsidR="000279D6" w:rsidRPr="006A686A" w:rsidRDefault="000279D6" w:rsidP="000279D6">
      <w:pPr>
        <w:keepNext/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279D6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6A686A">
        <w:rPr>
          <w:rFonts w:ascii="Arial" w:hAnsi="Arial" w:cs="Arial"/>
        </w:rPr>
        <w:t xml:space="preserve">Elektronikus információs rendszerek kifejlesztésével, bevezetésével és üzemeltetésével 2003 óta </w:t>
      </w:r>
      <w:r>
        <w:rPr>
          <w:rFonts w:ascii="Arial" w:hAnsi="Arial" w:cs="Arial"/>
        </w:rPr>
        <w:t>támogatják</w:t>
      </w:r>
      <w:r w:rsidRPr="006A686A">
        <w:rPr>
          <w:rFonts w:ascii="Arial" w:hAnsi="Arial" w:cs="Arial"/>
        </w:rPr>
        <w:t xml:space="preserve"> a Fővárosi Önkormányzat és az általa fenntartott nevelési-oktatási intézmények</w:t>
      </w:r>
      <w:r>
        <w:rPr>
          <w:rFonts w:ascii="Arial" w:hAnsi="Arial" w:cs="Arial"/>
        </w:rPr>
        <w:t>et.</w:t>
      </w:r>
      <w:r w:rsidRPr="006A686A">
        <w:rPr>
          <w:rFonts w:ascii="Arial" w:hAnsi="Arial" w:cs="Arial"/>
        </w:rPr>
        <w:t xml:space="preserve"> </w:t>
      </w:r>
    </w:p>
    <w:p w:rsidR="000279D6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Két fő információs rendszerük:</w:t>
      </w:r>
    </w:p>
    <w:p w:rsidR="000279D6" w:rsidRPr="0035739C" w:rsidRDefault="000279D6" w:rsidP="000279D6">
      <w:pPr>
        <w:spacing w:after="120" w:line="240" w:lineRule="auto"/>
        <w:contextualSpacing/>
        <w:jc w:val="both"/>
        <w:rPr>
          <w:rFonts w:cs="Calibri"/>
          <w:i/>
          <w:color w:val="000000"/>
          <w:highlight w:val="yellow"/>
        </w:rPr>
      </w:pPr>
      <w:r>
        <w:rPr>
          <w:rFonts w:ascii="Arial" w:hAnsi="Arial" w:cs="Arial"/>
        </w:rPr>
        <w:t xml:space="preserve">- </w:t>
      </w:r>
      <w:r w:rsidRPr="006A686A">
        <w:rPr>
          <w:rFonts w:ascii="Arial" w:hAnsi="Arial" w:cs="Arial"/>
        </w:rPr>
        <w:t>A Fővárosi Közoktatási Információs Rendszer (FÖKIR)</w:t>
      </w:r>
      <w:r>
        <w:rPr>
          <w:rFonts w:ascii="Arial" w:hAnsi="Arial" w:cs="Arial"/>
        </w:rPr>
        <w:t>,</w:t>
      </w:r>
      <w:r w:rsidRPr="006A686A">
        <w:rPr>
          <w:rFonts w:ascii="Arial" w:hAnsi="Arial" w:cs="Arial"/>
        </w:rPr>
        <w:t xml:space="preserve"> komplex és integrált intézmény-adminisztrációs alkalmazás</w:t>
      </w:r>
      <w:r>
        <w:rPr>
          <w:rFonts w:ascii="Arial" w:hAnsi="Arial" w:cs="Arial"/>
        </w:rPr>
        <w:t>,</w:t>
      </w:r>
    </w:p>
    <w:p w:rsidR="000279D6" w:rsidRPr="006A686A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A686A">
        <w:t xml:space="preserve"> </w:t>
      </w:r>
      <w:r w:rsidRPr="006A686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„</w:t>
      </w:r>
      <w:r w:rsidRPr="006A686A">
        <w:rPr>
          <w:rFonts w:ascii="Arial" w:hAnsi="Arial" w:cs="Arial"/>
        </w:rPr>
        <w:t>TAN_TÁR</w:t>
      </w:r>
      <w:r>
        <w:rPr>
          <w:rFonts w:ascii="Arial" w:hAnsi="Arial" w:cs="Arial"/>
        </w:rPr>
        <w:t>”</w:t>
      </w:r>
      <w:r w:rsidRPr="006A686A">
        <w:rPr>
          <w:rFonts w:ascii="Arial" w:hAnsi="Arial" w:cs="Arial"/>
        </w:rPr>
        <w:t xml:space="preserve"> pedagógus állás- és helyettesítési rendszer</w:t>
      </w:r>
      <w:r>
        <w:rPr>
          <w:rFonts w:ascii="Arial" w:hAnsi="Arial" w:cs="Arial"/>
        </w:rPr>
        <w:t>, amely s</w:t>
      </w:r>
      <w:r w:rsidRPr="006A686A">
        <w:rPr>
          <w:rFonts w:ascii="Arial" w:hAnsi="Arial" w:cs="Arial"/>
        </w:rPr>
        <w:t>egítségével mind az állást kereső, mind az állást kínáló az internet nyújtotta lehetőségek kihasználásával is eljuttathatja kéréseit a rendszert kezelő adminisztrátornak, illetve kaphat bizonyos információt a rendszerben lévő kínálatokról.</w:t>
      </w:r>
    </w:p>
    <w:p w:rsidR="000279D6" w:rsidRPr="006A686A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6A686A">
        <w:rPr>
          <w:rFonts w:ascii="Arial" w:hAnsi="Arial" w:cs="Arial"/>
        </w:rPr>
        <w:t xml:space="preserve"> </w:t>
      </w:r>
    </w:p>
    <w:p w:rsidR="000279D6" w:rsidRPr="0035739C" w:rsidRDefault="000279D6" w:rsidP="000279D6">
      <w:pPr>
        <w:spacing w:line="240" w:lineRule="auto"/>
        <w:contextualSpacing/>
        <w:jc w:val="both"/>
        <w:rPr>
          <w:rFonts w:cs="Calibri"/>
          <w:i/>
          <w:color w:val="000000"/>
          <w:highlight w:val="yellow"/>
        </w:rPr>
      </w:pPr>
    </w:p>
    <w:p w:rsidR="000279D6" w:rsidRPr="00DC6435" w:rsidRDefault="000279D6" w:rsidP="000279D6">
      <w:pPr>
        <w:keepNext/>
        <w:spacing w:after="120" w:line="240" w:lineRule="auto"/>
        <w:contextualSpacing/>
        <w:jc w:val="both"/>
        <w:rPr>
          <w:rFonts w:ascii="Arial" w:hAnsi="Arial" w:cs="Arial"/>
          <w:b/>
        </w:rPr>
      </w:pPr>
      <w:r w:rsidRPr="00DC6435">
        <w:rPr>
          <w:rFonts w:ascii="Arial" w:hAnsi="Arial" w:cs="Arial"/>
          <w:b/>
        </w:rPr>
        <w:t>Számszaki adatok</w:t>
      </w:r>
    </w:p>
    <w:p w:rsidR="000279D6" w:rsidRPr="00DC6435" w:rsidRDefault="000279D6" w:rsidP="000279D6">
      <w:pPr>
        <w:keepNext/>
        <w:spacing w:after="120" w:line="240" w:lineRule="auto"/>
        <w:contextualSpacing/>
        <w:jc w:val="both"/>
        <w:rPr>
          <w:rFonts w:ascii="Arial" w:hAnsi="Arial" w:cs="Arial"/>
          <w:b/>
        </w:rPr>
      </w:pPr>
    </w:p>
    <w:p w:rsidR="000279D6" w:rsidRPr="00DC6435" w:rsidRDefault="000279D6" w:rsidP="000279D6">
      <w:pPr>
        <w:keepNext/>
        <w:spacing w:after="120" w:line="240" w:lineRule="auto"/>
        <w:ind w:firstLine="708"/>
        <w:contextualSpacing/>
        <w:jc w:val="both"/>
        <w:rPr>
          <w:rFonts w:ascii="Arial" w:hAnsi="Arial" w:cs="Arial"/>
          <w:b/>
        </w:rPr>
      </w:pPr>
      <w:r w:rsidRPr="00DC6435">
        <w:rPr>
          <w:rFonts w:ascii="Arial" w:hAnsi="Arial" w:cs="Arial"/>
          <w:b/>
        </w:rPr>
        <w:t>Eredménykimutatás</w:t>
      </w:r>
    </w:p>
    <w:p w:rsidR="000279D6" w:rsidRPr="00876779" w:rsidRDefault="000279D6" w:rsidP="000279D6">
      <w:pPr>
        <w:spacing w:after="120" w:line="240" w:lineRule="auto"/>
        <w:contextualSpacing/>
        <w:jc w:val="both"/>
        <w:rPr>
          <w:rFonts w:cs="Calibri"/>
          <w:color w:val="000000"/>
          <w:highlight w:val="yellow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5020"/>
        <w:gridCol w:w="1467"/>
        <w:gridCol w:w="1418"/>
      </w:tblGrid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nil"/>
              <w:left w:val="nil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center"/>
              <w:rPr>
                <w:rFonts w:cs="Calibri"/>
                <w:color w:val="000000"/>
              </w:rPr>
            </w:pPr>
            <w:r w:rsidRPr="00876779">
              <w:rPr>
                <w:rFonts w:cs="Calibri"/>
                <w:color w:val="000000"/>
              </w:rPr>
              <w:t>FOK Kft.  Eredménylevezetése</w:t>
            </w:r>
          </w:p>
        </w:tc>
        <w:tc>
          <w:tcPr>
            <w:tcW w:w="1467" w:type="dxa"/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center"/>
              <w:rPr>
                <w:rFonts w:cs="Calibri"/>
                <w:color w:val="000000"/>
              </w:rPr>
            </w:pPr>
            <w:r w:rsidRPr="00876779">
              <w:rPr>
                <w:rFonts w:cs="Calibri"/>
                <w:color w:val="000000"/>
              </w:rPr>
              <w:t>2011.12.31</w:t>
            </w:r>
          </w:p>
        </w:tc>
        <w:tc>
          <w:tcPr>
            <w:tcW w:w="1418" w:type="dxa"/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center"/>
              <w:rPr>
                <w:rFonts w:cs="Calibri"/>
                <w:color w:val="000000"/>
              </w:rPr>
            </w:pPr>
            <w:r w:rsidRPr="00876779">
              <w:rPr>
                <w:rFonts w:cs="Calibri"/>
                <w:color w:val="000000"/>
              </w:rPr>
              <w:t>2012.12.31</w:t>
            </w:r>
          </w:p>
        </w:tc>
      </w:tr>
      <w:tr w:rsidR="000279D6" w:rsidRPr="0035739C" w:rsidTr="00822610">
        <w:trPr>
          <w:trHeight w:val="221"/>
          <w:jc w:val="center"/>
        </w:trPr>
        <w:tc>
          <w:tcPr>
            <w:tcW w:w="502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color w:val="000000"/>
              </w:rPr>
            </w:pPr>
            <w:r w:rsidRPr="00876779">
              <w:rPr>
                <w:rFonts w:cs="Calibri"/>
                <w:color w:val="000000"/>
              </w:rPr>
              <w:t>[e Ft]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center"/>
              <w:rPr>
                <w:rFonts w:cs="Calibri"/>
                <w:color w:val="000000"/>
              </w:rPr>
            </w:pPr>
            <w:r w:rsidRPr="00876779">
              <w:rPr>
                <w:rFonts w:cs="Calibri"/>
                <w:color w:val="000000"/>
              </w:rPr>
              <w:t>tény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center"/>
              <w:rPr>
                <w:rFonts w:cs="Calibri"/>
                <w:color w:val="000000"/>
              </w:rPr>
            </w:pPr>
            <w:r w:rsidRPr="00876779">
              <w:rPr>
                <w:rFonts w:cs="Calibri"/>
                <w:color w:val="000000"/>
              </w:rPr>
              <w:t>tény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I.  Értékesítés nettó árbevétele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46 772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60 278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II. Aktivált saját teljesítmények értéke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12 685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10 092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III. Egyéb bevételek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156 454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130 622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IV. Anyagjellegű ráfordítások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98 931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87 331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V.  Személyi jellegű ráfordítások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85 876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81 059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VI. Értékcsökkenési leírás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21 636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27 013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VII.Egyéb ráfordítások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8 838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6 813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 xml:space="preserve">A. ÜZEMI (ÜZLETI) TEV. EREDMÉNYE  (összköltséges) 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630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-1 224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VIII.Pénzügyi műveletek bevételei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1 024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1 751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IX. Pénzügyi műveletek ráfordításai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i/>
                <w:color w:val="000000"/>
              </w:rPr>
            </w:pPr>
            <w:r w:rsidRPr="00876779">
              <w:rPr>
                <w:rFonts w:cs="Calibri"/>
                <w:i/>
                <w:color w:val="000000"/>
              </w:rPr>
              <w:t>0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B. PÉNZÜGYI MŰVELETEK EREDMÉNYE  (VIII-IX)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1 024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1 751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C. SZOKÁSOS VÁLLALKOZÁSI EREDMÉNY  (A+B)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1 654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527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D. RENDKÍVÜLI EREDMÉNY  (X-XI)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2 786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E. ADÓZÁS ELŐTTI EREDMÉNY  (C+D)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1 654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3 313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F. ADÓZOTT EREDMÉNY  (E-XII)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1 654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3 313</w:t>
            </w:r>
          </w:p>
        </w:tc>
      </w:tr>
      <w:tr w:rsidR="000279D6" w:rsidRPr="0035739C" w:rsidTr="00822610">
        <w:trPr>
          <w:trHeight w:val="300"/>
          <w:jc w:val="center"/>
        </w:trPr>
        <w:tc>
          <w:tcPr>
            <w:tcW w:w="5020" w:type="dxa"/>
            <w:tcBorders>
              <w:top w:val="single" w:sz="4" w:space="0" w:color="D9D9D9" w:themeColor="background1" w:themeShade="D9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G. MÉRLEG SZERINTI EREDMÉNY  (F+22-23)</w:t>
            </w:r>
          </w:p>
        </w:tc>
        <w:tc>
          <w:tcPr>
            <w:tcW w:w="1467" w:type="dxa"/>
            <w:tcBorders>
              <w:top w:val="single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1 654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auto"/>
            </w:tcBorders>
            <w:noWrap/>
            <w:vAlign w:val="bottom"/>
            <w:hideMark/>
          </w:tcPr>
          <w:p w:rsidR="000279D6" w:rsidRPr="00876779" w:rsidRDefault="000279D6" w:rsidP="0058396A">
            <w:pPr>
              <w:spacing w:after="120"/>
              <w:jc w:val="right"/>
              <w:rPr>
                <w:rFonts w:cs="Calibri"/>
                <w:b/>
                <w:color w:val="000000"/>
              </w:rPr>
            </w:pPr>
            <w:r w:rsidRPr="00876779">
              <w:rPr>
                <w:rFonts w:cs="Calibri"/>
                <w:b/>
                <w:color w:val="000000"/>
              </w:rPr>
              <w:t>3 313</w:t>
            </w:r>
          </w:p>
        </w:tc>
      </w:tr>
    </w:tbl>
    <w:p w:rsidR="000279D6" w:rsidRPr="00876779" w:rsidRDefault="000279D6" w:rsidP="000279D6">
      <w:pPr>
        <w:spacing w:line="240" w:lineRule="auto"/>
        <w:contextualSpacing/>
        <w:jc w:val="both"/>
        <w:rPr>
          <w:rFonts w:cs="Calibri"/>
          <w:i/>
          <w:color w:val="000000"/>
        </w:rPr>
      </w:pPr>
      <w:r w:rsidRPr="00876779">
        <w:rPr>
          <w:rFonts w:cs="Calibri"/>
          <w:i/>
          <w:color w:val="000000"/>
        </w:rPr>
        <w:tab/>
      </w:r>
    </w:p>
    <w:p w:rsidR="000279D6" w:rsidRPr="00DC6435" w:rsidRDefault="000279D6" w:rsidP="000279D6">
      <w:pPr>
        <w:keepNext/>
        <w:spacing w:after="120" w:line="240" w:lineRule="auto"/>
        <w:ind w:firstLine="708"/>
        <w:contextualSpacing/>
        <w:jc w:val="both"/>
        <w:rPr>
          <w:rFonts w:ascii="Arial" w:hAnsi="Arial" w:cs="Arial"/>
          <w:b/>
        </w:rPr>
      </w:pPr>
      <w:r w:rsidRPr="00DC6435">
        <w:rPr>
          <w:rFonts w:ascii="Arial" w:hAnsi="Arial" w:cs="Arial"/>
          <w:b/>
        </w:rPr>
        <w:t xml:space="preserve">Bevételek </w:t>
      </w:r>
    </w:p>
    <w:p w:rsidR="000279D6" w:rsidRPr="00876779" w:rsidRDefault="000279D6" w:rsidP="000279D6">
      <w:pPr>
        <w:keepNext/>
        <w:spacing w:after="120" w:line="240" w:lineRule="auto"/>
        <w:contextualSpacing/>
        <w:jc w:val="both"/>
        <w:rPr>
          <w:rFonts w:cs="Calibri"/>
          <w:i/>
          <w:color w:val="000000"/>
        </w:rPr>
      </w:pPr>
    </w:p>
    <w:p w:rsidR="000279D6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Üzemi tevékenység </w:t>
      </w:r>
      <w:r w:rsidRPr="00876779">
        <w:rPr>
          <w:rFonts w:ascii="Arial" w:hAnsi="Arial" w:cs="Arial"/>
        </w:rPr>
        <w:t>bevétel</w:t>
      </w:r>
      <w:r>
        <w:rPr>
          <w:rFonts w:ascii="Arial" w:hAnsi="Arial" w:cs="Arial"/>
        </w:rPr>
        <w:t>e (értékesítés nettó árbevétele + egyéb bevételek)</w:t>
      </w:r>
      <w:r w:rsidRPr="00876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bázisidőszak bevételének 93,9%-a volt, így 191 M Ft-os szinten teljesült. A megvalósult bevétel 68,4%-a a Fővárosi Önkormányzattól kapott, a közszolgáltatói szerződéshez kapcsolható támogatás.</w:t>
      </w:r>
    </w:p>
    <w:p w:rsidR="000279D6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0279D6" w:rsidRPr="00425542" w:rsidRDefault="000279D6" w:rsidP="000279D6">
      <w:pPr>
        <w:spacing w:after="12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425542">
        <w:rPr>
          <w:rFonts w:ascii="Times New Roman" w:hAnsi="Times New Roman"/>
          <w:b/>
          <w:i/>
          <w:color w:val="000000"/>
          <w:sz w:val="20"/>
          <w:szCs w:val="20"/>
        </w:rPr>
        <w:t>KIMUTATÁS a kapott támogatásokról 2012.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0"/>
        <w:gridCol w:w="1985"/>
        <w:gridCol w:w="1984"/>
        <w:gridCol w:w="2410"/>
      </w:tblGrid>
      <w:tr w:rsidR="000279D6" w:rsidRPr="000945CC" w:rsidTr="00822610">
        <w:trPr>
          <w:cantSplit/>
          <w:trHeight w:val="333"/>
        </w:trPr>
        <w:tc>
          <w:tcPr>
            <w:tcW w:w="2990" w:type="dxa"/>
            <w:vMerge w:val="restart"/>
          </w:tcPr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b/>
                <w:sz w:val="20"/>
                <w:szCs w:val="20"/>
              </w:rPr>
              <w:t>A támogató megnevezése</w:t>
            </w:r>
          </w:p>
        </w:tc>
        <w:tc>
          <w:tcPr>
            <w:tcW w:w="3969" w:type="dxa"/>
            <w:gridSpan w:val="2"/>
            <w:vAlign w:val="center"/>
          </w:tcPr>
          <w:p w:rsidR="000279D6" w:rsidRPr="000945CC" w:rsidRDefault="000279D6" w:rsidP="008226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/>
                <w:szCs w:val="20"/>
              </w:rPr>
            </w:pPr>
            <w:r w:rsidRPr="000945CC">
              <w:rPr>
                <w:rFonts w:ascii="Times New Roman" w:eastAsia="Times New Roman" w:hAnsi="Times New Roman"/>
                <w:i/>
                <w:szCs w:val="20"/>
              </w:rPr>
              <w:t>A támogatás összege</w:t>
            </w:r>
            <w:r>
              <w:rPr>
                <w:rFonts w:ascii="Times New Roman" w:eastAsia="Times New Roman" w:hAnsi="Times New Roman"/>
                <w:i/>
                <w:szCs w:val="20"/>
              </w:rPr>
              <w:t xml:space="preserve"> e Ft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b/>
                <w:sz w:val="20"/>
                <w:szCs w:val="20"/>
              </w:rPr>
              <w:t>A támogatott cél</w:t>
            </w:r>
          </w:p>
        </w:tc>
      </w:tr>
      <w:tr w:rsidR="000279D6" w:rsidRPr="000945CC" w:rsidTr="00822610">
        <w:trPr>
          <w:cantSplit/>
          <w:trHeight w:val="241"/>
        </w:trPr>
        <w:tc>
          <w:tcPr>
            <w:tcW w:w="2990" w:type="dxa"/>
            <w:vMerge/>
          </w:tcPr>
          <w:p w:rsidR="000279D6" w:rsidRPr="000945CC" w:rsidRDefault="000279D6" w:rsidP="008226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b/>
                <w:sz w:val="20"/>
                <w:szCs w:val="20"/>
              </w:rPr>
              <w:t>előző évi</w:t>
            </w:r>
          </w:p>
        </w:tc>
        <w:tc>
          <w:tcPr>
            <w:tcW w:w="1984" w:type="dxa"/>
          </w:tcPr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b/>
                <w:sz w:val="20"/>
                <w:szCs w:val="20"/>
              </w:rPr>
              <w:t>tárgyévi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279D6" w:rsidRPr="000945CC" w:rsidRDefault="000279D6" w:rsidP="008226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279D6" w:rsidRPr="000945CC" w:rsidTr="00822610">
        <w:trPr>
          <w:cantSplit/>
          <w:trHeight w:val="435"/>
        </w:trPr>
        <w:tc>
          <w:tcPr>
            <w:tcW w:w="2990" w:type="dxa"/>
            <w:vAlign w:val="center"/>
          </w:tcPr>
          <w:p w:rsidR="000279D6" w:rsidRPr="000945CC" w:rsidRDefault="000279D6" w:rsidP="008226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sz w:val="20"/>
                <w:szCs w:val="20"/>
              </w:rPr>
              <w:t>Fővárosi Önkormányzat</w:t>
            </w:r>
          </w:p>
        </w:tc>
        <w:tc>
          <w:tcPr>
            <w:tcW w:w="1985" w:type="dxa"/>
            <w:vAlign w:val="center"/>
          </w:tcPr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sz w:val="20"/>
                <w:szCs w:val="20"/>
              </w:rPr>
              <w:t>156 275</w:t>
            </w:r>
          </w:p>
        </w:tc>
        <w:tc>
          <w:tcPr>
            <w:tcW w:w="1984" w:type="dxa"/>
            <w:vAlign w:val="center"/>
          </w:tcPr>
          <w:p w:rsidR="000279D6" w:rsidRPr="000945CC" w:rsidRDefault="000279D6" w:rsidP="0082261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sz w:val="20"/>
                <w:szCs w:val="20"/>
              </w:rPr>
              <w:t>130 486</w:t>
            </w:r>
          </w:p>
        </w:tc>
        <w:tc>
          <w:tcPr>
            <w:tcW w:w="2410" w:type="dxa"/>
          </w:tcPr>
          <w:p w:rsidR="000279D6" w:rsidRPr="000945CC" w:rsidRDefault="000279D6" w:rsidP="008226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0945CC">
              <w:rPr>
                <w:rFonts w:ascii="Arial Narrow" w:eastAsia="Times New Roman" w:hAnsi="Arial Narrow"/>
                <w:sz w:val="20"/>
                <w:szCs w:val="20"/>
              </w:rPr>
              <w:t>Közszolg. szerz. teljesítése</w:t>
            </w:r>
          </w:p>
        </w:tc>
      </w:tr>
    </w:tbl>
    <w:p w:rsidR="000279D6" w:rsidRPr="000945CC" w:rsidRDefault="000279D6" w:rsidP="000279D6">
      <w:pPr>
        <w:spacing w:after="120" w:line="240" w:lineRule="auto"/>
        <w:contextualSpacing/>
        <w:jc w:val="both"/>
        <w:rPr>
          <w:rFonts w:cs="Calibri"/>
          <w:color w:val="000000"/>
        </w:rPr>
      </w:pPr>
    </w:p>
    <w:p w:rsidR="000279D6" w:rsidRPr="00876779" w:rsidRDefault="000279D6" w:rsidP="000279D6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2012. évben kapott támogatás ~26 M Ft-tal marad el a tavalyi értéktől, így az az elmúlt év 83,5%-ára teljesült!</w:t>
      </w:r>
    </w:p>
    <w:p w:rsidR="000279D6" w:rsidRDefault="000279D6" w:rsidP="000279D6">
      <w:pPr>
        <w:spacing w:line="240" w:lineRule="auto"/>
        <w:contextualSpacing/>
        <w:jc w:val="both"/>
        <w:rPr>
          <w:rFonts w:cs="Calibri"/>
          <w:color w:val="000000"/>
          <w:highlight w:val="yellow"/>
        </w:rPr>
      </w:pPr>
    </w:p>
    <w:p w:rsidR="000279D6" w:rsidRPr="00F450FE" w:rsidRDefault="000279D6" w:rsidP="000279D6">
      <w:pPr>
        <w:spacing w:line="240" w:lineRule="auto"/>
        <w:contextualSpacing/>
        <w:jc w:val="both"/>
        <w:rPr>
          <w:rFonts w:ascii="Arial" w:hAnsi="Arial" w:cs="Arial"/>
        </w:rPr>
      </w:pPr>
      <w:r w:rsidRPr="00F450FE">
        <w:rPr>
          <w:rFonts w:ascii="Arial" w:hAnsi="Arial" w:cs="Arial"/>
        </w:rPr>
        <w:t>Üzemi szint alatt</w:t>
      </w:r>
      <w:r>
        <w:rPr>
          <w:rFonts w:ascii="Arial" w:hAnsi="Arial" w:cs="Arial"/>
        </w:rPr>
        <w:t>i bevételként szerepel a pénzügyi műveletek bevételei között a Társaság betétei utáni kamatbevétel a</w:t>
      </w:r>
      <w:r w:rsidR="00DD1DD4">
        <w:rPr>
          <w:rFonts w:ascii="Arial" w:hAnsi="Arial" w:cs="Arial"/>
        </w:rPr>
        <w:t>mi 2012. évben 1 751 e Ft volt. A</w:t>
      </w:r>
      <w:r>
        <w:rPr>
          <w:rFonts w:ascii="Arial" w:hAnsi="Arial" w:cs="Arial"/>
        </w:rPr>
        <w:t xml:space="preserve"> Társaság év végi</w:t>
      </w:r>
      <w:r w:rsidRPr="00F450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betétállománya 36 M Ft volt. A FOK Kft. 2012. évben szerepeltet még a bevételei között 3 M Ft rendkívüli bevételt is.</w:t>
      </w:r>
    </w:p>
    <w:p w:rsidR="000279D6" w:rsidRPr="00F450FE" w:rsidRDefault="000279D6" w:rsidP="000279D6">
      <w:pPr>
        <w:spacing w:line="240" w:lineRule="auto"/>
        <w:contextualSpacing/>
        <w:jc w:val="both"/>
        <w:rPr>
          <w:rFonts w:ascii="Arial" w:hAnsi="Arial" w:cs="Arial"/>
        </w:rPr>
      </w:pPr>
    </w:p>
    <w:p w:rsidR="000279D6" w:rsidRPr="00F450FE" w:rsidRDefault="000279D6" w:rsidP="000279D6">
      <w:pPr>
        <w:spacing w:line="240" w:lineRule="auto"/>
        <w:contextualSpacing/>
        <w:jc w:val="both"/>
        <w:rPr>
          <w:rFonts w:cs="Calibri"/>
          <w:color w:val="000000"/>
          <w:highlight w:val="yellow"/>
        </w:rPr>
      </w:pPr>
    </w:p>
    <w:p w:rsidR="000279D6" w:rsidRPr="00DC6435" w:rsidRDefault="000279D6" w:rsidP="000279D6">
      <w:pPr>
        <w:keepNext/>
        <w:spacing w:after="120" w:line="240" w:lineRule="auto"/>
        <w:ind w:firstLine="708"/>
        <w:contextualSpacing/>
        <w:jc w:val="both"/>
        <w:rPr>
          <w:rFonts w:ascii="Arial" w:hAnsi="Arial" w:cs="Arial"/>
          <w:b/>
        </w:rPr>
      </w:pPr>
      <w:r w:rsidRPr="00DC6435">
        <w:rPr>
          <w:rFonts w:ascii="Arial" w:hAnsi="Arial" w:cs="Arial"/>
          <w:b/>
        </w:rPr>
        <w:t xml:space="preserve">Ráfordítások </w:t>
      </w:r>
    </w:p>
    <w:p w:rsidR="000279D6" w:rsidRPr="0035739C" w:rsidRDefault="000279D6" w:rsidP="000279D6">
      <w:pPr>
        <w:spacing w:line="240" w:lineRule="auto"/>
        <w:contextualSpacing/>
        <w:jc w:val="both"/>
        <w:rPr>
          <w:rFonts w:cs="Calibri"/>
          <w:i/>
          <w:color w:val="000000"/>
          <w:highlight w:val="yellow"/>
        </w:rPr>
      </w:pPr>
    </w:p>
    <w:p w:rsidR="000279D6" w:rsidRDefault="000279D6" w:rsidP="000279D6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413766">
        <w:rPr>
          <w:rFonts w:ascii="Arial" w:hAnsi="Arial" w:cs="Arial"/>
          <w:color w:val="000000"/>
        </w:rPr>
        <w:t xml:space="preserve">A Társaság 2012. évi üzemi költségeinek és ráfordításainak összege 202 217 eFt volt, mely 6,1%-kal alacsonyabb az előző évhez képest. </w:t>
      </w:r>
      <w:r>
        <w:rPr>
          <w:rFonts w:ascii="Arial" w:hAnsi="Arial" w:cs="Arial"/>
          <w:color w:val="000000"/>
        </w:rPr>
        <w:t>Ezen költségek két legnagyobb tétele az anyagjellegű ráfordítások értéke, amely 43%-ot képvisel, valamint a személyi jellegű ráfordítások értéke, amely 40%-ot képvisel az összértékből.</w:t>
      </w:r>
    </w:p>
    <w:p w:rsidR="000279D6" w:rsidRPr="00413766" w:rsidRDefault="000279D6" w:rsidP="000279D6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</w:p>
    <w:p w:rsidR="000279D6" w:rsidRPr="007143A9" w:rsidRDefault="000279D6" w:rsidP="000279D6">
      <w:pPr>
        <w:keepNext/>
        <w:spacing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7143A9">
        <w:rPr>
          <w:rFonts w:ascii="Times New Roman" w:hAnsi="Times New Roman"/>
          <w:b/>
          <w:i/>
          <w:sz w:val="20"/>
          <w:szCs w:val="20"/>
        </w:rPr>
        <w:t>Költségek költségnem szerinti részletezése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4105"/>
        <w:gridCol w:w="1120"/>
        <w:gridCol w:w="1120"/>
        <w:gridCol w:w="862"/>
      </w:tblGrid>
      <w:tr w:rsidR="000279D6" w:rsidRPr="0096694C" w:rsidTr="00822610">
        <w:trPr>
          <w:trHeight w:val="345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center"/>
              <w:rPr>
                <w:rFonts w:cs="Calibri"/>
                <w:i/>
                <w:iCs/>
                <w:color w:val="000000"/>
              </w:rPr>
            </w:pPr>
            <w:r w:rsidRPr="0096694C">
              <w:rPr>
                <w:rFonts w:cs="Calibri"/>
                <w:i/>
                <w:iCs/>
                <w:color w:val="000000"/>
              </w:rPr>
              <w:t>MEGNEVEZÉS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center"/>
              <w:rPr>
                <w:rFonts w:cs="Calibri"/>
                <w:i/>
                <w:iCs/>
                <w:color w:val="000000"/>
              </w:rPr>
            </w:pPr>
            <w:r w:rsidRPr="0096694C">
              <w:rPr>
                <w:rFonts w:cs="Calibri"/>
                <w:i/>
                <w:iCs/>
                <w:color w:val="000000"/>
              </w:rPr>
              <w:t>Előző év</w:t>
            </w:r>
            <w:r>
              <w:rPr>
                <w:rFonts w:cs="Calibri"/>
                <w:i/>
                <w:iCs/>
                <w:color w:val="000000"/>
              </w:rPr>
              <w:t xml:space="preserve"> [eFt]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center"/>
              <w:rPr>
                <w:rFonts w:cs="Calibri"/>
                <w:i/>
                <w:iCs/>
                <w:color w:val="000000"/>
              </w:rPr>
            </w:pPr>
            <w:r w:rsidRPr="0096694C">
              <w:rPr>
                <w:rFonts w:cs="Calibri"/>
                <w:i/>
                <w:iCs/>
                <w:color w:val="000000"/>
              </w:rPr>
              <w:t>Tárgyév</w:t>
            </w:r>
            <w:r>
              <w:rPr>
                <w:rFonts w:cs="Calibri"/>
                <w:i/>
                <w:iCs/>
                <w:color w:val="000000"/>
              </w:rPr>
              <w:t xml:space="preserve"> [eFt]</w:t>
            </w:r>
          </w:p>
        </w:tc>
        <w:tc>
          <w:tcPr>
            <w:tcW w:w="862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center"/>
              <w:rPr>
                <w:rFonts w:cs="Calibri"/>
                <w:i/>
                <w:iCs/>
                <w:color w:val="000000"/>
              </w:rPr>
            </w:pPr>
            <w:r w:rsidRPr="0096694C">
              <w:rPr>
                <w:rFonts w:cs="Calibri"/>
                <w:i/>
                <w:iCs/>
                <w:color w:val="000000"/>
              </w:rPr>
              <w:t>index</w:t>
            </w:r>
            <w:r>
              <w:rPr>
                <w:rFonts w:cs="Calibri"/>
                <w:i/>
                <w:iCs/>
                <w:color w:val="000000"/>
              </w:rPr>
              <w:t xml:space="preserve"> [%]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Anyagköltség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4 233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3 148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74,4%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Igénybe vett</w:t>
            </w: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szolgáltatások értéke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79 948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51 471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64,4%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Egyéb szolgáltatások értéke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14 750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32 712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221,8%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ANYAGJELLEGŰ RÁFORDÍTÁSOK 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98 931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87 331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88,3%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Bérköltség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60 959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56 806</w:t>
            </w:r>
          </w:p>
        </w:tc>
        <w:tc>
          <w:tcPr>
            <w:tcW w:w="862" w:type="dxa"/>
            <w:noWrap/>
            <w:hideMark/>
          </w:tcPr>
          <w:p w:rsidR="000279D6" w:rsidRPr="00413766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137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93,2%</w:t>
            </w:r>
          </w:p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!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Személyi jellegű egyéb kifizetések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7 201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6 985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97,0%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Bérjárulékok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17 716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17 269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97,5%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smallCaps/>
                <w:color w:val="000000"/>
                <w:sz w:val="20"/>
                <w:szCs w:val="20"/>
              </w:rPr>
              <w:t>SZEMÉLYI JELLEGŰ RÁFORDÍTÁSOK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85 876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81 060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94,4%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smallCaps/>
                <w:color w:val="000000"/>
                <w:sz w:val="20"/>
                <w:szCs w:val="20"/>
              </w:rPr>
              <w:t>ÉRTÉKCSÖKKENÉSI LEIRÁS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21 636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27 013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124,9%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i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mallCaps/>
                <w:color w:val="000000"/>
                <w:sz w:val="20"/>
                <w:szCs w:val="20"/>
              </w:rPr>
              <w:t>EGYÉB RÁFORDÍTÁSOK</w:t>
            </w:r>
          </w:p>
        </w:tc>
        <w:tc>
          <w:tcPr>
            <w:tcW w:w="1120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8 838</w:t>
            </w:r>
          </w:p>
        </w:tc>
        <w:tc>
          <w:tcPr>
            <w:tcW w:w="1120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6 813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77,1%</w:t>
            </w:r>
          </w:p>
        </w:tc>
      </w:tr>
      <w:tr w:rsidR="000279D6" w:rsidRPr="0096694C" w:rsidTr="00822610">
        <w:trPr>
          <w:trHeight w:hRule="exact" w:val="227"/>
          <w:jc w:val="center"/>
        </w:trPr>
        <w:tc>
          <w:tcPr>
            <w:tcW w:w="4105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215 281</w:t>
            </w:r>
          </w:p>
        </w:tc>
        <w:tc>
          <w:tcPr>
            <w:tcW w:w="1120" w:type="dxa"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202 217</w:t>
            </w:r>
          </w:p>
        </w:tc>
        <w:tc>
          <w:tcPr>
            <w:tcW w:w="862" w:type="dxa"/>
            <w:noWrap/>
            <w:hideMark/>
          </w:tcPr>
          <w:p w:rsidR="000279D6" w:rsidRPr="0096694C" w:rsidRDefault="000279D6" w:rsidP="0058396A">
            <w:pPr>
              <w:spacing w:after="120"/>
              <w:contextualSpacing/>
              <w:jc w:val="righ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96694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93,9%</w:t>
            </w:r>
          </w:p>
        </w:tc>
      </w:tr>
    </w:tbl>
    <w:p w:rsidR="000279D6" w:rsidRPr="0035739C" w:rsidRDefault="000279D6" w:rsidP="000279D6">
      <w:pPr>
        <w:spacing w:line="240" w:lineRule="auto"/>
        <w:contextualSpacing/>
        <w:jc w:val="both"/>
        <w:rPr>
          <w:rFonts w:cs="Calibri"/>
          <w:i/>
          <w:color w:val="000000"/>
          <w:highlight w:val="yellow"/>
        </w:rPr>
      </w:pPr>
    </w:p>
    <w:p w:rsidR="000279D6" w:rsidRPr="0035739C" w:rsidRDefault="000279D6" w:rsidP="000279D6">
      <w:pPr>
        <w:spacing w:line="240" w:lineRule="auto"/>
        <w:contextualSpacing/>
        <w:jc w:val="both"/>
        <w:rPr>
          <w:rFonts w:cs="Calibri"/>
          <w:i/>
          <w:color w:val="000000"/>
          <w:highlight w:val="yellow"/>
        </w:rPr>
      </w:pPr>
    </w:p>
    <w:p w:rsidR="000279D6" w:rsidRPr="0035739C" w:rsidRDefault="000279D6" w:rsidP="000279D6">
      <w:pPr>
        <w:spacing w:line="240" w:lineRule="auto"/>
        <w:contextualSpacing/>
        <w:jc w:val="both"/>
        <w:rPr>
          <w:rFonts w:cs="Calibri"/>
          <w:i/>
          <w:color w:val="000000"/>
          <w:highlight w:val="yellow"/>
        </w:rPr>
      </w:pPr>
    </w:p>
    <w:p w:rsidR="000279D6" w:rsidRPr="00DC6435" w:rsidRDefault="000279D6" w:rsidP="000279D6">
      <w:pPr>
        <w:keepNext/>
        <w:spacing w:after="120" w:line="240" w:lineRule="auto"/>
        <w:ind w:firstLine="708"/>
        <w:contextualSpacing/>
        <w:jc w:val="both"/>
        <w:rPr>
          <w:rFonts w:ascii="Arial" w:hAnsi="Arial" w:cs="Arial"/>
          <w:b/>
        </w:rPr>
      </w:pPr>
      <w:r w:rsidRPr="00DC6435">
        <w:rPr>
          <w:rFonts w:ascii="Arial" w:hAnsi="Arial" w:cs="Arial"/>
          <w:b/>
        </w:rPr>
        <w:t>Az eredmény változása</w:t>
      </w:r>
    </w:p>
    <w:p w:rsidR="000279D6" w:rsidRPr="007143A9" w:rsidRDefault="000279D6" w:rsidP="000279D6">
      <w:pPr>
        <w:keepNext/>
        <w:spacing w:line="240" w:lineRule="auto"/>
        <w:contextualSpacing/>
        <w:jc w:val="both"/>
        <w:rPr>
          <w:rFonts w:cs="Calibri"/>
          <w:i/>
          <w:color w:val="000000"/>
        </w:rPr>
      </w:pPr>
    </w:p>
    <w:p w:rsidR="000279D6" w:rsidRPr="00BA034A" w:rsidRDefault="000279D6" w:rsidP="000279D6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BA034A">
        <w:rPr>
          <w:rFonts w:ascii="Arial" w:hAnsi="Arial" w:cs="Arial"/>
          <w:color w:val="000000"/>
        </w:rPr>
        <w:t xml:space="preserve">Társasági szinten a 2012. évi üzleti eredmény </w:t>
      </w:r>
      <w:r>
        <w:rPr>
          <w:rFonts w:ascii="Arial" w:hAnsi="Arial" w:cs="Arial"/>
          <w:color w:val="000000"/>
        </w:rPr>
        <w:t>-1 224 e</w:t>
      </w:r>
      <w:r w:rsidRPr="00BA034A">
        <w:rPr>
          <w:rFonts w:ascii="Arial" w:hAnsi="Arial" w:cs="Arial"/>
          <w:color w:val="000000"/>
        </w:rPr>
        <w:t xml:space="preserve"> Ft, mely </w:t>
      </w:r>
      <w:r>
        <w:rPr>
          <w:rFonts w:ascii="Arial" w:hAnsi="Arial" w:cs="Arial"/>
          <w:color w:val="000000"/>
        </w:rPr>
        <w:t>1 854 eFt-tal kevesebb</w:t>
      </w:r>
      <w:r w:rsidRPr="00BA034A">
        <w:rPr>
          <w:rFonts w:ascii="Arial" w:hAnsi="Arial" w:cs="Arial"/>
          <w:color w:val="000000"/>
        </w:rPr>
        <w:t xml:space="preserve"> az előző időszak eredményé</w:t>
      </w:r>
      <w:r>
        <w:rPr>
          <w:rFonts w:ascii="Arial" w:hAnsi="Arial" w:cs="Arial"/>
          <w:color w:val="000000"/>
        </w:rPr>
        <w:t>től.</w:t>
      </w:r>
    </w:p>
    <w:p w:rsidR="000279D6" w:rsidRPr="00BA034A" w:rsidRDefault="000279D6" w:rsidP="000279D6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</w:p>
    <w:p w:rsidR="000279D6" w:rsidRPr="00BA034A" w:rsidRDefault="000279D6" w:rsidP="000279D6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Üzemi szinten túl a pénzügyi műveletek 1 751 e Ft-os eredménye, valamint a 2 786 e Ft-os rendkívüli eredmény hatására a Társaság mérleg szerinti eredménye a negatív üzemi teljesítmény ellenére 3 313 e Ft lett, ami kétszerese a bázisidőszak mérleg szerinti eredményének. A rendkívüli eredmény a Microsoft által nyújtott szoftver támogatás értéke, mely 39 db licensz térítésmentes biztosítása volt.</w:t>
      </w:r>
    </w:p>
    <w:p w:rsidR="000279D6" w:rsidRPr="0035739C" w:rsidRDefault="000279D6" w:rsidP="000279D6">
      <w:pPr>
        <w:spacing w:line="240" w:lineRule="auto"/>
        <w:contextualSpacing/>
        <w:jc w:val="both"/>
        <w:rPr>
          <w:rFonts w:cs="Calibri"/>
          <w:i/>
          <w:color w:val="000000"/>
          <w:highlight w:val="yellow"/>
        </w:rPr>
      </w:pPr>
    </w:p>
    <w:p w:rsidR="000279D6" w:rsidRPr="00DC6435" w:rsidRDefault="000279D6" w:rsidP="000279D6">
      <w:pPr>
        <w:keepNext/>
        <w:spacing w:after="120" w:line="240" w:lineRule="auto"/>
        <w:ind w:firstLine="708"/>
        <w:contextualSpacing/>
        <w:jc w:val="both"/>
        <w:rPr>
          <w:rFonts w:ascii="Arial" w:hAnsi="Arial" w:cs="Arial"/>
          <w:b/>
        </w:rPr>
      </w:pPr>
      <w:r w:rsidRPr="00DC6435">
        <w:rPr>
          <w:rFonts w:ascii="Arial" w:hAnsi="Arial" w:cs="Arial"/>
          <w:b/>
        </w:rPr>
        <w:t>Létszám és béradatok</w:t>
      </w:r>
    </w:p>
    <w:p w:rsidR="000279D6" w:rsidRPr="0035739C" w:rsidRDefault="000279D6" w:rsidP="000279D6">
      <w:pPr>
        <w:keepNext/>
        <w:spacing w:line="240" w:lineRule="auto"/>
        <w:contextualSpacing/>
        <w:jc w:val="both"/>
        <w:rPr>
          <w:rFonts w:cs="Calibri"/>
          <w:i/>
          <w:color w:val="000000"/>
          <w:highlight w:val="yellow"/>
        </w:rPr>
      </w:pPr>
    </w:p>
    <w:p w:rsidR="000279D6" w:rsidRPr="000279D6" w:rsidRDefault="000279D6" w:rsidP="000279D6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0279D6">
        <w:rPr>
          <w:rFonts w:ascii="Arial" w:hAnsi="Arial" w:cs="Arial"/>
          <w:color w:val="000000"/>
        </w:rPr>
        <w:t xml:space="preserve">A Társaság munkavállalóinak átlagos statisztikai létszáma 17 fő. </w:t>
      </w:r>
    </w:p>
    <w:p w:rsidR="000279D6" w:rsidRPr="000279D6" w:rsidRDefault="000279D6" w:rsidP="000279D6">
      <w:pPr>
        <w:pStyle w:val="Szvegtrzsbehzssal"/>
        <w:ind w:left="360"/>
        <w:rPr>
          <w:rFonts w:ascii="Arial" w:hAnsi="Arial" w:cs="Arial"/>
          <w:color w:val="auto"/>
          <w:sz w:val="24"/>
          <w:szCs w:val="24"/>
        </w:rPr>
      </w:pPr>
      <w:r w:rsidRPr="000279D6">
        <w:rPr>
          <w:rFonts w:ascii="Arial" w:hAnsi="Arial" w:cs="Arial"/>
          <w:color w:val="auto"/>
          <w:sz w:val="24"/>
          <w:szCs w:val="24"/>
        </w:rPr>
        <w:t>Alkalmazottak átlagos állományi létszáma</w:t>
      </w:r>
    </w:p>
    <w:p w:rsidR="000279D6" w:rsidRPr="000279D6" w:rsidRDefault="000279D6" w:rsidP="000279D6">
      <w:pPr>
        <w:pStyle w:val="Szvegtrzsbehzssal"/>
        <w:ind w:left="709"/>
        <w:rPr>
          <w:rFonts w:ascii="Arial" w:hAnsi="Arial" w:cs="Arial"/>
          <w:color w:val="auto"/>
        </w:rPr>
      </w:pPr>
    </w:p>
    <w:p w:rsidR="000279D6" w:rsidRPr="000279D6" w:rsidRDefault="000279D6" w:rsidP="000279D6">
      <w:pPr>
        <w:pStyle w:val="Szvegtrzsbehzssal"/>
        <w:rPr>
          <w:rFonts w:ascii="Arial" w:hAnsi="Arial" w:cs="Arial"/>
          <w:color w:val="auto"/>
        </w:rPr>
      </w:pPr>
      <w:r w:rsidRPr="000279D6">
        <w:rPr>
          <w:rFonts w:ascii="Arial" w:hAnsi="Arial" w:cs="Arial"/>
          <w:color w:val="auto"/>
        </w:rPr>
        <w:t>Fizikai besorolásúak:</w:t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</w:rPr>
        <w:tab/>
        <w:t xml:space="preserve"> </w:t>
      </w:r>
      <w:r w:rsidRPr="000279D6">
        <w:rPr>
          <w:rFonts w:ascii="Arial" w:hAnsi="Arial" w:cs="Arial"/>
          <w:color w:val="auto"/>
          <w:sz w:val="24"/>
        </w:rPr>
        <w:t>1</w:t>
      </w:r>
      <w:r w:rsidRPr="000279D6">
        <w:rPr>
          <w:rFonts w:ascii="Arial" w:hAnsi="Arial" w:cs="Arial"/>
          <w:color w:val="auto"/>
        </w:rPr>
        <w:tab/>
        <w:t>fő</w:t>
      </w:r>
    </w:p>
    <w:p w:rsidR="000279D6" w:rsidRPr="000279D6" w:rsidRDefault="000279D6" w:rsidP="000279D6">
      <w:pPr>
        <w:pStyle w:val="Szvegtrzsbehzssal"/>
        <w:rPr>
          <w:rFonts w:ascii="Arial" w:hAnsi="Arial" w:cs="Arial"/>
          <w:color w:val="auto"/>
          <w:u w:val="single"/>
        </w:rPr>
      </w:pPr>
      <w:r w:rsidRPr="000279D6">
        <w:rPr>
          <w:rFonts w:ascii="Arial" w:hAnsi="Arial" w:cs="Arial"/>
          <w:color w:val="auto"/>
          <w:u w:val="single"/>
        </w:rPr>
        <w:t>Szellemi foglalkozásúak:</w:t>
      </w:r>
      <w:r w:rsidRPr="000279D6">
        <w:rPr>
          <w:rFonts w:ascii="Arial" w:hAnsi="Arial" w:cs="Arial"/>
          <w:color w:val="auto"/>
          <w:u w:val="single"/>
        </w:rPr>
        <w:tab/>
      </w:r>
      <w:r w:rsidRPr="000279D6">
        <w:rPr>
          <w:rFonts w:ascii="Arial" w:hAnsi="Arial" w:cs="Arial"/>
          <w:color w:val="auto"/>
          <w:u w:val="single"/>
        </w:rPr>
        <w:tab/>
      </w:r>
      <w:r w:rsidRPr="000279D6">
        <w:rPr>
          <w:rFonts w:ascii="Arial" w:hAnsi="Arial" w:cs="Arial"/>
          <w:color w:val="auto"/>
          <w:u w:val="single"/>
        </w:rPr>
        <w:tab/>
      </w:r>
      <w:r w:rsidRPr="000279D6">
        <w:rPr>
          <w:rFonts w:ascii="Arial" w:hAnsi="Arial" w:cs="Arial"/>
          <w:color w:val="auto"/>
          <w:sz w:val="24"/>
          <w:u w:val="single"/>
        </w:rPr>
        <w:t>16</w:t>
      </w:r>
      <w:r w:rsidRPr="000279D6">
        <w:rPr>
          <w:rFonts w:ascii="Arial" w:hAnsi="Arial" w:cs="Arial"/>
          <w:color w:val="auto"/>
          <w:u w:val="single"/>
        </w:rPr>
        <w:tab/>
        <w:t>fő</w:t>
      </w:r>
    </w:p>
    <w:p w:rsidR="000279D6" w:rsidRPr="000279D6" w:rsidRDefault="000279D6" w:rsidP="000279D6">
      <w:pPr>
        <w:pStyle w:val="Szvegtrzsbehzssal"/>
        <w:rPr>
          <w:rFonts w:ascii="Arial" w:hAnsi="Arial" w:cs="Arial"/>
          <w:color w:val="auto"/>
        </w:rPr>
      </w:pPr>
      <w:r w:rsidRPr="000279D6">
        <w:rPr>
          <w:rFonts w:ascii="Arial" w:hAnsi="Arial" w:cs="Arial"/>
          <w:color w:val="auto"/>
        </w:rPr>
        <w:t>Összesen:</w:t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</w:rPr>
        <w:tab/>
      </w:r>
      <w:r w:rsidRPr="000279D6">
        <w:rPr>
          <w:rFonts w:ascii="Arial" w:hAnsi="Arial" w:cs="Arial"/>
          <w:color w:val="auto"/>
          <w:sz w:val="24"/>
        </w:rPr>
        <w:t>17</w:t>
      </w:r>
      <w:r w:rsidRPr="000279D6">
        <w:rPr>
          <w:rFonts w:ascii="Arial" w:hAnsi="Arial" w:cs="Arial"/>
          <w:color w:val="auto"/>
        </w:rPr>
        <w:tab/>
        <w:t>fő</w:t>
      </w:r>
    </w:p>
    <w:p w:rsidR="000279D6" w:rsidRPr="000279D6" w:rsidRDefault="000279D6" w:rsidP="000279D6">
      <w:pPr>
        <w:spacing w:line="240" w:lineRule="auto"/>
        <w:contextualSpacing/>
        <w:jc w:val="both"/>
        <w:rPr>
          <w:rFonts w:ascii="Arial" w:hAnsi="Arial" w:cs="Arial"/>
          <w:i/>
          <w:color w:val="000000"/>
          <w:highlight w:val="yellow"/>
        </w:rPr>
      </w:pPr>
    </w:p>
    <w:p w:rsidR="000279D6" w:rsidRPr="000279D6" w:rsidRDefault="000279D6" w:rsidP="000279D6">
      <w:pPr>
        <w:spacing w:line="240" w:lineRule="auto"/>
        <w:contextualSpacing/>
        <w:jc w:val="both"/>
        <w:rPr>
          <w:rFonts w:ascii="Arial" w:hAnsi="Arial" w:cs="Arial"/>
          <w:i/>
          <w:color w:val="000000"/>
          <w:highlight w:val="yellow"/>
        </w:rPr>
      </w:pPr>
    </w:p>
    <w:p w:rsidR="000279D6" w:rsidRPr="000279D6" w:rsidRDefault="000279D6" w:rsidP="000279D6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0279D6">
        <w:rPr>
          <w:rFonts w:ascii="Arial" w:hAnsi="Arial" w:cs="Arial"/>
          <w:color w:val="000000"/>
        </w:rPr>
        <w:t>A Társaság bérköltségben a 2011. évi 60 M Ft-tal szemben 2012-ben 57 M Ft-ot teljesített, ami 6,8%-os csökkenés. A havi - átlag - bérköltség 278 e Ft/hó volt 2012. évben.</w:t>
      </w:r>
    </w:p>
    <w:p w:rsidR="000279D6" w:rsidRDefault="000279D6" w:rsidP="000279D6">
      <w:pPr>
        <w:spacing w:line="240" w:lineRule="auto"/>
        <w:contextualSpacing/>
        <w:jc w:val="center"/>
        <w:rPr>
          <w:rFonts w:cs="Calibri"/>
          <w:i/>
          <w:color w:val="000000"/>
          <w:highlight w:val="yellow"/>
        </w:rPr>
      </w:pPr>
    </w:p>
    <w:p w:rsidR="000279D6" w:rsidRDefault="000279D6" w:rsidP="000279D6">
      <w:pPr>
        <w:spacing w:before="60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0279D6" w:rsidRPr="00DC6435" w:rsidRDefault="000279D6" w:rsidP="000279D6">
      <w:pPr>
        <w:spacing w:before="60"/>
        <w:jc w:val="both"/>
        <w:rPr>
          <w:rFonts w:ascii="Arial" w:eastAsiaTheme="minorHAnsi" w:hAnsi="Arial" w:cs="Arial"/>
          <w:b/>
        </w:rPr>
      </w:pPr>
      <w:r w:rsidRPr="00DC6435">
        <w:rPr>
          <w:rFonts w:ascii="Arial" w:eastAsiaTheme="minorHAnsi" w:hAnsi="Arial" w:cs="Arial"/>
          <w:b/>
        </w:rPr>
        <w:t xml:space="preserve">A </w:t>
      </w:r>
      <w:r w:rsidRPr="00DC6435">
        <w:rPr>
          <w:rFonts w:ascii="Arial" w:hAnsi="Arial" w:cs="Arial"/>
          <w:b/>
        </w:rPr>
        <w:t>FOK Fővárosi Oktatástechnológiai Központ Szolgáltató Közhasznú Nonprofit Kft.</w:t>
      </w:r>
      <w:r w:rsidRPr="00DC6435">
        <w:rPr>
          <w:rFonts w:eastAsiaTheme="minorHAnsi"/>
        </w:rPr>
        <w:t xml:space="preserve"> </w:t>
      </w:r>
      <w:r w:rsidRPr="00DC6435">
        <w:rPr>
          <w:rFonts w:ascii="Arial" w:eastAsiaTheme="minorHAnsi" w:hAnsi="Arial" w:cs="Arial"/>
          <w:b/>
        </w:rPr>
        <w:t>2012. évi működésének jellemzői ábrákon</w:t>
      </w:r>
    </w:p>
    <w:p w:rsidR="000279D6" w:rsidRPr="00587BAD" w:rsidRDefault="000279D6" w:rsidP="000279D6">
      <w:pPr>
        <w:keepNext/>
        <w:spacing w:before="60"/>
        <w:jc w:val="both"/>
        <w:rPr>
          <w:rFonts w:ascii="Arial" w:eastAsiaTheme="minorHAnsi" w:hAnsi="Arial" w:cs="Arial"/>
          <w:b/>
        </w:rPr>
      </w:pPr>
      <w:r w:rsidRPr="00587BAD">
        <w:rPr>
          <w:rFonts w:ascii="Arial" w:eastAsiaTheme="minorHAnsi" w:hAnsi="Arial" w:cs="Arial"/>
          <w:b/>
        </w:rPr>
        <w:t>Az üzleti tevékenység bevételei, hozamai</w:t>
      </w:r>
    </w:p>
    <w:p w:rsidR="000279D6" w:rsidRPr="00587BAD" w:rsidRDefault="000279D6" w:rsidP="000279D6">
      <w:pPr>
        <w:spacing w:before="60"/>
        <w:jc w:val="both"/>
        <w:rPr>
          <w:rFonts w:ascii="Arial" w:eastAsiaTheme="minorHAnsi" w:hAnsi="Arial" w:cs="Arial"/>
          <w:highlight w:val="yellow"/>
        </w:rPr>
      </w:pPr>
      <w:r w:rsidRPr="00A734CA">
        <w:rPr>
          <w:rFonts w:ascii="Arial" w:eastAsiaTheme="minorHAnsi" w:hAnsi="Arial" w:cs="Arial"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1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Default="000279D6" w:rsidP="000279D6">
      <w:pPr>
        <w:spacing w:before="60" w:after="120"/>
        <w:contextualSpacing/>
        <w:jc w:val="both"/>
        <w:rPr>
          <w:rFonts w:ascii="Arial" w:eastAsiaTheme="minorHAnsi" w:hAnsi="Arial" w:cs="Arial"/>
        </w:rPr>
      </w:pPr>
      <w:r w:rsidRPr="00AD2657">
        <w:rPr>
          <w:rFonts w:ascii="Arial" w:eastAsiaTheme="minorHAnsi" w:hAnsi="Arial" w:cs="Arial"/>
        </w:rPr>
        <w:t>Az üzleti tevékenység hozamai (2012-ben 200 992 e Ft) a belföldi értékesítés nettó árbevételéből (2012-ben 60 278 e Ft), az egyéb bevételekből (2012-ben 130 622 e Ft), és a saját előállítású eszközök aktivált értékéből</w:t>
      </w:r>
      <w:r>
        <w:rPr>
          <w:rFonts w:ascii="Arial" w:eastAsiaTheme="minorHAnsi" w:hAnsi="Arial" w:cs="Arial"/>
        </w:rPr>
        <w:t xml:space="preserve"> (2012-ben 10 092 e Ft)</w:t>
      </w:r>
      <w:r w:rsidRPr="00AD2657">
        <w:rPr>
          <w:rFonts w:ascii="Arial" w:eastAsiaTheme="minorHAnsi" w:hAnsi="Arial" w:cs="Arial"/>
        </w:rPr>
        <w:t xml:space="preserve"> állnak. </w:t>
      </w:r>
    </w:p>
    <w:p w:rsidR="000279D6" w:rsidRPr="00AD2657" w:rsidRDefault="000279D6" w:rsidP="000279D6">
      <w:pPr>
        <w:spacing w:before="60" w:after="120"/>
        <w:contextualSpacing/>
        <w:jc w:val="both"/>
        <w:rPr>
          <w:rFonts w:ascii="Arial" w:eastAsiaTheme="minorHAnsi" w:hAnsi="Arial" w:cs="Arial"/>
        </w:rPr>
      </w:pPr>
      <w:r w:rsidRPr="00AD2657">
        <w:rPr>
          <w:rFonts w:ascii="Arial" w:eastAsiaTheme="minorHAnsi" w:hAnsi="Arial" w:cs="Arial"/>
        </w:rPr>
        <w:t xml:space="preserve">2012-ben összesen 14 919 e Ft-tal kevesebb az üzleti tevékenység hozama 2011-hez képest, mely 6,9 %-os csökkenést jelent. </w:t>
      </w:r>
    </w:p>
    <w:p w:rsidR="000279D6" w:rsidRPr="00587BAD" w:rsidRDefault="000279D6" w:rsidP="000279D6">
      <w:pPr>
        <w:spacing w:before="60" w:after="120"/>
        <w:contextualSpacing/>
        <w:jc w:val="both"/>
        <w:rPr>
          <w:rFonts w:ascii="Arial" w:eastAsiaTheme="minorHAnsi" w:hAnsi="Arial" w:cs="Arial"/>
          <w:highlight w:val="yellow"/>
        </w:rPr>
      </w:pPr>
    </w:p>
    <w:p w:rsidR="000279D6" w:rsidRPr="00587BAD" w:rsidRDefault="000279D6" w:rsidP="000279D6">
      <w:pPr>
        <w:spacing w:after="120"/>
        <w:contextualSpacing/>
        <w:jc w:val="both"/>
        <w:rPr>
          <w:rFonts w:ascii="Arial" w:eastAsiaTheme="minorHAnsi" w:hAnsi="Arial" w:cs="Arial"/>
          <w:highlight w:val="yellow"/>
        </w:rPr>
      </w:pPr>
      <w:r w:rsidRPr="00AD2657">
        <w:rPr>
          <w:rFonts w:ascii="Arial" w:eastAsiaTheme="minorHAnsi" w:hAnsi="Arial" w:cs="Arial"/>
        </w:rPr>
        <w:t xml:space="preserve">A belföldi értékesítés nettó árbevétele </w:t>
      </w:r>
      <w:r>
        <w:rPr>
          <w:rFonts w:ascii="Arial" w:eastAsiaTheme="minorHAnsi" w:hAnsi="Arial" w:cs="Arial"/>
        </w:rPr>
        <w:t>13 506 e Ft-tal magasabb az előző évinél, ami 128,9 %-os növekedést mutat, míg az egyéb bevételek összege 25 832 e Ft-tal lett kevesebb, mint 2011-ben, ez pedig 16,5 %-os visszaesés.</w:t>
      </w:r>
      <w:r w:rsidRPr="00587BAD">
        <w:rPr>
          <w:rFonts w:ascii="Arial" w:eastAsiaTheme="minorHAnsi" w:hAnsi="Arial" w:cs="Arial"/>
          <w:highlight w:val="yellow"/>
        </w:rPr>
        <w:t xml:space="preserve"> </w:t>
      </w:r>
    </w:p>
    <w:p w:rsidR="000279D6" w:rsidRPr="00587BAD" w:rsidRDefault="000279D6" w:rsidP="000279D6">
      <w:pPr>
        <w:spacing w:after="120"/>
        <w:contextualSpacing/>
        <w:jc w:val="both"/>
        <w:rPr>
          <w:rFonts w:ascii="Arial" w:eastAsiaTheme="minorHAnsi" w:hAnsi="Arial" w:cs="Arial"/>
          <w:highlight w:val="yellow"/>
        </w:rPr>
      </w:pPr>
    </w:p>
    <w:p w:rsidR="000279D6" w:rsidRPr="00E7083D" w:rsidRDefault="000279D6" w:rsidP="000279D6">
      <w:pPr>
        <w:spacing w:before="60"/>
        <w:jc w:val="both"/>
        <w:rPr>
          <w:rFonts w:ascii="Arial" w:eastAsiaTheme="minorHAnsi" w:hAnsi="Arial" w:cs="Arial"/>
        </w:rPr>
      </w:pPr>
      <w:r w:rsidRPr="00E7083D">
        <w:rPr>
          <w:rFonts w:ascii="Arial" w:eastAsiaTheme="minorHAnsi" w:hAnsi="Arial" w:cs="Arial"/>
        </w:rPr>
        <w:t>Az egyéb bevételek közt megjelenő Önkormányzati támogatás tárgyévben elszámolt összege 130 486 e Ft volt 2012-ben</w:t>
      </w:r>
      <w:r>
        <w:rPr>
          <w:rFonts w:ascii="Arial" w:eastAsiaTheme="minorHAnsi" w:hAnsi="Arial" w:cs="Arial"/>
        </w:rPr>
        <w:t>, mely az összes egyéb bevétel 99,9 %-a.</w:t>
      </w:r>
      <w:r w:rsidRPr="00E7083D">
        <w:rPr>
          <w:rFonts w:ascii="Arial" w:eastAsiaTheme="minorHAnsi" w:hAnsi="Arial" w:cs="Arial"/>
        </w:rPr>
        <w:t xml:space="preserve"> </w:t>
      </w:r>
    </w:p>
    <w:p w:rsidR="000279D6" w:rsidRPr="00587BAD" w:rsidRDefault="000279D6" w:rsidP="000279D6">
      <w:pPr>
        <w:keepNext/>
        <w:spacing w:before="60"/>
        <w:jc w:val="both"/>
        <w:rPr>
          <w:rFonts w:ascii="Arial" w:eastAsiaTheme="minorHAnsi" w:hAnsi="Arial" w:cs="Arial"/>
          <w:b/>
        </w:rPr>
      </w:pPr>
      <w:r w:rsidRPr="00587BAD">
        <w:rPr>
          <w:rFonts w:ascii="Arial" w:eastAsiaTheme="minorHAnsi" w:hAnsi="Arial" w:cs="Arial"/>
          <w:b/>
        </w:rPr>
        <w:t>Üzemi/üzleti hozamok, ráfordítások, eredmény</w:t>
      </w:r>
    </w:p>
    <w:p w:rsidR="000279D6" w:rsidRPr="00587BAD" w:rsidRDefault="000279D6" w:rsidP="000279D6">
      <w:pPr>
        <w:rPr>
          <w:rFonts w:ascii="Arial" w:eastAsiaTheme="minorHAnsi" w:hAnsi="Arial" w:cs="Arial"/>
          <w:highlight w:val="yellow"/>
        </w:rPr>
      </w:pPr>
      <w:r w:rsidRPr="00587BAD">
        <w:rPr>
          <w:rFonts w:ascii="Arial" w:eastAsiaTheme="minorHAnsi" w:hAnsi="Arial" w:cs="Arial"/>
          <w:noProof/>
          <w:lang w:eastAsia="hu-HU"/>
        </w:rPr>
        <w:drawing>
          <wp:inline distT="0" distB="0" distL="0" distR="0">
            <wp:extent cx="5760720" cy="3620373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Pr="005F4EFB" w:rsidRDefault="000279D6" w:rsidP="000279D6">
      <w:pPr>
        <w:jc w:val="both"/>
        <w:rPr>
          <w:rFonts w:ascii="Arial" w:eastAsiaTheme="minorHAnsi" w:hAnsi="Arial" w:cs="Arial"/>
        </w:rPr>
      </w:pPr>
      <w:r w:rsidRPr="005F4EFB">
        <w:rPr>
          <w:rFonts w:ascii="Arial" w:eastAsiaTheme="minorHAnsi" w:hAnsi="Arial" w:cs="Arial"/>
        </w:rPr>
        <w:t>A Társaság 2012. évi 200 992 e Ft-os üzleti hozamai a 2011. évihez képest 14 919 e Ft-tal alacsonyabbak, az üzemi/üzleti ráfordítások 13 0656 e Ft-tal csökkentek, az üzemi/üzleti eredmény pedig a 2011. évi 630 e Ft után 2012-ben -1 224 e Ft, mely 1 854 e Ft csökkentést jelent. A társaság az anyagjellegű és a személyi jellegű költségein megtakarított, de az amortizációs költsége 25 %-kal növekedett, ez okozta az üzemi eredmény negatívba fordulását.</w:t>
      </w:r>
    </w:p>
    <w:p w:rsidR="000279D6" w:rsidRPr="00587BAD" w:rsidRDefault="000279D6" w:rsidP="000279D6">
      <w:pPr>
        <w:rPr>
          <w:rFonts w:ascii="Arial" w:eastAsiaTheme="minorHAnsi" w:hAnsi="Arial" w:cs="Arial"/>
          <w:highlight w:val="yellow"/>
        </w:rPr>
      </w:pPr>
    </w:p>
    <w:p w:rsidR="000279D6" w:rsidRPr="00587BAD" w:rsidRDefault="000279D6" w:rsidP="000279D6">
      <w:pPr>
        <w:rPr>
          <w:rFonts w:eastAsiaTheme="minorHAnsi"/>
          <w:noProof/>
        </w:rPr>
      </w:pPr>
      <w:r w:rsidRPr="00587BAD">
        <w:rPr>
          <w:rFonts w:ascii="Arial" w:eastAsiaTheme="minorHAnsi" w:hAnsi="Arial" w:cs="Arial"/>
          <w:b/>
        </w:rPr>
        <w:t>Az anyagjellegű ráfordítások megoszlása:</w:t>
      </w:r>
      <w:r w:rsidRPr="00587BAD">
        <w:rPr>
          <w:rFonts w:eastAsiaTheme="minorHAnsi"/>
          <w:noProof/>
        </w:rPr>
        <w:t xml:space="preserve"> </w:t>
      </w:r>
    </w:p>
    <w:p w:rsidR="000279D6" w:rsidRPr="00587BAD" w:rsidRDefault="000279D6" w:rsidP="000279D6">
      <w:pPr>
        <w:rPr>
          <w:rFonts w:ascii="Arial" w:eastAsiaTheme="minorHAnsi" w:hAnsi="Arial" w:cs="Arial"/>
          <w:highlight w:val="yellow"/>
        </w:rPr>
      </w:pPr>
      <w:r w:rsidRPr="00587BAD">
        <w:rPr>
          <w:rFonts w:eastAsiaTheme="minorHAnsi"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Pr="005F4EFB" w:rsidRDefault="000279D6" w:rsidP="000279D6">
      <w:pPr>
        <w:spacing w:after="0"/>
        <w:rPr>
          <w:rFonts w:ascii="Arial" w:eastAsiaTheme="minorHAnsi" w:hAnsi="Arial" w:cs="Arial"/>
        </w:rPr>
      </w:pPr>
      <w:r w:rsidRPr="005F4EFB">
        <w:rPr>
          <w:rFonts w:ascii="Arial" w:eastAsiaTheme="minorHAnsi" w:hAnsi="Arial" w:cs="Arial"/>
        </w:rPr>
        <w:t>Az anyagjellegű ráfordítások összege 2012-ben 87 331 e Ft, mely az előző évinek a 88 %-a. Igen jelentős mértékben csökkentette az igénybevett szolgáltatásokat.</w:t>
      </w:r>
    </w:p>
    <w:p w:rsidR="000279D6" w:rsidRPr="00587BAD" w:rsidRDefault="000279D6" w:rsidP="000279D6">
      <w:pPr>
        <w:spacing w:after="0"/>
        <w:rPr>
          <w:rFonts w:ascii="Arial" w:eastAsiaTheme="minorHAnsi" w:hAnsi="Arial" w:cs="Arial"/>
          <w:highlight w:val="yellow"/>
        </w:rPr>
      </w:pPr>
    </w:p>
    <w:p w:rsidR="000279D6" w:rsidRPr="00587BAD" w:rsidRDefault="000279D6" w:rsidP="000279D6">
      <w:pPr>
        <w:rPr>
          <w:rFonts w:ascii="Arial" w:eastAsiaTheme="minorHAnsi" w:hAnsi="Arial" w:cs="Arial"/>
          <w:b/>
        </w:rPr>
      </w:pPr>
      <w:r w:rsidRPr="00587BAD">
        <w:rPr>
          <w:rFonts w:ascii="Arial" w:eastAsiaTheme="minorHAnsi" w:hAnsi="Arial" w:cs="Arial"/>
          <w:b/>
        </w:rPr>
        <w:t>A személyi jellegű ráfordítások megoszlása:</w:t>
      </w:r>
      <w:r w:rsidRPr="00827404">
        <w:rPr>
          <w:rFonts w:ascii="Arial" w:eastAsiaTheme="minorHAnsi" w:hAnsi="Arial" w:cs="Arial"/>
          <w:b/>
          <w:noProof/>
        </w:rPr>
        <w:t xml:space="preserve"> </w:t>
      </w:r>
      <w:r w:rsidRPr="00587BAD">
        <w:rPr>
          <w:rFonts w:ascii="Arial" w:eastAsiaTheme="minorHAnsi" w:hAnsi="Arial" w:cs="Arial"/>
          <w:b/>
          <w:noProof/>
          <w:lang w:eastAsia="hu-HU"/>
        </w:rPr>
        <w:drawing>
          <wp:inline distT="0" distB="0" distL="0" distR="0">
            <wp:extent cx="5760720" cy="3620373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Pr="005F4EFB" w:rsidRDefault="000279D6" w:rsidP="00E73D27">
      <w:pPr>
        <w:spacing w:after="0"/>
        <w:jc w:val="both"/>
        <w:rPr>
          <w:rFonts w:ascii="Arial" w:eastAsiaTheme="minorHAnsi" w:hAnsi="Arial" w:cs="Arial"/>
        </w:rPr>
      </w:pPr>
      <w:r w:rsidRPr="005F4EFB">
        <w:rPr>
          <w:rFonts w:ascii="Arial" w:eastAsiaTheme="minorHAnsi" w:hAnsi="Arial" w:cs="Arial"/>
        </w:rPr>
        <w:t xml:space="preserve">Az 2012. évi személyi ráfordítások összege 81 059 e Ft volt (4,8 M Ft-tal alacsonyabb, mint 2011-ben). A személyi ráfordítások összege az összes üzemi/üzleti ráfordításon belül 40 %. </w:t>
      </w:r>
    </w:p>
    <w:p w:rsidR="000279D6" w:rsidRPr="005F4EFB" w:rsidRDefault="000279D6" w:rsidP="00E73D27">
      <w:pPr>
        <w:spacing w:after="0"/>
        <w:jc w:val="both"/>
        <w:rPr>
          <w:rFonts w:ascii="Arial" w:eastAsiaTheme="minorHAnsi" w:hAnsi="Arial" w:cs="Arial"/>
        </w:rPr>
      </w:pPr>
      <w:r w:rsidRPr="005F4EFB">
        <w:rPr>
          <w:rFonts w:ascii="Arial" w:eastAsiaTheme="minorHAnsi" w:hAnsi="Arial" w:cs="Arial"/>
        </w:rPr>
        <w:t>A bérköltség a személyi jellegű ráfordításokon belül 70 %-ot képvisel.</w:t>
      </w:r>
    </w:p>
    <w:p w:rsidR="000279D6" w:rsidRPr="005F4EFB" w:rsidRDefault="000279D6" w:rsidP="00E73D27">
      <w:pPr>
        <w:spacing w:after="0"/>
        <w:jc w:val="both"/>
        <w:rPr>
          <w:rFonts w:ascii="Arial" w:eastAsiaTheme="minorHAnsi" w:hAnsi="Arial" w:cs="Arial"/>
        </w:rPr>
      </w:pPr>
      <w:r w:rsidRPr="005F4EFB">
        <w:rPr>
          <w:rFonts w:ascii="Arial" w:eastAsiaTheme="minorHAnsi" w:hAnsi="Arial" w:cs="Arial"/>
        </w:rPr>
        <w:t>A társaság átlagos statisztikai létszáma: 17 fő.</w:t>
      </w:r>
    </w:p>
    <w:p w:rsidR="000279D6" w:rsidRPr="005F4EFB" w:rsidRDefault="000279D6" w:rsidP="000279D6">
      <w:pPr>
        <w:rPr>
          <w:rFonts w:ascii="Arial" w:eastAsiaTheme="minorHAnsi" w:hAnsi="Arial" w:cs="Arial"/>
        </w:rPr>
      </w:pPr>
    </w:p>
    <w:p w:rsidR="000279D6" w:rsidRPr="00587BAD" w:rsidRDefault="000279D6" w:rsidP="000279D6">
      <w:pPr>
        <w:keepNext/>
        <w:rPr>
          <w:rFonts w:ascii="Arial" w:eastAsiaTheme="minorHAnsi" w:hAnsi="Arial" w:cs="Arial"/>
          <w:b/>
        </w:rPr>
      </w:pPr>
      <w:r w:rsidRPr="00587BAD">
        <w:rPr>
          <w:rFonts w:ascii="Arial" w:eastAsiaTheme="minorHAnsi" w:hAnsi="Arial" w:cs="Arial"/>
          <w:b/>
        </w:rPr>
        <w:t>Eszköz és forrás szerkezet, finanszírozás</w:t>
      </w:r>
    </w:p>
    <w:p w:rsidR="000279D6" w:rsidRPr="00587BAD" w:rsidRDefault="000279D6" w:rsidP="000279D6">
      <w:pPr>
        <w:rPr>
          <w:rFonts w:ascii="Arial" w:eastAsiaTheme="minorHAnsi" w:hAnsi="Arial" w:cs="Arial"/>
          <w:b/>
          <w:noProof/>
          <w:highlight w:val="yellow"/>
        </w:rPr>
      </w:pPr>
      <w:r w:rsidRPr="00587BAD">
        <w:rPr>
          <w:rFonts w:ascii="Arial" w:eastAsiaTheme="minorHAnsi" w:hAnsi="Arial" w:cs="Arial"/>
          <w:b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Pr="00A37146" w:rsidRDefault="000279D6" w:rsidP="000279D6">
      <w:pPr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 xml:space="preserve">2012. év végén a mérlegben a forgóeszközök (+aktív időbeli elhatárolások) értéke 41,6 M Ft, aránya 52 % volt, a folyó források értéke 28,9 M Ft, aránya 36 %. A nettó forgótőke értéke 12,6 </w:t>
      </w:r>
      <w:r w:rsidRPr="00A37146">
        <w:rPr>
          <w:rFonts w:ascii="Arial" w:eastAsiaTheme="minorHAnsi" w:hAnsi="Arial" w:cs="Arial"/>
        </w:rPr>
        <w:br/>
        <w:t>M Ft, mely a forgóeszközök és a folyó források különbözete. A nettó forgótőke a forgóeszközök fedezeti tőkével finanszírozott része.</w:t>
      </w:r>
    </w:p>
    <w:p w:rsidR="000279D6" w:rsidRPr="00587BAD" w:rsidRDefault="000279D6" w:rsidP="000279D6">
      <w:pPr>
        <w:rPr>
          <w:rFonts w:ascii="Arial" w:eastAsiaTheme="minorHAnsi" w:hAnsi="Arial" w:cs="Arial"/>
          <w:b/>
          <w:highlight w:val="yellow"/>
        </w:rPr>
      </w:pPr>
    </w:p>
    <w:p w:rsidR="000279D6" w:rsidRPr="00587BAD" w:rsidRDefault="000279D6" w:rsidP="000279D6">
      <w:pPr>
        <w:rPr>
          <w:rFonts w:ascii="Arial" w:eastAsiaTheme="minorHAnsi" w:hAnsi="Arial" w:cs="Arial"/>
          <w:b/>
          <w:highlight w:val="yellow"/>
        </w:rPr>
      </w:pPr>
      <w:r w:rsidRPr="00587BAD">
        <w:rPr>
          <w:rFonts w:ascii="Arial" w:eastAsiaTheme="minorHAnsi" w:hAnsi="Arial" w:cs="Arial"/>
          <w:b/>
          <w:noProof/>
          <w:lang w:eastAsia="hu-HU"/>
        </w:rPr>
        <w:drawing>
          <wp:inline distT="0" distB="0" distL="0" distR="0">
            <wp:extent cx="3810000" cy="2857500"/>
            <wp:effectExtent l="1905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sz w:val="20"/>
          <w:szCs w:val="20"/>
        </w:rPr>
        <w:t>Az ábra adatainak értelmezése: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  <w:highlight w:val="yellow"/>
        </w:rPr>
      </w:pP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b/>
          <w:sz w:val="20"/>
          <w:szCs w:val="20"/>
        </w:rPr>
        <w:t>A fedezeti tőke tartalma</w:t>
      </w:r>
      <w:r w:rsidRPr="000279D6">
        <w:rPr>
          <w:rFonts w:ascii="Arial" w:eastAsiaTheme="minorHAnsi" w:hAnsi="Arial" w:cs="Arial"/>
          <w:sz w:val="20"/>
          <w:szCs w:val="20"/>
        </w:rPr>
        <w:t xml:space="preserve">: 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sz w:val="20"/>
          <w:szCs w:val="20"/>
        </w:rPr>
        <w:t>Saját tőke + hátrasorolt kötelezettségek + halasztott bevételek (Passzív időbeli elhatárolásból)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b/>
          <w:sz w:val="20"/>
          <w:szCs w:val="20"/>
        </w:rPr>
        <w:t>Folyó források tartalma</w:t>
      </w:r>
      <w:r w:rsidRPr="000279D6">
        <w:rPr>
          <w:rFonts w:ascii="Arial" w:eastAsiaTheme="minorHAnsi" w:hAnsi="Arial" w:cs="Arial"/>
          <w:sz w:val="20"/>
          <w:szCs w:val="20"/>
        </w:rPr>
        <w:t>: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sz w:val="20"/>
          <w:szCs w:val="20"/>
        </w:rPr>
        <w:t xml:space="preserve">Rövid lejáratú kötelezettségek + céltartalékok + bevételek passzív időbeli elhatárolása + költségek passzív időbeli elhatárolása 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b/>
          <w:sz w:val="20"/>
          <w:szCs w:val="20"/>
        </w:rPr>
        <w:t>Tartós források tartalma</w:t>
      </w:r>
      <w:r w:rsidRPr="000279D6">
        <w:rPr>
          <w:rFonts w:ascii="Arial" w:eastAsiaTheme="minorHAnsi" w:hAnsi="Arial" w:cs="Arial"/>
          <w:sz w:val="20"/>
          <w:szCs w:val="20"/>
        </w:rPr>
        <w:t>: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sz w:val="20"/>
          <w:szCs w:val="20"/>
        </w:rPr>
        <w:t>Fedezeti tőke + hosszú lejáratú kötelezettségek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0279D6">
        <w:rPr>
          <w:rFonts w:ascii="Arial" w:eastAsiaTheme="minorHAnsi" w:hAnsi="Arial" w:cs="Arial"/>
          <w:b/>
          <w:sz w:val="20"/>
          <w:szCs w:val="20"/>
        </w:rPr>
        <w:t>Forgóeszközök tartalma: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sz w:val="20"/>
          <w:szCs w:val="20"/>
        </w:rPr>
        <w:t>Forgóeszközök + aktív időbeli elhatárolások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0279D6">
        <w:rPr>
          <w:rFonts w:ascii="Arial" w:eastAsiaTheme="minorHAnsi" w:hAnsi="Arial" w:cs="Arial"/>
          <w:b/>
          <w:sz w:val="20"/>
          <w:szCs w:val="20"/>
        </w:rPr>
        <w:t xml:space="preserve">Likviditási mutató: </w:t>
      </w:r>
    </w:p>
    <w:p w:rsidR="000279D6" w:rsidRPr="000279D6" w:rsidRDefault="000279D6" w:rsidP="000279D6">
      <w:pPr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0279D6">
        <w:rPr>
          <w:rFonts w:ascii="Arial" w:eastAsiaTheme="minorHAnsi" w:hAnsi="Arial" w:cs="Arial"/>
          <w:sz w:val="20"/>
          <w:szCs w:val="20"/>
        </w:rPr>
        <w:t xml:space="preserve">Forgóeszközök / Folyó források </w:t>
      </w:r>
    </w:p>
    <w:p w:rsidR="000279D6" w:rsidRPr="00587BAD" w:rsidRDefault="000279D6" w:rsidP="000279D6">
      <w:pPr>
        <w:contextualSpacing/>
        <w:jc w:val="both"/>
        <w:rPr>
          <w:rFonts w:ascii="Arial" w:eastAsiaTheme="minorHAnsi" w:hAnsi="Arial" w:cs="Arial"/>
          <w:highlight w:val="yellow"/>
        </w:rPr>
      </w:pPr>
    </w:p>
    <w:p w:rsidR="000279D6" w:rsidRPr="00A3714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>A Társaság fedezeti tőkéje – melyet a saját tőke és a halasztott bevételek alkotnak -, az összes forrás 64 %-át teszi ki.</w:t>
      </w:r>
    </w:p>
    <w:p w:rsidR="000279D6" w:rsidRPr="00A3714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 xml:space="preserve">Az 56 %-ból 48 % a Társaság befektetett eszközeit (a vagyon 48 %-a) finanszírozza, a fennmaradó 16 % pedig a forgóeszközök finanszírozását szolgálja. </w:t>
      </w:r>
    </w:p>
    <w:p w:rsidR="000279D6" w:rsidRPr="00587BAD" w:rsidRDefault="000279D6" w:rsidP="000279D6">
      <w:pPr>
        <w:keepNext/>
        <w:spacing w:before="120" w:after="240"/>
        <w:contextualSpacing/>
        <w:jc w:val="both"/>
        <w:rPr>
          <w:rFonts w:ascii="Arial" w:eastAsiaTheme="minorHAnsi" w:hAnsi="Arial" w:cs="Arial"/>
          <w:i/>
          <w:highlight w:val="yellow"/>
          <w:u w:val="single"/>
        </w:rPr>
      </w:pPr>
    </w:p>
    <w:p w:rsidR="000279D6" w:rsidRPr="00587BAD" w:rsidRDefault="000279D6" w:rsidP="000279D6">
      <w:pPr>
        <w:keepNext/>
        <w:spacing w:before="120" w:after="240"/>
        <w:contextualSpacing/>
        <w:jc w:val="both"/>
        <w:rPr>
          <w:rFonts w:ascii="Arial" w:eastAsiaTheme="minorHAnsi" w:hAnsi="Arial" w:cs="Arial"/>
          <w:i/>
          <w:u w:val="single"/>
        </w:rPr>
      </w:pPr>
      <w:r w:rsidRPr="00587BAD">
        <w:rPr>
          <w:rFonts w:ascii="Arial" w:eastAsiaTheme="minorHAnsi" w:hAnsi="Arial" w:cs="Arial"/>
          <w:i/>
          <w:u w:val="single"/>
        </w:rPr>
        <w:t>Az ábra tartalma alapján alkotott vélemény:</w:t>
      </w:r>
    </w:p>
    <w:p w:rsidR="000279D6" w:rsidRPr="00587BAD" w:rsidRDefault="000279D6" w:rsidP="000279D6">
      <w:pPr>
        <w:keepNext/>
        <w:contextualSpacing/>
        <w:jc w:val="both"/>
        <w:rPr>
          <w:rFonts w:ascii="Arial" w:eastAsiaTheme="minorHAnsi" w:hAnsi="Arial" w:cs="Arial"/>
          <w:highlight w:val="yellow"/>
        </w:rPr>
      </w:pPr>
    </w:p>
    <w:p w:rsidR="000279D6" w:rsidRPr="00A3714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 xml:space="preserve">A fedezeti tőke 100%-ban képes finanszírozni a befektetett eszközöket. </w:t>
      </w:r>
    </w:p>
    <w:p w:rsidR="000279D6" w:rsidRPr="00A3714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>Keresztbefinanszírozás (forgóeszközök finanszírozási többlete) nincs a Társaságnál.</w:t>
      </w:r>
    </w:p>
    <w:p w:rsidR="000279D6" w:rsidRPr="00A3714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 xml:space="preserve">Hosszú lejáratú kötelezettsége nincs a Társaságnak. </w:t>
      </w:r>
    </w:p>
    <w:p w:rsidR="000279D6" w:rsidRPr="00A3714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 xml:space="preserve">Az év végi állapotot tükröző 1,44 értékű teljes likviditási mutató jónak számít. </w:t>
      </w:r>
    </w:p>
    <w:p w:rsidR="000279D6" w:rsidRPr="00A3714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A37146">
        <w:rPr>
          <w:rFonts w:ascii="Arial" w:eastAsiaTheme="minorHAnsi" w:hAnsi="Arial" w:cs="Arial"/>
        </w:rPr>
        <w:t>Finanszírozási szempontból a társaság helyzete stabil.</w:t>
      </w:r>
    </w:p>
    <w:p w:rsidR="000279D6" w:rsidRPr="00587BAD" w:rsidRDefault="000279D6" w:rsidP="000279D6">
      <w:pPr>
        <w:rPr>
          <w:rFonts w:ascii="Arial" w:eastAsiaTheme="minorHAnsi" w:hAnsi="Arial" w:cs="Arial"/>
          <w:b/>
        </w:rPr>
      </w:pPr>
      <w:r w:rsidRPr="00587BAD">
        <w:rPr>
          <w:rFonts w:ascii="Arial" w:eastAsiaTheme="minorHAnsi" w:hAnsi="Arial" w:cs="Arial"/>
          <w:b/>
        </w:rPr>
        <w:t>Mérleg forrás összetétele, saját tőke változás</w:t>
      </w:r>
    </w:p>
    <w:p w:rsidR="000279D6" w:rsidRPr="00587BAD" w:rsidRDefault="000279D6" w:rsidP="000279D6">
      <w:pPr>
        <w:rPr>
          <w:rFonts w:ascii="Arial" w:eastAsiaTheme="minorHAnsi" w:hAnsi="Arial" w:cs="Arial"/>
          <w:b/>
          <w:highlight w:val="yellow"/>
        </w:rPr>
      </w:pPr>
      <w:r w:rsidRPr="00587BAD">
        <w:rPr>
          <w:rFonts w:ascii="Arial" w:eastAsiaTheme="minorHAnsi" w:hAnsi="Arial" w:cs="Arial"/>
          <w:b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Pr="007E4EE5" w:rsidRDefault="000279D6" w:rsidP="000279D6">
      <w:pPr>
        <w:jc w:val="both"/>
        <w:rPr>
          <w:rFonts w:ascii="Arial" w:eastAsiaTheme="minorHAnsi" w:hAnsi="Arial" w:cs="Arial"/>
        </w:rPr>
      </w:pPr>
      <w:r w:rsidRPr="007E4EE5">
        <w:rPr>
          <w:rFonts w:ascii="Arial" w:eastAsiaTheme="minorHAnsi" w:hAnsi="Arial" w:cs="Arial"/>
        </w:rPr>
        <w:t>A saját tőke értéke a 2011. évi 47 514 e Ft-ról 50 827 e Ft-ra növekedett, mely a 2012. évi mérleg szerinti nyereségből ered. A kissé megnövekedett forgóeszköz állomány finanszírozása az önfinanszírozási forrás (saját tőke) biztosított volt. A Társaság tőkeerőssége is javult.</w:t>
      </w:r>
    </w:p>
    <w:p w:rsidR="000279D6" w:rsidRDefault="000279D6" w:rsidP="000279D6">
      <w:pPr>
        <w:keepNext/>
        <w:spacing w:before="240" w:after="120"/>
        <w:contextualSpacing/>
        <w:jc w:val="both"/>
        <w:rPr>
          <w:rFonts w:ascii="Arial" w:eastAsiaTheme="minorHAnsi" w:hAnsi="Arial" w:cs="Arial"/>
          <w:b/>
          <w:sz w:val="26"/>
          <w:szCs w:val="26"/>
        </w:rPr>
      </w:pPr>
    </w:p>
    <w:p w:rsidR="000279D6" w:rsidRPr="00DC6435" w:rsidRDefault="000279D6" w:rsidP="000279D6">
      <w:pPr>
        <w:keepNext/>
        <w:spacing w:before="240" w:after="120"/>
        <w:contextualSpacing/>
        <w:jc w:val="both"/>
        <w:rPr>
          <w:rFonts w:ascii="Arial" w:eastAsiaTheme="minorHAnsi" w:hAnsi="Arial" w:cs="Arial"/>
          <w:b/>
        </w:rPr>
      </w:pPr>
      <w:r w:rsidRPr="00DC6435">
        <w:rPr>
          <w:rFonts w:ascii="Arial" w:eastAsiaTheme="minorHAnsi" w:hAnsi="Arial" w:cs="Arial"/>
          <w:b/>
        </w:rPr>
        <w:t>Biztonság és jövedelmezőségi minősítés</w:t>
      </w:r>
    </w:p>
    <w:p w:rsidR="000279D6" w:rsidRDefault="000279D6" w:rsidP="000279D6">
      <w:pPr>
        <w:rPr>
          <w:rFonts w:ascii="Arial" w:eastAsiaTheme="minorHAnsi" w:hAnsi="Arial" w:cs="Arial"/>
          <w:highlight w:val="yellow"/>
        </w:rPr>
      </w:pPr>
    </w:p>
    <w:p w:rsidR="000279D6" w:rsidRPr="00587BAD" w:rsidRDefault="000279D6" w:rsidP="000279D6">
      <w:pPr>
        <w:rPr>
          <w:rFonts w:ascii="Arial" w:eastAsiaTheme="minorHAnsi" w:hAnsi="Arial" w:cs="Arial"/>
          <w:highlight w:val="yellow"/>
        </w:rPr>
      </w:pPr>
      <w:r>
        <w:rPr>
          <w:noProof/>
          <w:lang w:eastAsia="hu-HU"/>
        </w:rPr>
        <w:drawing>
          <wp:inline distT="0" distB="0" distL="0" distR="0">
            <wp:extent cx="3790800" cy="2844000"/>
            <wp:effectExtent l="0" t="0" r="635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9D6" w:rsidRPr="0058396A" w:rsidRDefault="000279D6" w:rsidP="000279D6">
      <w:pPr>
        <w:keepNext/>
        <w:spacing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  <w:r w:rsidRPr="0058396A">
        <w:rPr>
          <w:rFonts w:ascii="Arial" w:eastAsiaTheme="minorHAnsi" w:hAnsi="Arial" w:cs="Arial"/>
          <w:sz w:val="20"/>
          <w:szCs w:val="20"/>
        </w:rPr>
        <w:t>Az ábra adatainak értelmezése:</w:t>
      </w:r>
    </w:p>
    <w:p w:rsidR="000279D6" w:rsidRPr="0058396A" w:rsidRDefault="000279D6" w:rsidP="000279D6">
      <w:pPr>
        <w:keepNext/>
        <w:spacing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:rsidR="000279D6" w:rsidRPr="0058396A" w:rsidRDefault="000279D6" w:rsidP="00E73D27">
      <w:pPr>
        <w:spacing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58396A">
        <w:rPr>
          <w:rFonts w:ascii="Arial" w:eastAsiaTheme="minorHAnsi" w:hAnsi="Arial" w:cs="Arial"/>
          <w:sz w:val="20"/>
          <w:szCs w:val="20"/>
        </w:rPr>
        <w:t>A vízszintes tengely a jövedelmezőség szerinti besorolást jeleníti meg egy 100-as skálán, a függőleges tengely pedig a biztonságot, vagyis kockázatviselő képességet.</w:t>
      </w:r>
    </w:p>
    <w:p w:rsidR="000279D6" w:rsidRPr="0058396A" w:rsidRDefault="000279D6" w:rsidP="00E73D27">
      <w:pPr>
        <w:spacing w:line="24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58396A">
        <w:rPr>
          <w:rFonts w:ascii="Arial" w:eastAsiaTheme="minorHAnsi" w:hAnsi="Arial" w:cs="Arial"/>
          <w:sz w:val="20"/>
          <w:szCs w:val="20"/>
        </w:rPr>
        <w:t>Az 1. pont a 2011. évi, a 2. pont a 2012. évi állapotot mutatja.</w:t>
      </w:r>
    </w:p>
    <w:p w:rsidR="000279D6" w:rsidRPr="004B0CF3" w:rsidRDefault="000279D6" w:rsidP="000279D6">
      <w:pPr>
        <w:spacing w:line="240" w:lineRule="auto"/>
        <w:contextualSpacing/>
        <w:rPr>
          <w:rFonts w:ascii="Arial" w:eastAsiaTheme="minorHAnsi" w:hAnsi="Arial" w:cs="Arial"/>
        </w:rPr>
      </w:pPr>
    </w:p>
    <w:p w:rsidR="000279D6" w:rsidRPr="004B0CF3" w:rsidRDefault="000279D6" w:rsidP="000279D6">
      <w:pPr>
        <w:keepNext/>
        <w:spacing w:before="120" w:after="240" w:line="240" w:lineRule="auto"/>
        <w:contextualSpacing/>
        <w:jc w:val="both"/>
        <w:rPr>
          <w:rFonts w:ascii="Arial" w:eastAsiaTheme="minorHAnsi" w:hAnsi="Arial" w:cs="Arial"/>
          <w:i/>
          <w:sz w:val="24"/>
          <w:szCs w:val="24"/>
          <w:u w:val="single"/>
        </w:rPr>
      </w:pPr>
      <w:r w:rsidRPr="004B0CF3">
        <w:rPr>
          <w:rFonts w:ascii="Arial" w:eastAsiaTheme="minorHAnsi" w:hAnsi="Arial" w:cs="Arial"/>
          <w:i/>
          <w:sz w:val="24"/>
          <w:szCs w:val="24"/>
          <w:u w:val="single"/>
        </w:rPr>
        <w:t>Az ábra tartalma alapján alkotott vélemény:</w:t>
      </w:r>
    </w:p>
    <w:p w:rsidR="000279D6" w:rsidRPr="002427C6" w:rsidRDefault="000279D6" w:rsidP="000279D6">
      <w:pPr>
        <w:spacing w:line="240" w:lineRule="auto"/>
        <w:contextualSpacing/>
        <w:rPr>
          <w:rFonts w:ascii="Arial" w:eastAsiaTheme="minorHAnsi" w:hAnsi="Arial" w:cs="Arial"/>
          <w:highlight w:val="yellow"/>
        </w:rPr>
      </w:pPr>
    </w:p>
    <w:p w:rsidR="000279D6" w:rsidRPr="004B0CF3" w:rsidRDefault="000279D6" w:rsidP="000279D6">
      <w:pPr>
        <w:spacing w:line="240" w:lineRule="auto"/>
        <w:contextualSpacing/>
        <w:jc w:val="both"/>
        <w:rPr>
          <w:rFonts w:ascii="Arial" w:eastAsiaTheme="minorHAnsi" w:hAnsi="Arial" w:cs="Arial"/>
        </w:rPr>
      </w:pPr>
      <w:r w:rsidRPr="004B0CF3">
        <w:rPr>
          <w:rFonts w:ascii="Arial" w:eastAsiaTheme="minorHAnsi" w:hAnsi="Arial" w:cs="Arial"/>
        </w:rPr>
        <w:t xml:space="preserve">A fenti ábra szerint a Társaság működését </w:t>
      </w:r>
      <w:r>
        <w:rPr>
          <w:rFonts w:ascii="Arial" w:eastAsiaTheme="minorHAnsi" w:hAnsi="Arial" w:cs="Arial"/>
        </w:rPr>
        <w:t>a kellő</w:t>
      </w:r>
      <w:r w:rsidRPr="004B0CF3">
        <w:rPr>
          <w:rFonts w:ascii="Arial" w:eastAsiaTheme="minorHAnsi" w:hAnsi="Arial" w:cs="Arial"/>
        </w:rPr>
        <w:t xml:space="preserve"> jövedelmezőség és </w:t>
      </w:r>
      <w:r>
        <w:rPr>
          <w:rFonts w:ascii="Arial" w:eastAsiaTheme="minorHAnsi" w:hAnsi="Arial" w:cs="Arial"/>
        </w:rPr>
        <w:t>magas</w:t>
      </w:r>
      <w:r w:rsidRPr="004B0CF3">
        <w:rPr>
          <w:rFonts w:ascii="Arial" w:eastAsiaTheme="minorHAnsi" w:hAnsi="Arial" w:cs="Arial"/>
        </w:rPr>
        <w:t xml:space="preserve"> biztonsági szint jellemzi. </w:t>
      </w:r>
    </w:p>
    <w:p w:rsidR="000279D6" w:rsidRPr="00587BAD" w:rsidRDefault="000279D6" w:rsidP="000779EE">
      <w:pPr>
        <w:spacing w:after="0"/>
        <w:rPr>
          <w:rFonts w:ascii="Arial" w:eastAsiaTheme="minorHAnsi" w:hAnsi="Arial" w:cs="Arial"/>
          <w:b/>
          <w:highlight w:val="yellow"/>
        </w:rPr>
      </w:pPr>
    </w:p>
    <w:p w:rsidR="000279D6" w:rsidRPr="00957EC2" w:rsidRDefault="000279D6" w:rsidP="000279D6">
      <w:pPr>
        <w:keepNext/>
        <w:spacing w:before="240" w:after="120"/>
        <w:contextualSpacing/>
        <w:jc w:val="both"/>
        <w:rPr>
          <w:rFonts w:ascii="Arial" w:hAnsi="Arial" w:cs="Arial"/>
          <w:b/>
        </w:rPr>
      </w:pPr>
      <w:r w:rsidRPr="00957EC2">
        <w:rPr>
          <w:rFonts w:ascii="Arial" w:hAnsi="Arial" w:cs="Arial"/>
          <w:b/>
        </w:rPr>
        <w:t>Ö</w:t>
      </w:r>
      <w:r w:rsidR="00957EC2" w:rsidRPr="00957EC2">
        <w:rPr>
          <w:rFonts w:ascii="Arial" w:hAnsi="Arial" w:cs="Arial"/>
          <w:b/>
        </w:rPr>
        <w:t>SSZEFOGLALÓ ÉRTÉKELÉS ÉS JAVASLAT</w:t>
      </w:r>
      <w:r w:rsidRPr="00957EC2">
        <w:rPr>
          <w:rFonts w:ascii="Arial" w:hAnsi="Arial" w:cs="Arial"/>
          <w:b/>
        </w:rPr>
        <w:t>:</w:t>
      </w:r>
    </w:p>
    <w:p w:rsidR="000279D6" w:rsidRPr="00D279BC" w:rsidRDefault="000279D6" w:rsidP="000779EE">
      <w:pPr>
        <w:keepNext/>
        <w:spacing w:after="0"/>
        <w:contextualSpacing/>
        <w:jc w:val="both"/>
        <w:rPr>
          <w:rFonts w:ascii="Arial" w:eastAsiaTheme="minorHAnsi" w:hAnsi="Arial" w:cs="Arial"/>
        </w:rPr>
      </w:pPr>
    </w:p>
    <w:p w:rsidR="000279D6" w:rsidRPr="00D279BC" w:rsidRDefault="000279D6" w:rsidP="000279D6">
      <w:pPr>
        <w:jc w:val="both"/>
        <w:rPr>
          <w:rFonts w:ascii="Arial" w:eastAsiaTheme="minorHAnsi" w:hAnsi="Arial" w:cs="Arial"/>
        </w:rPr>
      </w:pPr>
      <w:r w:rsidRPr="00D279BC">
        <w:rPr>
          <w:rFonts w:ascii="Arial" w:eastAsiaTheme="minorHAnsi" w:hAnsi="Arial" w:cs="Arial"/>
        </w:rPr>
        <w:t xml:space="preserve">A </w:t>
      </w:r>
      <w:r w:rsidRPr="00D279BC">
        <w:rPr>
          <w:rFonts w:ascii="Arial" w:hAnsi="Arial" w:cs="Arial"/>
          <w:b/>
          <w:sz w:val="24"/>
          <w:szCs w:val="24"/>
        </w:rPr>
        <w:t>FOK Fővárosi Oktatástechnológiai Központ Szolgáltató Közhasznú Nonprofit Kft</w:t>
      </w:r>
      <w:r w:rsidRPr="00D279BC">
        <w:rPr>
          <w:rFonts w:ascii="Arial" w:hAnsi="Arial" w:cs="Arial"/>
        </w:rPr>
        <w:t>.</w:t>
      </w:r>
      <w:r w:rsidRPr="00D279BC">
        <w:rPr>
          <w:rFonts w:ascii="Arial" w:eastAsiaTheme="minorHAnsi" w:hAnsi="Arial" w:cs="Arial"/>
        </w:rPr>
        <w:t xml:space="preserve"> 2012. évi éves beszámolója, a jogszabályok által előírt tartalommal és részletezettséggel mutatja be a Társaság 2012. évi teljesítményét. </w:t>
      </w:r>
    </w:p>
    <w:p w:rsidR="000279D6" w:rsidRPr="00D279BC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D279BC">
        <w:rPr>
          <w:rFonts w:ascii="Arial" w:eastAsiaTheme="minorHAnsi" w:hAnsi="Arial" w:cs="Arial"/>
        </w:rPr>
        <w:t xml:space="preserve">A könyvvizsgálói jelentés megállapítja, hogy az éves beszámoló megbízható és valós képet mutat a Társaság vagyoni, pénzügyi helyzetéről és a 2012. évi jövedelmi helyzetéről. </w:t>
      </w:r>
    </w:p>
    <w:p w:rsidR="000279D6" w:rsidRPr="00D279BC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D279BC">
        <w:rPr>
          <w:rFonts w:ascii="Arial" w:eastAsiaTheme="minorHAnsi" w:hAnsi="Arial" w:cs="Arial"/>
        </w:rPr>
        <w:t xml:space="preserve">Saját elemzésünk alapján megállapítottuk, hogy a Társaság tevékenysége, gazdálkodása 2012-ben stabil, költséggazdálkodása feszes. </w:t>
      </w:r>
    </w:p>
    <w:p w:rsidR="000279D6" w:rsidRPr="00D279BC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D279BC">
        <w:rPr>
          <w:rFonts w:ascii="Arial" w:eastAsiaTheme="minorHAnsi" w:hAnsi="Arial" w:cs="Arial"/>
        </w:rPr>
        <w:t xml:space="preserve">Figyelembe véve a Társaság éves beszámolójában bemutatott adatokat és azok értelmezését, a Társaság 2012. évi működését elfogadható jövedelmezőségi és magas biztonsági szint jellemzi. </w:t>
      </w:r>
    </w:p>
    <w:p w:rsidR="000279D6" w:rsidRPr="00D279BC" w:rsidRDefault="000279D6" w:rsidP="000279D6">
      <w:pPr>
        <w:contextualSpacing/>
        <w:jc w:val="both"/>
        <w:rPr>
          <w:rFonts w:ascii="Arial" w:eastAsiaTheme="minorHAnsi" w:hAnsi="Arial" w:cs="Arial"/>
        </w:rPr>
      </w:pPr>
    </w:p>
    <w:p w:rsidR="000279D6" w:rsidRDefault="000279D6" w:rsidP="000279D6">
      <w:pPr>
        <w:contextualSpacing/>
        <w:jc w:val="both"/>
        <w:rPr>
          <w:rFonts w:ascii="Arial" w:eastAsiaTheme="minorHAnsi" w:hAnsi="Arial" w:cs="Arial"/>
        </w:rPr>
      </w:pPr>
      <w:r w:rsidRPr="00D279BC">
        <w:rPr>
          <w:rFonts w:ascii="Arial" w:eastAsiaTheme="minorHAnsi" w:hAnsi="Arial" w:cs="Arial"/>
        </w:rPr>
        <w:t>A fentiek alapján a Társaság 2012. évi éves beszámolója elfogadását javasoljuk.</w:t>
      </w:r>
    </w:p>
    <w:p w:rsidR="007E508F" w:rsidRDefault="007E508F" w:rsidP="000779EE">
      <w:pPr>
        <w:spacing w:after="0"/>
        <w:contextualSpacing/>
        <w:jc w:val="both"/>
        <w:rPr>
          <w:rFonts w:ascii="Arial" w:eastAsiaTheme="minorHAnsi" w:hAnsi="Arial" w:cs="Arial"/>
        </w:rPr>
      </w:pPr>
    </w:p>
    <w:p w:rsidR="00E73D27" w:rsidRDefault="00E73D27" w:rsidP="000279D6">
      <w:pPr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 FOK Kft. 2012. évi számviteli beszámolóját szakmai véleményezés céljából megküldtük a Köznevelési és Ifjúsági Feladatokat Koordináló Főosztálynak. A Főosztály álláspontja szerint a beszámoló megfelel a számvitelről szóló 2000. évi C. törvény, illetve a civil szervezetek gazdálkodása, az adománygyűjtés és a közhasznúság egyes kérdéseiről szóló 350/2011. (XII.3</w:t>
      </w:r>
      <w:r w:rsidR="00336701">
        <w:rPr>
          <w:rFonts w:ascii="Arial" w:eastAsiaTheme="minorHAnsi" w:hAnsi="Arial" w:cs="Arial"/>
        </w:rPr>
        <w:t xml:space="preserve">0.) Korm. rendelet előírásainak. A Köznevelési és Ifjúsági Feladatokat Koordináló Főosztály szakmai állásfoglalása az előterjesztés </w:t>
      </w:r>
      <w:r w:rsidR="006C75BF">
        <w:rPr>
          <w:rFonts w:ascii="Arial" w:eastAsiaTheme="minorHAnsi" w:hAnsi="Arial" w:cs="Arial"/>
          <w:b/>
        </w:rPr>
        <w:t>3</w:t>
      </w:r>
      <w:r w:rsidR="00336701" w:rsidRPr="00336701">
        <w:rPr>
          <w:rFonts w:ascii="Arial" w:eastAsiaTheme="minorHAnsi" w:hAnsi="Arial" w:cs="Arial"/>
          <w:b/>
        </w:rPr>
        <w:t>. számú melléklet</w:t>
      </w:r>
      <w:r w:rsidR="00336701">
        <w:rPr>
          <w:rFonts w:ascii="Arial" w:eastAsiaTheme="minorHAnsi" w:hAnsi="Arial" w:cs="Arial"/>
        </w:rPr>
        <w:t>ét képezi.</w:t>
      </w:r>
    </w:p>
    <w:p w:rsidR="00E1539B" w:rsidRDefault="00E1539B" w:rsidP="000279D6">
      <w:pPr>
        <w:contextualSpacing/>
        <w:jc w:val="both"/>
        <w:rPr>
          <w:rFonts w:ascii="Arial" w:eastAsiaTheme="minorHAnsi" w:hAnsi="Arial" w:cs="Arial"/>
        </w:rPr>
      </w:pPr>
    </w:p>
    <w:p w:rsidR="006C75BF" w:rsidRDefault="006C75BF" w:rsidP="006C75B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C75BF">
        <w:rPr>
          <w:rFonts w:ascii="Arial" w:hAnsi="Arial" w:cs="Arial"/>
        </w:rPr>
        <w:t xml:space="preserve">FOK Fővárosi Oktatástechnológiai Központ Szolgáltató Közhasznú Nonprofit Kft. </w:t>
      </w:r>
      <w:r>
        <w:rPr>
          <w:rFonts w:ascii="Arial" w:hAnsi="Arial" w:cs="Arial"/>
        </w:rPr>
        <w:t>2</w:t>
      </w:r>
      <w:r w:rsidRPr="006C75BF">
        <w:rPr>
          <w:rFonts w:ascii="Arial" w:hAnsi="Arial" w:cs="Arial"/>
        </w:rPr>
        <w:t>012.</w:t>
      </w:r>
      <w:r>
        <w:rPr>
          <w:rFonts w:ascii="Arial" w:hAnsi="Arial" w:cs="Arial"/>
        </w:rPr>
        <w:t xml:space="preserve"> évi </w:t>
      </w:r>
      <w:r w:rsidR="00E1539B">
        <w:rPr>
          <w:rFonts w:ascii="Arial" w:hAnsi="Arial" w:cs="Arial"/>
        </w:rPr>
        <w:t xml:space="preserve">éves </w:t>
      </w:r>
      <w:r>
        <w:rPr>
          <w:rFonts w:ascii="Arial" w:hAnsi="Arial" w:cs="Arial"/>
        </w:rPr>
        <w:t>beszámolóját a Gazdasági Bizottság 2013. május 7-i</w:t>
      </w:r>
      <w:r w:rsidR="004020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Pénzügyi Ellenőrző Bizottság 2013. május 14</w:t>
      </w:r>
      <w:r w:rsidR="0040209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i </w:t>
      </w:r>
      <w:r w:rsidR="00442A93">
        <w:rPr>
          <w:rFonts w:ascii="Arial" w:hAnsi="Arial" w:cs="Arial"/>
        </w:rPr>
        <w:t>ülései</w:t>
      </w:r>
      <w:r>
        <w:rPr>
          <w:rFonts w:ascii="Arial" w:hAnsi="Arial" w:cs="Arial"/>
        </w:rPr>
        <w:t>n megtárgyalta és a Fővárosi Közgyűlés általi elfogadását javasolta.</w:t>
      </w:r>
    </w:p>
    <w:p w:rsidR="0040296F" w:rsidRDefault="0040296F" w:rsidP="000779EE">
      <w:pPr>
        <w:spacing w:after="0"/>
        <w:contextualSpacing/>
        <w:jc w:val="both"/>
        <w:rPr>
          <w:rFonts w:ascii="Arial" w:eastAsiaTheme="minorHAnsi" w:hAnsi="Arial" w:cs="Arial"/>
        </w:rPr>
      </w:pPr>
    </w:p>
    <w:p w:rsidR="007E508F" w:rsidRDefault="007E508F" w:rsidP="007E508F">
      <w:pPr>
        <w:pStyle w:val="BPszvegtest"/>
        <w:spacing w:after="0" w:line="240" w:lineRule="auto"/>
      </w:pPr>
      <w:r>
        <w:t>A fentiek alapján az alábbi határozati javaslatokat terjesztjük a Tisztelt Közgyűlés elé:</w:t>
      </w:r>
    </w:p>
    <w:p w:rsidR="009B1D54" w:rsidRDefault="009B1D54" w:rsidP="009B1D54">
      <w:pPr>
        <w:pStyle w:val="BPhatrozatijavaslat"/>
      </w:pPr>
      <w:r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5955EB" w:rsidRPr="00BC750D" w:rsidRDefault="005955EB" w:rsidP="005955E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75686E">
        <w:rPr>
          <w:rFonts w:ascii="Arial" w:hAnsi="Arial" w:cs="Arial"/>
          <w:lang w:eastAsia="hu-HU"/>
        </w:rPr>
        <w:t xml:space="preserve">Budapest Főváros Önkormányzata vagyonáról, a vagyonelemek feletti tulajdonosi jogok gyakorlásáról szóló 22/2012. (III.14.) Főv. Kgy. számú rendelet 56. §-ának (1) bekezdésében foglalt hatáskörében eljárva a Fővárosi Közgyűlés – a </w:t>
      </w:r>
      <w:r w:rsidRPr="008B0B2E">
        <w:rPr>
          <w:rFonts w:ascii="Arial" w:hAnsi="Arial" w:cs="Arial"/>
          <w:b/>
        </w:rPr>
        <w:t>FOK</w:t>
      </w:r>
      <w:r>
        <w:rPr>
          <w:rFonts w:ascii="Arial" w:hAnsi="Arial" w:cs="Arial"/>
          <w:b/>
        </w:rPr>
        <w:t xml:space="preserve"> Fővárosi Oktatástechnológia Központ Szolgáltató Közhasznú </w:t>
      </w:r>
      <w:r w:rsidRPr="008B0B2E">
        <w:rPr>
          <w:rFonts w:ascii="Arial" w:hAnsi="Arial" w:cs="Arial"/>
          <w:b/>
        </w:rPr>
        <w:t>Nonprofit Kft.</w:t>
      </w:r>
      <w:r w:rsidRPr="0075686E">
        <w:rPr>
          <w:rFonts w:ascii="Arial" w:hAnsi="Arial" w:cs="Arial"/>
          <w:lang w:eastAsia="hu-HU"/>
        </w:rPr>
        <w:t xml:space="preserve"> legfőbb szerveként eljárva - úgy dönt, hogy:</w:t>
      </w:r>
      <w:r w:rsidRPr="00BC750D">
        <w:rPr>
          <w:rFonts w:ascii="Arial" w:hAnsi="Arial" w:cs="Arial"/>
        </w:rPr>
        <w:t xml:space="preserve"> </w:t>
      </w:r>
    </w:p>
    <w:p w:rsidR="005955EB" w:rsidRDefault="005955EB" w:rsidP="005955EB">
      <w:pPr>
        <w:spacing w:after="80" w:line="24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Elfogadja az ügyvezető</w:t>
      </w:r>
      <w:r w:rsidRPr="00886EC6">
        <w:rPr>
          <w:rFonts w:ascii="Arial" w:hAnsi="Arial" w:cs="Arial"/>
        </w:rPr>
        <w:t xml:space="preserve"> által a társaság 20</w:t>
      </w:r>
      <w:r>
        <w:rPr>
          <w:rFonts w:ascii="Arial" w:hAnsi="Arial" w:cs="Arial"/>
        </w:rPr>
        <w:t>12</w:t>
      </w:r>
      <w:r w:rsidRPr="00886EC6">
        <w:rPr>
          <w:rFonts w:ascii="Arial" w:hAnsi="Arial" w:cs="Arial"/>
        </w:rPr>
        <w:t>. évi tevékenységéről kész</w:t>
      </w:r>
      <w:r>
        <w:rPr>
          <w:rFonts w:ascii="Arial" w:hAnsi="Arial" w:cs="Arial"/>
        </w:rPr>
        <w:t>ített</w:t>
      </w:r>
      <w:r w:rsidRPr="00886E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közhasznúsági </w:t>
      </w:r>
      <w:r w:rsidRPr="00886EC6">
        <w:rPr>
          <w:rFonts w:ascii="Arial" w:hAnsi="Arial" w:cs="Arial"/>
        </w:rPr>
        <w:t>jelentést.</w:t>
      </w:r>
      <w:r>
        <w:rPr>
          <w:rFonts w:ascii="Arial" w:hAnsi="Arial" w:cs="Arial"/>
        </w:rPr>
        <w:t xml:space="preserve"> </w:t>
      </w:r>
    </w:p>
    <w:p w:rsidR="00D62325" w:rsidRDefault="005955EB" w:rsidP="005955EB">
      <w:pPr>
        <w:spacing w:after="80" w:line="24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 </w:t>
      </w:r>
      <w:r w:rsidR="00D62325" w:rsidRPr="00155F93">
        <w:rPr>
          <w:rFonts w:ascii="Arial" w:hAnsi="Arial" w:cs="Arial"/>
        </w:rPr>
        <w:t xml:space="preserve">Elfogadja a társaság </w:t>
      </w:r>
      <w:r w:rsidR="00D62325">
        <w:rPr>
          <w:rFonts w:ascii="Arial" w:hAnsi="Arial" w:cs="Arial"/>
        </w:rPr>
        <w:t>felügyelőbizottságának jelentését a társaság 2012</w:t>
      </w:r>
      <w:r w:rsidR="00D62325" w:rsidRPr="00155F93">
        <w:rPr>
          <w:rFonts w:ascii="Arial" w:hAnsi="Arial" w:cs="Arial"/>
        </w:rPr>
        <w:t xml:space="preserve">. évi közhasznú beszámolójáról. </w:t>
      </w:r>
    </w:p>
    <w:p w:rsidR="005955EB" w:rsidRPr="00155F93" w:rsidRDefault="00D62325" w:rsidP="00D62325">
      <w:pPr>
        <w:spacing w:after="80" w:line="24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5955EB" w:rsidRPr="00BC750D">
        <w:rPr>
          <w:rFonts w:ascii="Arial" w:hAnsi="Arial" w:cs="Arial"/>
        </w:rPr>
        <w:t xml:space="preserve">Elfogadja a társaság könyvvizsgálójának </w:t>
      </w:r>
      <w:r w:rsidR="005955EB" w:rsidRPr="00991CF8">
        <w:rPr>
          <w:rFonts w:ascii="Arial" w:hAnsi="Arial" w:cs="Arial"/>
        </w:rPr>
        <w:t xml:space="preserve">(MONETA Könyvvizsgáló és Adótanácsadó </w:t>
      </w:r>
      <w:r w:rsidR="005955EB">
        <w:rPr>
          <w:rFonts w:ascii="Arial" w:hAnsi="Arial" w:cs="Arial"/>
        </w:rPr>
        <w:t xml:space="preserve">  </w:t>
      </w:r>
      <w:r w:rsidR="005955EB" w:rsidRPr="00991CF8">
        <w:rPr>
          <w:rFonts w:ascii="Arial" w:hAnsi="Arial" w:cs="Arial"/>
        </w:rPr>
        <w:t>Kft., nyilvántartásba vételi szám: 000233, Tóth József kamarai tag könyvvizsgáló, kamarai igazolvány szám: 002555)</w:t>
      </w:r>
      <w:r w:rsidR="005955EB">
        <w:rPr>
          <w:rFonts w:ascii="Arial" w:hAnsi="Arial" w:cs="Arial"/>
        </w:rPr>
        <w:t xml:space="preserve">, </w:t>
      </w:r>
      <w:r w:rsidR="005955EB" w:rsidRPr="00BC750D">
        <w:rPr>
          <w:rFonts w:ascii="Arial" w:hAnsi="Arial" w:cs="Arial"/>
        </w:rPr>
        <w:t xml:space="preserve">jelentését </w:t>
      </w:r>
      <w:r w:rsidR="005955EB" w:rsidRPr="00886EC6">
        <w:rPr>
          <w:rFonts w:ascii="Arial" w:hAnsi="Arial" w:cs="Arial"/>
        </w:rPr>
        <w:t>a társaság 20</w:t>
      </w:r>
      <w:r w:rsidR="005955EB">
        <w:rPr>
          <w:rFonts w:ascii="Arial" w:hAnsi="Arial" w:cs="Arial"/>
        </w:rPr>
        <w:t>12</w:t>
      </w:r>
      <w:r w:rsidR="005955EB" w:rsidRPr="00886EC6">
        <w:rPr>
          <w:rFonts w:ascii="Arial" w:hAnsi="Arial" w:cs="Arial"/>
        </w:rPr>
        <w:t>. évi beszámolójáról</w:t>
      </w:r>
      <w:r w:rsidR="005955EB" w:rsidRPr="00BC750D">
        <w:rPr>
          <w:rFonts w:ascii="Arial" w:hAnsi="Arial" w:cs="Arial"/>
        </w:rPr>
        <w:t>.</w:t>
      </w:r>
    </w:p>
    <w:p w:rsidR="005955EB" w:rsidRDefault="005955EB" w:rsidP="005955EB">
      <w:pPr>
        <w:spacing w:after="80" w:line="24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6F3354">
        <w:rPr>
          <w:rFonts w:ascii="Arial" w:hAnsi="Arial" w:cs="Arial"/>
        </w:rPr>
        <w:t xml:space="preserve">Elfogadja </w:t>
      </w:r>
      <w:r>
        <w:rPr>
          <w:rFonts w:ascii="Arial" w:hAnsi="Arial" w:cs="Arial"/>
        </w:rPr>
        <w:t>az ügyvezető által készített,</w:t>
      </w:r>
      <w:r w:rsidRPr="006F335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társaság 2012. üzleti évre vonatkozó</w:t>
      </w:r>
      <w:r w:rsidRPr="006F3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6F3354">
        <w:rPr>
          <w:rFonts w:ascii="Arial" w:hAnsi="Arial" w:cs="Arial"/>
        </w:rPr>
        <w:t xml:space="preserve">beszámolóját a következők szerint: </w:t>
      </w:r>
    </w:p>
    <w:p w:rsidR="005955EB" w:rsidRPr="0056295D" w:rsidRDefault="005955EB" w:rsidP="005955EB">
      <w:pPr>
        <w:spacing w:after="0" w:line="240" w:lineRule="auto"/>
        <w:ind w:left="851" w:hanging="567"/>
        <w:jc w:val="both"/>
        <w:rPr>
          <w:rFonts w:ascii="Arial" w:hAnsi="Arial" w:cs="Arial"/>
        </w:rPr>
      </w:pPr>
    </w:p>
    <w:tbl>
      <w:tblPr>
        <w:tblW w:w="68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66"/>
        <w:gridCol w:w="3238"/>
      </w:tblGrid>
      <w:tr w:rsidR="005955EB" w:rsidRPr="001E6FD1" w:rsidTr="00822610">
        <w:trPr>
          <w:trHeight w:val="170"/>
          <w:jc w:val="center"/>
        </w:trPr>
        <w:tc>
          <w:tcPr>
            <w:tcW w:w="3566" w:type="dxa"/>
            <w:tcBorders>
              <w:bottom w:val="single" w:sz="4" w:space="0" w:color="auto"/>
            </w:tcBorders>
            <w:vAlign w:val="center"/>
          </w:tcPr>
          <w:p w:rsidR="005955EB" w:rsidRPr="001E6FD1" w:rsidRDefault="00297029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5955EB" w:rsidRPr="001E6FD1">
              <w:rPr>
                <w:rFonts w:ascii="Arial" w:hAnsi="Arial" w:cs="Arial"/>
                <w:b/>
                <w:sz w:val="20"/>
                <w:szCs w:val="20"/>
              </w:rPr>
              <w:t>. december 31.</w:t>
            </w: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:rsidR="005955EB" w:rsidRPr="001E6FD1" w:rsidRDefault="005955EB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55EB" w:rsidRPr="008F780D" w:rsidTr="00822610">
        <w:trPr>
          <w:trHeight w:val="170"/>
          <w:jc w:val="center"/>
        </w:trPr>
        <w:tc>
          <w:tcPr>
            <w:tcW w:w="3566" w:type="dxa"/>
            <w:tcBorders>
              <w:top w:val="single" w:sz="4" w:space="0" w:color="auto"/>
            </w:tcBorders>
            <w:vAlign w:val="center"/>
          </w:tcPr>
          <w:p w:rsidR="005955EB" w:rsidRPr="001E6FD1" w:rsidRDefault="005955EB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Mérlegfőösszeg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5955EB" w:rsidRPr="001E6FD1" w:rsidRDefault="00297029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79 762</w:t>
            </w:r>
            <w:r w:rsidR="005955EB">
              <w:rPr>
                <w:rFonts w:ascii="Arial" w:hAnsi="Arial" w:cs="Arial"/>
                <w:sz w:val="20"/>
                <w:szCs w:val="20"/>
              </w:rPr>
              <w:t xml:space="preserve"> eFt</w:t>
            </w:r>
          </w:p>
        </w:tc>
      </w:tr>
      <w:tr w:rsidR="005955EB" w:rsidRPr="001E6FD1" w:rsidTr="00822610">
        <w:trPr>
          <w:trHeight w:val="170"/>
          <w:jc w:val="center"/>
        </w:trPr>
        <w:tc>
          <w:tcPr>
            <w:tcW w:w="3566" w:type="dxa"/>
            <w:vAlign w:val="center"/>
          </w:tcPr>
          <w:p w:rsidR="005955EB" w:rsidRPr="001E6FD1" w:rsidRDefault="005955EB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Saját tőke</w:t>
            </w:r>
          </w:p>
        </w:tc>
        <w:tc>
          <w:tcPr>
            <w:tcW w:w="3238" w:type="dxa"/>
          </w:tcPr>
          <w:p w:rsidR="005955EB" w:rsidRPr="001E6FD1" w:rsidRDefault="00297029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50 827</w:t>
            </w:r>
            <w:r w:rsidR="005955EB">
              <w:rPr>
                <w:rFonts w:ascii="Arial" w:hAnsi="Arial" w:cs="Arial"/>
                <w:sz w:val="20"/>
                <w:szCs w:val="20"/>
              </w:rPr>
              <w:t xml:space="preserve"> eFt</w:t>
            </w:r>
          </w:p>
        </w:tc>
      </w:tr>
      <w:tr w:rsidR="005955EB" w:rsidRPr="001E6FD1" w:rsidTr="00822610">
        <w:trPr>
          <w:trHeight w:val="170"/>
          <w:jc w:val="center"/>
        </w:trPr>
        <w:tc>
          <w:tcPr>
            <w:tcW w:w="3566" w:type="dxa"/>
            <w:vAlign w:val="center"/>
          </w:tcPr>
          <w:p w:rsidR="005955EB" w:rsidRPr="001E6FD1" w:rsidRDefault="005955EB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Jegyzett tőke</w:t>
            </w:r>
          </w:p>
        </w:tc>
        <w:tc>
          <w:tcPr>
            <w:tcW w:w="3238" w:type="dxa"/>
          </w:tcPr>
          <w:p w:rsidR="005955EB" w:rsidRPr="001E6FD1" w:rsidRDefault="005955EB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E6FD1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 xml:space="preserve"> eFt</w:t>
            </w:r>
          </w:p>
        </w:tc>
      </w:tr>
      <w:tr w:rsidR="005955EB" w:rsidRPr="001E6FD1" w:rsidTr="00822610">
        <w:trPr>
          <w:trHeight w:val="170"/>
          <w:jc w:val="center"/>
        </w:trPr>
        <w:tc>
          <w:tcPr>
            <w:tcW w:w="3566" w:type="dxa"/>
            <w:vAlign w:val="center"/>
          </w:tcPr>
          <w:p w:rsidR="005955EB" w:rsidRPr="001E6FD1" w:rsidRDefault="005955EB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Adózás előtti eredmény</w:t>
            </w:r>
          </w:p>
        </w:tc>
        <w:tc>
          <w:tcPr>
            <w:tcW w:w="3238" w:type="dxa"/>
          </w:tcPr>
          <w:p w:rsidR="005955EB" w:rsidRPr="001E6FD1" w:rsidRDefault="00297029" w:rsidP="0082261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3 313</w:t>
            </w:r>
            <w:r w:rsidR="005955EB">
              <w:rPr>
                <w:rFonts w:ascii="Arial" w:hAnsi="Arial" w:cs="Arial"/>
                <w:sz w:val="20"/>
                <w:szCs w:val="20"/>
              </w:rPr>
              <w:t xml:space="preserve"> eFt</w:t>
            </w:r>
          </w:p>
        </w:tc>
      </w:tr>
      <w:tr w:rsidR="005955EB" w:rsidRPr="001E6FD1" w:rsidTr="00822610">
        <w:trPr>
          <w:trHeight w:val="170"/>
          <w:jc w:val="center"/>
        </w:trPr>
        <w:tc>
          <w:tcPr>
            <w:tcW w:w="3566" w:type="dxa"/>
            <w:vAlign w:val="center"/>
          </w:tcPr>
          <w:p w:rsidR="005955EB" w:rsidRPr="001E6FD1" w:rsidRDefault="005955EB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Közhasznú eredmény</w:t>
            </w:r>
          </w:p>
        </w:tc>
        <w:tc>
          <w:tcPr>
            <w:tcW w:w="3238" w:type="dxa"/>
          </w:tcPr>
          <w:p w:rsidR="005955EB" w:rsidRPr="001E6FD1" w:rsidRDefault="00297029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3 313</w:t>
            </w:r>
            <w:r w:rsidR="005955EB">
              <w:rPr>
                <w:rFonts w:ascii="Arial" w:hAnsi="Arial" w:cs="Arial"/>
                <w:sz w:val="20"/>
                <w:szCs w:val="20"/>
              </w:rPr>
              <w:t xml:space="preserve"> eFt</w:t>
            </w:r>
          </w:p>
        </w:tc>
      </w:tr>
      <w:tr w:rsidR="005955EB" w:rsidRPr="001E6FD1" w:rsidTr="00822610">
        <w:trPr>
          <w:trHeight w:val="170"/>
          <w:jc w:val="center"/>
        </w:trPr>
        <w:tc>
          <w:tcPr>
            <w:tcW w:w="3566" w:type="dxa"/>
            <w:vAlign w:val="center"/>
          </w:tcPr>
          <w:p w:rsidR="005955EB" w:rsidRPr="001E6FD1" w:rsidRDefault="005955EB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Vállalkozási eredmény</w:t>
            </w:r>
          </w:p>
        </w:tc>
        <w:tc>
          <w:tcPr>
            <w:tcW w:w="3238" w:type="dxa"/>
          </w:tcPr>
          <w:p w:rsidR="005955EB" w:rsidRPr="001E6FD1" w:rsidRDefault="005955EB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955EB" w:rsidRPr="001E6FD1" w:rsidTr="00822610">
        <w:trPr>
          <w:trHeight w:val="170"/>
          <w:jc w:val="center"/>
        </w:trPr>
        <w:tc>
          <w:tcPr>
            <w:tcW w:w="3566" w:type="dxa"/>
            <w:vAlign w:val="center"/>
          </w:tcPr>
          <w:p w:rsidR="005955EB" w:rsidRPr="001E6FD1" w:rsidRDefault="005955EB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E6FD1">
              <w:rPr>
                <w:rFonts w:ascii="Arial" w:hAnsi="Arial" w:cs="Arial"/>
                <w:sz w:val="20"/>
                <w:szCs w:val="20"/>
              </w:rPr>
              <w:t>Mérleg szerinti eredmény</w:t>
            </w:r>
          </w:p>
        </w:tc>
        <w:tc>
          <w:tcPr>
            <w:tcW w:w="3238" w:type="dxa"/>
          </w:tcPr>
          <w:p w:rsidR="005955EB" w:rsidRPr="001E6FD1" w:rsidRDefault="00297029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3 313 eFt</w:t>
            </w:r>
          </w:p>
        </w:tc>
      </w:tr>
      <w:tr w:rsidR="005955EB" w:rsidRPr="001E6FD1" w:rsidTr="00822610">
        <w:trPr>
          <w:trHeight w:val="170"/>
          <w:jc w:val="center"/>
        </w:trPr>
        <w:tc>
          <w:tcPr>
            <w:tcW w:w="3566" w:type="dxa"/>
            <w:vAlign w:val="center"/>
          </w:tcPr>
          <w:p w:rsidR="005955EB" w:rsidRPr="001E6FD1" w:rsidRDefault="005955EB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5955EB" w:rsidRPr="001E6FD1" w:rsidRDefault="005955EB" w:rsidP="008226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567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55EB" w:rsidRDefault="005955EB" w:rsidP="005955EB">
      <w:pPr>
        <w:spacing w:after="80" w:line="240" w:lineRule="auto"/>
        <w:ind w:left="851" w:hanging="567"/>
        <w:jc w:val="both"/>
        <w:rPr>
          <w:rFonts w:ascii="Arial" w:hAnsi="Arial" w:cs="Arial"/>
        </w:rPr>
      </w:pPr>
    </w:p>
    <w:p w:rsidR="005955EB" w:rsidRDefault="005955EB" w:rsidP="005955EB">
      <w:pPr>
        <w:spacing w:after="80" w:line="24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  </w:t>
      </w:r>
      <w:r w:rsidR="00297029">
        <w:rPr>
          <w:rFonts w:ascii="Arial" w:hAnsi="Arial" w:cs="Arial"/>
        </w:rPr>
        <w:t>A 2012</w:t>
      </w:r>
      <w:r w:rsidRPr="003001BA">
        <w:rPr>
          <w:rFonts w:ascii="Arial" w:hAnsi="Arial" w:cs="Arial"/>
        </w:rPr>
        <w:t xml:space="preserve">. évi mérleg szerinti eredményt eredménytartalékba helyezi. </w:t>
      </w:r>
    </w:p>
    <w:p w:rsidR="005955EB" w:rsidRPr="00936B4D" w:rsidRDefault="005955EB" w:rsidP="005955EB">
      <w:pPr>
        <w:spacing w:after="80" w:line="24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 </w:t>
      </w:r>
      <w:r w:rsidRPr="00936B4D">
        <w:rPr>
          <w:rFonts w:ascii="Arial" w:hAnsi="Arial" w:cs="Arial"/>
        </w:rPr>
        <w:t xml:space="preserve">Felkéri a Főpolgármestert, hogy az alapítói döntésről a Gt. 168. § (1) bekezdése értelmében a társaság vezető tisztségviselőit értesítse. </w:t>
      </w:r>
    </w:p>
    <w:p w:rsidR="009B1D54" w:rsidRDefault="009B1D54" w:rsidP="009B1D54">
      <w:pPr>
        <w:pStyle w:val="BPszvegtest"/>
      </w:pPr>
    </w:p>
    <w:p w:rsidR="009B1D54" w:rsidRPr="0054747F" w:rsidRDefault="009B1D54" w:rsidP="009B1D54">
      <w:pPr>
        <w:pStyle w:val="BPhatrid-felels"/>
      </w:pPr>
      <w:r w:rsidRPr="0054747F">
        <w:t>határidő:</w:t>
      </w:r>
      <w:r w:rsidRPr="0054747F">
        <w:tab/>
      </w:r>
      <w:r w:rsidR="005955EB">
        <w:t>30 nap</w:t>
      </w:r>
    </w:p>
    <w:p w:rsidR="009B1D54" w:rsidRPr="0054747F" w:rsidRDefault="009B1D54" w:rsidP="009B1D54">
      <w:pPr>
        <w:pStyle w:val="BPhatrid-felels"/>
      </w:pPr>
      <w:r w:rsidRPr="0054747F">
        <w:t xml:space="preserve">felelős: </w:t>
      </w:r>
      <w:r w:rsidRPr="0054747F">
        <w:tab/>
      </w:r>
      <w:r w:rsidR="005955EB">
        <w:t>Főpolgármester</w:t>
      </w:r>
    </w:p>
    <w:p w:rsidR="009306EA" w:rsidRDefault="009306EA" w:rsidP="009B1D54">
      <w:pPr>
        <w:pStyle w:val="BPhatrid-felels"/>
      </w:pPr>
    </w:p>
    <w:p w:rsidR="00AA4ACA" w:rsidRPr="00AA4ACA" w:rsidRDefault="00AA4ACA" w:rsidP="00610DB4">
      <w:pPr>
        <w:pStyle w:val="BPdtum"/>
        <w:tabs>
          <w:tab w:val="clear" w:pos="5720"/>
          <w:tab w:val="left" w:pos="6237"/>
        </w:tabs>
        <w:rPr>
          <w:i w:val="0"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  <w:r w:rsidR="0087147F">
        <w:rPr>
          <w:b/>
        </w:rPr>
        <w:t xml:space="preserve"> </w:t>
      </w:r>
      <w:r w:rsidR="009A5607">
        <w:rPr>
          <w:b/>
        </w:rPr>
        <w:t>egyszerű szavazattöbbség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5955EB">
        <w:t>13. május</w:t>
      </w:r>
    </w:p>
    <w:p w:rsidR="00914CE0" w:rsidRDefault="00914CE0" w:rsidP="00DF44B1">
      <w:pPr>
        <w:pStyle w:val="BPdtum"/>
      </w:pPr>
    </w:p>
    <w:p w:rsidR="008B092E" w:rsidRDefault="008B092E" w:rsidP="00DF44B1">
      <w:pPr>
        <w:pStyle w:val="BPdtum"/>
      </w:pPr>
    </w:p>
    <w:tbl>
      <w:tblPr>
        <w:tblStyle w:val="Rcsostblzat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84"/>
        <w:gridCol w:w="4104"/>
      </w:tblGrid>
      <w:tr w:rsidR="00993388" w:rsidTr="00575AB3">
        <w:tc>
          <w:tcPr>
            <w:tcW w:w="4252" w:type="dxa"/>
          </w:tcPr>
          <w:p w:rsidR="00610DB4" w:rsidRDefault="00610DB4" w:rsidP="00610DB4">
            <w:pPr>
              <w:pStyle w:val="Bpalrstitulus"/>
              <w:rPr>
                <w:rStyle w:val="Helyrzszveg"/>
                <w:color w:val="auto"/>
              </w:rPr>
            </w:pPr>
          </w:p>
          <w:sdt>
            <w:sdtPr>
              <w:rPr>
                <w:rStyle w:val="Helyrzszveg"/>
                <w:b/>
                <w:color w:val="auto"/>
              </w:rPr>
              <w:alias w:val="Aláíró1"/>
              <w:tag w:val="Aláíró1"/>
              <w:id w:val="3975567"/>
              <w:lock w:val="sdtLocked"/>
              <w:placeholder>
                <w:docPart w:val="C097D1558668419AA41D51290AA8CB4D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95E87C98-6BA5-457D-A101-10AE1993AB49}"/>
              <w:text/>
            </w:sdtPr>
            <w:sdtContent>
              <w:p w:rsidR="00E81EB8" w:rsidRDefault="007D38C3" w:rsidP="00610DB4">
                <w:pPr>
                  <w:pStyle w:val="Bpalrstitulus"/>
                  <w:ind w:left="567" w:hanging="567"/>
                  <w:rPr>
                    <w:rStyle w:val="Helyrzszveg"/>
                    <w:color w:val="auto"/>
                  </w:rPr>
                </w:pPr>
                <w:r>
                  <w:rPr>
                    <w:rStyle w:val="Helyrzszveg"/>
                    <w:b/>
                    <w:color w:val="auto"/>
                  </w:rPr>
                  <w:t>Dr. Bagdy Gábor</w:t>
                </w:r>
              </w:p>
            </w:sdtContent>
          </w:sdt>
          <w:sdt>
            <w:sdtPr>
              <w:alias w:val="Aláíró1 beosztása"/>
              <w:tag w:val="Aláíró1 beosztása"/>
              <w:id w:val="22209279"/>
              <w:lock w:val="sdtLocked"/>
              <w:placeholder>
                <w:docPart w:val="8D9EBB7D4AC943FC8376D5B5E471036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95E87C98-6BA5-457D-A101-10AE1993AB49}"/>
              <w:text/>
            </w:sdtPr>
            <w:sdtContent>
              <w:p w:rsidR="00E81EB8" w:rsidRPr="00244DE0" w:rsidRDefault="00C46B68" w:rsidP="00610DB4">
                <w:pPr>
                  <w:pStyle w:val="Bpalrstitulus"/>
                </w:pPr>
                <w:r>
                  <w:t>főpolgármester-helyettes</w:t>
                </w:r>
              </w:p>
            </w:sdtContent>
          </w:sdt>
          <w:p w:rsidR="00993388" w:rsidRDefault="00993388" w:rsidP="00610DB4">
            <w:pPr>
              <w:pStyle w:val="BPdtum"/>
              <w:jc w:val="left"/>
            </w:pPr>
          </w:p>
        </w:tc>
        <w:tc>
          <w:tcPr>
            <w:tcW w:w="284" w:type="dxa"/>
          </w:tcPr>
          <w:p w:rsidR="00993388" w:rsidRDefault="00993388" w:rsidP="005D033D">
            <w:pPr>
              <w:pStyle w:val="BPalrs"/>
              <w:rPr>
                <w:rStyle w:val="Helyrzszveg"/>
                <w:color w:val="auto"/>
              </w:rPr>
            </w:pPr>
          </w:p>
        </w:tc>
        <w:tc>
          <w:tcPr>
            <w:tcW w:w="4104" w:type="dxa"/>
          </w:tcPr>
          <w:p w:rsidR="00610DB4" w:rsidRDefault="00610DB4" w:rsidP="000D7F16">
            <w:pPr>
              <w:pStyle w:val="Bpalrstitulus"/>
              <w:ind w:left="666"/>
              <w:rPr>
                <w:rStyle w:val="Helyrzszveg"/>
                <w:color w:val="auto"/>
              </w:rPr>
            </w:pPr>
          </w:p>
          <w:p w:rsidR="000D7F16" w:rsidRDefault="000F2D78" w:rsidP="000D7F16">
            <w:pPr>
              <w:pStyle w:val="Bpalrstitulus"/>
              <w:ind w:left="666"/>
              <w:rPr>
                <w:rStyle w:val="Helyrzszveg"/>
                <w:color w:val="auto"/>
              </w:rPr>
            </w:pPr>
            <w:sdt>
              <w:sdtPr>
                <w:rPr>
                  <w:rStyle w:val="Helyrzszveg"/>
                  <w:b/>
                  <w:color w:val="auto"/>
                </w:rPr>
                <w:alias w:val="Aláíró2"/>
                <w:tag w:val="Aláíró2"/>
                <w:id w:val="22210402"/>
                <w:lock w:val="sdtLocked"/>
                <w:placeholder>
                  <w:docPart w:val="58F017050E9B425D9A57233E9626D399"/>
                </w:placeholder>
  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2[1]" w:storeItemID="{95E87C98-6BA5-457D-A101-10AE1993AB49}"/>
                <w:text/>
              </w:sdtPr>
              <w:sdtContent>
                <w:r w:rsidR="00C46B68" w:rsidRPr="00C46B68">
                  <w:rPr>
                    <w:rStyle w:val="Helyrzszveg"/>
                    <w:b/>
                    <w:color w:val="auto"/>
                  </w:rPr>
                  <w:t>Csomós Miklós</w:t>
                </w:r>
              </w:sdtContent>
            </w:sdt>
          </w:p>
          <w:sdt>
            <w:sdtPr>
              <w:alias w:val="Aláíró2 beosztása"/>
              <w:tag w:val="Aláíró2 beosztása"/>
              <w:id w:val="9164749"/>
              <w:lock w:val="sdtLocked"/>
              <w:placeholder>
                <w:docPart w:val="1615854231EA478ABB72972B7A379D49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2[1]" w:storeItemID="{95E87C98-6BA5-457D-A101-10AE1993AB49}"/>
              <w:text/>
            </w:sdtPr>
            <w:sdtContent>
              <w:p w:rsidR="000D7F16" w:rsidRPr="00244DE0" w:rsidRDefault="00C46B68" w:rsidP="000D7F16">
                <w:pPr>
                  <w:pStyle w:val="Bpalrstitulus"/>
                  <w:ind w:left="666"/>
                </w:pPr>
                <w:r>
                  <w:t>főpolgármester-helyettes</w:t>
                </w:r>
              </w:p>
            </w:sdtContent>
          </w:sdt>
          <w:p w:rsidR="00993388" w:rsidRPr="00244DE0" w:rsidRDefault="00993388" w:rsidP="00E81EB8">
            <w:pPr>
              <w:pStyle w:val="Bpalrstitulus"/>
            </w:pPr>
          </w:p>
        </w:tc>
      </w:tr>
    </w:tbl>
    <w:p w:rsidR="00914CE0" w:rsidRDefault="00914CE0" w:rsidP="00DF44B1">
      <w:pPr>
        <w:pStyle w:val="BPdtum"/>
      </w:pPr>
    </w:p>
    <w:p w:rsidR="00914CE0" w:rsidRDefault="00914CE0" w:rsidP="00DF44B1">
      <w:pPr>
        <w:pStyle w:val="BPdtu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6"/>
      </w:tblGrid>
      <w:tr w:rsidR="007F6093" w:rsidRPr="009509C3" w:rsidTr="007F6093"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5D033D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5D033D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5D033D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F46C01" w:rsidRDefault="00F46C01" w:rsidP="00FB3FA5">
      <w:pPr>
        <w:pStyle w:val="BPmellkletcm"/>
      </w:pPr>
    </w:p>
    <w:p w:rsidR="0058396A" w:rsidRDefault="0058396A" w:rsidP="00FB3FA5">
      <w:pPr>
        <w:pStyle w:val="BPmellkletcm"/>
      </w:pPr>
    </w:p>
    <w:p w:rsidR="00523FE7" w:rsidRDefault="000F2D78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r>
        <w:t>mellékletek</w:t>
      </w:r>
      <w:r w:rsidR="00FB3FA5" w:rsidRPr="009509C3">
        <w:t>:</w:t>
      </w:r>
    </w:p>
    <w:p w:rsidR="00C163F0" w:rsidRDefault="00C163F0" w:rsidP="00C163F0">
      <w:pPr>
        <w:pStyle w:val="BPmellkletek"/>
        <w:jc w:val="both"/>
      </w:pPr>
      <w:r>
        <w:t>FOK Nonprofit Kft. 2012. évi számviteli beszámolója (2012. évi közhasznú tevékenységéről szóló szöveges szakmai beszámoló, Egyszerűsített éves beszámoló, Közhasznúsági melléklet, Kiegészítő melléklet, F</w:t>
      </w:r>
      <w:r w:rsidR="007E42D9">
        <w:t>üggetlen Könyvvizsgálói Jelenté</w:t>
      </w:r>
      <w:r w:rsidR="00DF045A">
        <w:t>s</w:t>
      </w:r>
      <w:r w:rsidR="007E42D9">
        <w:t>, Jogi Nyilatkozat, Teljességi Nyilatkozat</w:t>
      </w:r>
      <w:r>
        <w:t xml:space="preserve">)  </w:t>
      </w:r>
    </w:p>
    <w:p w:rsidR="00556BA5" w:rsidRDefault="00556BA5" w:rsidP="00556BA5">
      <w:pPr>
        <w:pStyle w:val="BPmellkletek"/>
        <w:jc w:val="both"/>
      </w:pPr>
      <w:r>
        <w:t>Felügyelő Bizottság határozata</w:t>
      </w:r>
    </w:p>
    <w:p w:rsidR="00820C87" w:rsidRDefault="00336701" w:rsidP="00C163F0">
      <w:pPr>
        <w:pStyle w:val="BPmellkletek"/>
        <w:jc w:val="both"/>
      </w:pPr>
      <w:r>
        <w:t>Köznevelési és Ifjúsági Feladatokat Koordináló Főosztály szakmai véleménye</w:t>
      </w:r>
    </w:p>
    <w:p w:rsidR="00885C03" w:rsidRDefault="00885C03" w:rsidP="00C163F0">
      <w:pPr>
        <w:pStyle w:val="BPmellkletek"/>
        <w:jc w:val="both"/>
      </w:pPr>
      <w:r>
        <w:t>Az elemzés adatait tartalmazó összefoglaló táblázatok</w:t>
      </w:r>
    </w:p>
    <w:p w:rsidR="00723B8B" w:rsidRPr="00820C87" w:rsidRDefault="00723B8B" w:rsidP="00C163F0">
      <w:pPr>
        <w:pStyle w:val="BPmellkletek"/>
        <w:numPr>
          <w:ilvl w:val="0"/>
          <w:numId w:val="0"/>
        </w:numPr>
        <w:contextualSpacing w:val="0"/>
        <w:rPr>
          <w:iCs/>
        </w:rPr>
      </w:pPr>
    </w:p>
    <w:sectPr w:rsidR="00723B8B" w:rsidRPr="00820C87" w:rsidSect="00502C77">
      <w:footerReference w:type="even" r:id="rId20"/>
      <w:footerReference w:type="default" r:id="rId21"/>
      <w:headerReference w:type="first" r:id="rId22"/>
      <w:pgSz w:w="11906" w:h="16838" w:code="9"/>
      <w:pgMar w:top="1134" w:right="1077" w:bottom="141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EF" w:rsidRDefault="00964CEF" w:rsidP="007D58FD">
      <w:pPr>
        <w:spacing w:after="0" w:line="240" w:lineRule="auto"/>
      </w:pPr>
      <w:r>
        <w:separator/>
      </w:r>
    </w:p>
  </w:endnote>
  <w:endnote w:type="continuationSeparator" w:id="0">
    <w:p w:rsidR="00964CEF" w:rsidRDefault="00964CEF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F0" w:rsidRDefault="00C163F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F0" w:rsidRPr="004E7D10" w:rsidRDefault="000F2D78" w:rsidP="004E7D10">
    <w:pPr>
      <w:pStyle w:val="BPoldalszm"/>
      <w:jc w:val="right"/>
    </w:pPr>
    <w:r>
      <w:fldChar w:fldCharType="begin"/>
    </w:r>
    <w:r w:rsidR="00E834B5">
      <w:instrText xml:space="preserve"> PAGE </w:instrText>
    </w:r>
    <w:r>
      <w:fldChar w:fldCharType="separate"/>
    </w:r>
    <w:r w:rsidR="00902B01">
      <w:rPr>
        <w:noProof/>
      </w:rPr>
      <w:t>12</w:t>
    </w:r>
    <w:r>
      <w:fldChar w:fldCharType="end"/>
    </w:r>
    <w:r w:rsidR="00C163F0" w:rsidRPr="000B5409">
      <w:t xml:space="preserve"> / </w:t>
    </w:r>
    <w:r>
      <w:fldChar w:fldCharType="begin"/>
    </w:r>
    <w:r w:rsidR="00E834B5">
      <w:instrText xml:space="preserve"> NUMPAGES  </w:instrText>
    </w:r>
    <w:r>
      <w:fldChar w:fldCharType="separate"/>
    </w:r>
    <w:r w:rsidR="00902B01">
      <w:rPr>
        <w:noProof/>
      </w:rPr>
      <w:t>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EF" w:rsidRDefault="00964CEF" w:rsidP="007D58FD">
      <w:pPr>
        <w:spacing w:after="0" w:line="240" w:lineRule="auto"/>
      </w:pPr>
      <w:r>
        <w:separator/>
      </w:r>
    </w:p>
  </w:footnote>
  <w:footnote w:type="continuationSeparator" w:id="0">
    <w:p w:rsidR="00964CEF" w:rsidRDefault="00964CEF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C163F0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C163F0" w:rsidRPr="00983086" w:rsidRDefault="00C163F0" w:rsidP="005D033D">
          <w:pPr>
            <w:pStyle w:val="BPiktatadat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C163F0" w:rsidRDefault="00C163F0" w:rsidP="005D033D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C163F0" w:rsidRPr="00D31FB3" w:rsidRDefault="00C163F0" w:rsidP="00173620">
          <w:pPr>
            <w:pStyle w:val="BPhivatal"/>
          </w:pPr>
        </w:p>
      </w:tc>
    </w:tr>
    <w:tr w:rsidR="00C163F0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C163F0" w:rsidRPr="00BB3B91" w:rsidRDefault="00C163F0" w:rsidP="005D033D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C163F0" w:rsidRPr="00BB3B91" w:rsidRDefault="00C163F0" w:rsidP="005D033D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C163F0" w:rsidRPr="000208F8" w:rsidTr="00E65A10">
      <w:trPr>
        <w:trHeight w:val="1122"/>
      </w:trPr>
      <w:tc>
        <w:tcPr>
          <w:tcW w:w="2783" w:type="pct"/>
          <w:vMerge/>
          <w:noWrap/>
        </w:tcPr>
        <w:p w:rsidR="00C163F0" w:rsidRPr="00BB3B91" w:rsidRDefault="00C163F0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C163F0" w:rsidRDefault="00C163F0" w:rsidP="00B07EAF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>Pénzügyi  Főpolgármester-helyettes valamint</w:t>
          </w:r>
        </w:p>
        <w:p w:rsidR="00C163F0" w:rsidRPr="000208F8" w:rsidRDefault="00C163F0" w:rsidP="00C46B68">
          <w:pPr>
            <w:pStyle w:val="BPhivatal"/>
          </w:pPr>
          <w:r>
            <w:rPr>
              <w:sz w:val="19"/>
              <w:szCs w:val="19"/>
            </w:rPr>
            <w:t>Oktatási és Kulturális  Főpolgármester-helyettes</w:t>
          </w:r>
        </w:p>
      </w:tc>
    </w:tr>
    <w:tr w:rsidR="00C163F0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C163F0" w:rsidRPr="002E3E9E" w:rsidRDefault="000F2D78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B60FB1" w:rsidRPr="00B60FB1">
                <w:rPr>
                  <w:rFonts w:ascii="Free 3 of 9" w:hAnsi="Free 3 of 9" w:cs="Arial"/>
                  <w:sz w:val="44"/>
                  <w:szCs w:val="22"/>
                </w:rPr>
                <w:t>*1000053103704*</w:t>
              </w:r>
            </w:sdtContent>
          </w:sdt>
        </w:p>
        <w:p w:rsidR="00C163F0" w:rsidRPr="00FD7698" w:rsidRDefault="00C163F0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B60FB1">
                <w:rPr>
                  <w:rFonts w:ascii="Arial" w:hAnsi="Arial" w:cs="Arial"/>
                  <w:noProof/>
                  <w:sz w:val="16"/>
                  <w:szCs w:val="22"/>
                </w:rPr>
                <w:t>*1000053103704*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C163F0" w:rsidRPr="009073EE" w:rsidRDefault="00C163F0" w:rsidP="00E65A10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C163F0" w:rsidRPr="00A506A3" w:rsidRDefault="00B60FB1" w:rsidP="00E65A10">
              <w:pPr>
                <w:pStyle w:val="BPiktatadat"/>
              </w:pPr>
              <w:r>
                <w:t>FPH058 /1440 - 117 /2013</w:t>
              </w:r>
            </w:p>
          </w:tc>
        </w:sdtContent>
      </w:sdt>
    </w:tr>
    <w:tr w:rsidR="00C163F0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C163F0" w:rsidRPr="00BB3B91" w:rsidRDefault="00C163F0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C163F0" w:rsidRDefault="00C163F0" w:rsidP="00C955F9">
          <w:pPr>
            <w:pStyle w:val="BPiktatcm"/>
          </w:pPr>
          <w:r w:rsidRPr="009073EE">
            <w:t>tárgy:</w:t>
          </w:r>
        </w:p>
        <w:p w:rsidR="00C163F0" w:rsidRPr="009073EE" w:rsidRDefault="000F2D78" w:rsidP="00DD1DD4">
          <w:pPr>
            <w:pStyle w:val="BPiktatcm"/>
            <w:jc w:val="both"/>
          </w:pPr>
          <w:sdt>
            <w:sdt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C163F0" w:rsidRPr="000279D6">
                <w:t>Javaslat a FOK Fővárosi Oktatástechnológiai Központ Szolgáltató Közhasznú Nonprofit Kft.</w:t>
              </w:r>
              <w:r w:rsidR="00C163F0">
                <w:t xml:space="preserve"> 2012. évi beszámolójával kapcsolatos döntésekre</w:t>
              </w:r>
            </w:sdtContent>
          </w:sdt>
        </w:p>
      </w:tc>
    </w:tr>
    <w:tr w:rsidR="00C163F0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C163F0" w:rsidRPr="00BB3B91" w:rsidRDefault="00C163F0" w:rsidP="005D033D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C163F0" w:rsidRPr="00C40C13" w:rsidRDefault="00C163F0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C163F0" w:rsidRDefault="00C163F0" w:rsidP="007A4513">
          <w:pPr>
            <w:pStyle w:val="BPiktatadat"/>
          </w:pPr>
          <w:r>
            <w:t>Vagyongazdálkodási Főosztály</w:t>
          </w:r>
        </w:p>
        <w:p w:rsidR="00C163F0" w:rsidRPr="0089602B" w:rsidRDefault="00C163F0" w:rsidP="00822610">
          <w:pPr>
            <w:pStyle w:val="BPiktatadat"/>
          </w:pPr>
          <w:r>
            <w:t>Főjegyzői Iroda Monitoring-Controlling Referatúra</w:t>
          </w:r>
        </w:p>
      </w:tc>
    </w:tr>
    <w:tr w:rsidR="00C163F0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C163F0" w:rsidRPr="00BB3B91" w:rsidRDefault="00C163F0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C163F0" w:rsidRPr="00715492" w:rsidRDefault="00C163F0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C163F0" w:rsidRPr="00C759D1" w:rsidRDefault="00C163F0" w:rsidP="007A4513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A Fővárosi Közgyűlés állandó bizottságai és tanácsnokai részére</w:t>
          </w:r>
        </w:p>
      </w:tc>
    </w:tr>
  </w:tbl>
  <w:p w:rsidR="00C163F0" w:rsidRDefault="00C163F0" w:rsidP="00B53306">
    <w:pPr>
      <w:pStyle w:val="lfej"/>
    </w:pPr>
  </w:p>
  <w:p w:rsidR="00C163F0" w:rsidRDefault="000F2D7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49" type="#_x0000_t75" alt="fejlec_ff_0b.png" style="position:absolute;margin-left:65.15pt;margin-top:27.85pt;width:476.25pt;height:43.05pt;z-index:-251658752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76E01"/>
    <w:multiLevelType w:val="hybridMultilevel"/>
    <w:tmpl w:val="EB969AB8"/>
    <w:lvl w:ilvl="0" w:tplc="040E0017">
      <w:start w:val="100"/>
      <w:numFmt w:val="bullet"/>
      <w:lvlText w:val="-"/>
      <w:lvlJc w:val="left"/>
      <w:pPr>
        <w:ind w:left="1713" w:hanging="360"/>
      </w:pPr>
      <w:rPr>
        <w:rFonts w:ascii="Arial" w:eastAsia="Times New Roman" w:hAnsi="Arial" w:hint="default"/>
      </w:rPr>
    </w:lvl>
    <w:lvl w:ilvl="1" w:tplc="040E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D3B158E"/>
    <w:multiLevelType w:val="hybridMultilevel"/>
    <w:tmpl w:val="7196E0D2"/>
    <w:lvl w:ilvl="0" w:tplc="FD38F68A">
      <w:start w:val="10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86" w:hanging="360"/>
      </w:pPr>
    </w:lvl>
    <w:lvl w:ilvl="2" w:tplc="040E001B" w:tentative="1">
      <w:start w:val="1"/>
      <w:numFmt w:val="lowerRoman"/>
      <w:lvlText w:val="%3."/>
      <w:lvlJc w:val="right"/>
      <w:pPr>
        <w:ind w:left="3306" w:hanging="180"/>
      </w:pPr>
    </w:lvl>
    <w:lvl w:ilvl="3" w:tplc="040E000F" w:tentative="1">
      <w:start w:val="1"/>
      <w:numFmt w:val="decimal"/>
      <w:lvlText w:val="%4."/>
      <w:lvlJc w:val="left"/>
      <w:pPr>
        <w:ind w:left="4026" w:hanging="360"/>
      </w:pPr>
    </w:lvl>
    <w:lvl w:ilvl="4" w:tplc="040E0019" w:tentative="1">
      <w:start w:val="1"/>
      <w:numFmt w:val="lowerLetter"/>
      <w:lvlText w:val="%5."/>
      <w:lvlJc w:val="left"/>
      <w:pPr>
        <w:ind w:left="4746" w:hanging="360"/>
      </w:pPr>
    </w:lvl>
    <w:lvl w:ilvl="5" w:tplc="040E001B" w:tentative="1">
      <w:start w:val="1"/>
      <w:numFmt w:val="lowerRoman"/>
      <w:lvlText w:val="%6."/>
      <w:lvlJc w:val="right"/>
      <w:pPr>
        <w:ind w:left="5466" w:hanging="180"/>
      </w:pPr>
    </w:lvl>
    <w:lvl w:ilvl="6" w:tplc="040E000F" w:tentative="1">
      <w:start w:val="1"/>
      <w:numFmt w:val="decimal"/>
      <w:lvlText w:val="%7."/>
      <w:lvlJc w:val="left"/>
      <w:pPr>
        <w:ind w:left="6186" w:hanging="360"/>
      </w:pPr>
    </w:lvl>
    <w:lvl w:ilvl="7" w:tplc="040E0019" w:tentative="1">
      <w:start w:val="1"/>
      <w:numFmt w:val="lowerLetter"/>
      <w:lvlText w:val="%8."/>
      <w:lvlJc w:val="left"/>
      <w:pPr>
        <w:ind w:left="6906" w:hanging="360"/>
      </w:pPr>
    </w:lvl>
    <w:lvl w:ilvl="8" w:tplc="040E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mirrorMargins/>
  <w:hideSpellingErrors/>
  <w:hideGrammaticalErrors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38A"/>
    <w:rsid w:val="000279D6"/>
    <w:rsid w:val="00027E85"/>
    <w:rsid w:val="00044463"/>
    <w:rsid w:val="00045743"/>
    <w:rsid w:val="00046037"/>
    <w:rsid w:val="000523FA"/>
    <w:rsid w:val="00052F5F"/>
    <w:rsid w:val="0007538F"/>
    <w:rsid w:val="0007707F"/>
    <w:rsid w:val="000779EE"/>
    <w:rsid w:val="0009613F"/>
    <w:rsid w:val="000A513C"/>
    <w:rsid w:val="000A6FCC"/>
    <w:rsid w:val="000B3908"/>
    <w:rsid w:val="000B5409"/>
    <w:rsid w:val="000B620C"/>
    <w:rsid w:val="000B7771"/>
    <w:rsid w:val="000C1E00"/>
    <w:rsid w:val="000D29D3"/>
    <w:rsid w:val="000D3B8B"/>
    <w:rsid w:val="000D497C"/>
    <w:rsid w:val="000D7F16"/>
    <w:rsid w:val="000D7F5C"/>
    <w:rsid w:val="000E1C53"/>
    <w:rsid w:val="000E3CA8"/>
    <w:rsid w:val="000F0A27"/>
    <w:rsid w:val="000F1A9B"/>
    <w:rsid w:val="000F2D78"/>
    <w:rsid w:val="00100C5D"/>
    <w:rsid w:val="001045D7"/>
    <w:rsid w:val="00104BF8"/>
    <w:rsid w:val="00111D92"/>
    <w:rsid w:val="00111EAB"/>
    <w:rsid w:val="00112D11"/>
    <w:rsid w:val="00120A1A"/>
    <w:rsid w:val="001214C0"/>
    <w:rsid w:val="00123433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74902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17B9B"/>
    <w:rsid w:val="00220DB4"/>
    <w:rsid w:val="002216ED"/>
    <w:rsid w:val="0022576A"/>
    <w:rsid w:val="002311C7"/>
    <w:rsid w:val="00231FEC"/>
    <w:rsid w:val="0023647A"/>
    <w:rsid w:val="00237428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1FE4"/>
    <w:rsid w:val="00283ADA"/>
    <w:rsid w:val="0028419C"/>
    <w:rsid w:val="00296863"/>
    <w:rsid w:val="00296B73"/>
    <w:rsid w:val="00297029"/>
    <w:rsid w:val="00297B2E"/>
    <w:rsid w:val="002A1647"/>
    <w:rsid w:val="002A2900"/>
    <w:rsid w:val="002A3A1C"/>
    <w:rsid w:val="002B0552"/>
    <w:rsid w:val="002B3AB4"/>
    <w:rsid w:val="002C060E"/>
    <w:rsid w:val="002C7AEE"/>
    <w:rsid w:val="002D2691"/>
    <w:rsid w:val="002D5708"/>
    <w:rsid w:val="002D57EC"/>
    <w:rsid w:val="002D7C44"/>
    <w:rsid w:val="002E0ADD"/>
    <w:rsid w:val="002E19D0"/>
    <w:rsid w:val="002E1D52"/>
    <w:rsid w:val="002E5C41"/>
    <w:rsid w:val="002F214C"/>
    <w:rsid w:val="002F545F"/>
    <w:rsid w:val="002F794E"/>
    <w:rsid w:val="003001F7"/>
    <w:rsid w:val="0030144B"/>
    <w:rsid w:val="003134C6"/>
    <w:rsid w:val="00314E4F"/>
    <w:rsid w:val="0031513F"/>
    <w:rsid w:val="0031703B"/>
    <w:rsid w:val="00320DD9"/>
    <w:rsid w:val="003244F8"/>
    <w:rsid w:val="00331FC3"/>
    <w:rsid w:val="00332D85"/>
    <w:rsid w:val="003366EA"/>
    <w:rsid w:val="00336701"/>
    <w:rsid w:val="00336B48"/>
    <w:rsid w:val="003550B8"/>
    <w:rsid w:val="00357C97"/>
    <w:rsid w:val="003613C9"/>
    <w:rsid w:val="00363F06"/>
    <w:rsid w:val="00365907"/>
    <w:rsid w:val="003701AF"/>
    <w:rsid w:val="003725B4"/>
    <w:rsid w:val="00375D5D"/>
    <w:rsid w:val="00385F13"/>
    <w:rsid w:val="00386BF0"/>
    <w:rsid w:val="003929CD"/>
    <w:rsid w:val="00395BEB"/>
    <w:rsid w:val="003A555C"/>
    <w:rsid w:val="003A770F"/>
    <w:rsid w:val="003B2031"/>
    <w:rsid w:val="003B485B"/>
    <w:rsid w:val="003C352D"/>
    <w:rsid w:val="003D589A"/>
    <w:rsid w:val="003D6592"/>
    <w:rsid w:val="003D693F"/>
    <w:rsid w:val="003E624E"/>
    <w:rsid w:val="003E7DDD"/>
    <w:rsid w:val="003F36FB"/>
    <w:rsid w:val="003F5C8A"/>
    <w:rsid w:val="00400B1B"/>
    <w:rsid w:val="0040209D"/>
    <w:rsid w:val="0040296F"/>
    <w:rsid w:val="00404DF6"/>
    <w:rsid w:val="00415F17"/>
    <w:rsid w:val="00430D4B"/>
    <w:rsid w:val="00431D09"/>
    <w:rsid w:val="0044064F"/>
    <w:rsid w:val="00442A93"/>
    <w:rsid w:val="004526DB"/>
    <w:rsid w:val="00453356"/>
    <w:rsid w:val="004558FE"/>
    <w:rsid w:val="00462EBB"/>
    <w:rsid w:val="00463ECF"/>
    <w:rsid w:val="0047704C"/>
    <w:rsid w:val="00480FA8"/>
    <w:rsid w:val="00485E46"/>
    <w:rsid w:val="00490854"/>
    <w:rsid w:val="004954C8"/>
    <w:rsid w:val="00496A1A"/>
    <w:rsid w:val="004A0BC2"/>
    <w:rsid w:val="004A3C59"/>
    <w:rsid w:val="004A423F"/>
    <w:rsid w:val="004B103D"/>
    <w:rsid w:val="004B512B"/>
    <w:rsid w:val="004B7BED"/>
    <w:rsid w:val="004C4F2B"/>
    <w:rsid w:val="004C599C"/>
    <w:rsid w:val="004D49D4"/>
    <w:rsid w:val="004D6563"/>
    <w:rsid w:val="004E6074"/>
    <w:rsid w:val="004E7D10"/>
    <w:rsid w:val="004F3C7D"/>
    <w:rsid w:val="004F5292"/>
    <w:rsid w:val="0050038C"/>
    <w:rsid w:val="00500703"/>
    <w:rsid w:val="00502C77"/>
    <w:rsid w:val="00507BA6"/>
    <w:rsid w:val="00511DEF"/>
    <w:rsid w:val="00512584"/>
    <w:rsid w:val="00514CB7"/>
    <w:rsid w:val="00520C73"/>
    <w:rsid w:val="00522AF1"/>
    <w:rsid w:val="00523FE7"/>
    <w:rsid w:val="005302F8"/>
    <w:rsid w:val="00535135"/>
    <w:rsid w:val="00535CCF"/>
    <w:rsid w:val="005371A3"/>
    <w:rsid w:val="00540751"/>
    <w:rsid w:val="00540BBC"/>
    <w:rsid w:val="00542DEF"/>
    <w:rsid w:val="00546559"/>
    <w:rsid w:val="005466CE"/>
    <w:rsid w:val="00554E06"/>
    <w:rsid w:val="00556BA5"/>
    <w:rsid w:val="00560B96"/>
    <w:rsid w:val="00571E6F"/>
    <w:rsid w:val="00575AB3"/>
    <w:rsid w:val="0058396A"/>
    <w:rsid w:val="00585530"/>
    <w:rsid w:val="005955EB"/>
    <w:rsid w:val="005B2B60"/>
    <w:rsid w:val="005D033D"/>
    <w:rsid w:val="005D1CB4"/>
    <w:rsid w:val="005D7D2F"/>
    <w:rsid w:val="005E01A7"/>
    <w:rsid w:val="005E52DB"/>
    <w:rsid w:val="005F52E2"/>
    <w:rsid w:val="006009C0"/>
    <w:rsid w:val="0060184B"/>
    <w:rsid w:val="00602DC2"/>
    <w:rsid w:val="00610DB4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053A"/>
    <w:rsid w:val="0069708E"/>
    <w:rsid w:val="006A2A85"/>
    <w:rsid w:val="006B6295"/>
    <w:rsid w:val="006B6384"/>
    <w:rsid w:val="006C37FA"/>
    <w:rsid w:val="006C4FE9"/>
    <w:rsid w:val="006C50E7"/>
    <w:rsid w:val="006C75BF"/>
    <w:rsid w:val="006D3E84"/>
    <w:rsid w:val="006D7F37"/>
    <w:rsid w:val="006E77D8"/>
    <w:rsid w:val="006F25AB"/>
    <w:rsid w:val="006F3A84"/>
    <w:rsid w:val="006F77A0"/>
    <w:rsid w:val="00700F3B"/>
    <w:rsid w:val="00704E2E"/>
    <w:rsid w:val="00714889"/>
    <w:rsid w:val="00715F0F"/>
    <w:rsid w:val="0072111A"/>
    <w:rsid w:val="00722600"/>
    <w:rsid w:val="00723A5C"/>
    <w:rsid w:val="00723B8B"/>
    <w:rsid w:val="00731E63"/>
    <w:rsid w:val="00735D1C"/>
    <w:rsid w:val="00740966"/>
    <w:rsid w:val="00746AD6"/>
    <w:rsid w:val="0075227F"/>
    <w:rsid w:val="00752529"/>
    <w:rsid w:val="00753CCF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93787"/>
    <w:rsid w:val="007A4513"/>
    <w:rsid w:val="007A5996"/>
    <w:rsid w:val="007A5DF7"/>
    <w:rsid w:val="007A6C31"/>
    <w:rsid w:val="007A72E0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38C3"/>
    <w:rsid w:val="007D58FD"/>
    <w:rsid w:val="007D66AA"/>
    <w:rsid w:val="007D673A"/>
    <w:rsid w:val="007D7CF4"/>
    <w:rsid w:val="007E42D9"/>
    <w:rsid w:val="007E508F"/>
    <w:rsid w:val="007F2293"/>
    <w:rsid w:val="007F23C1"/>
    <w:rsid w:val="007F47A8"/>
    <w:rsid w:val="007F5171"/>
    <w:rsid w:val="007F6093"/>
    <w:rsid w:val="007F78EC"/>
    <w:rsid w:val="00801AC7"/>
    <w:rsid w:val="00804559"/>
    <w:rsid w:val="0081491C"/>
    <w:rsid w:val="00817CBB"/>
    <w:rsid w:val="00820C87"/>
    <w:rsid w:val="00822610"/>
    <w:rsid w:val="008245A3"/>
    <w:rsid w:val="008278F8"/>
    <w:rsid w:val="008306E5"/>
    <w:rsid w:val="00831B10"/>
    <w:rsid w:val="00835883"/>
    <w:rsid w:val="00840F54"/>
    <w:rsid w:val="008433B2"/>
    <w:rsid w:val="00844B79"/>
    <w:rsid w:val="008532DA"/>
    <w:rsid w:val="008557DB"/>
    <w:rsid w:val="0087147F"/>
    <w:rsid w:val="00872130"/>
    <w:rsid w:val="00872982"/>
    <w:rsid w:val="008749FE"/>
    <w:rsid w:val="00885C03"/>
    <w:rsid w:val="00891B4A"/>
    <w:rsid w:val="0089602B"/>
    <w:rsid w:val="008A05C9"/>
    <w:rsid w:val="008A1C1B"/>
    <w:rsid w:val="008B092E"/>
    <w:rsid w:val="008B261F"/>
    <w:rsid w:val="008B3B87"/>
    <w:rsid w:val="008B524B"/>
    <w:rsid w:val="008C3F74"/>
    <w:rsid w:val="008E3CCC"/>
    <w:rsid w:val="008E5C1F"/>
    <w:rsid w:val="008F4649"/>
    <w:rsid w:val="008F5C37"/>
    <w:rsid w:val="00900390"/>
    <w:rsid w:val="00902B01"/>
    <w:rsid w:val="00904DC8"/>
    <w:rsid w:val="009073EE"/>
    <w:rsid w:val="0090741B"/>
    <w:rsid w:val="009074CA"/>
    <w:rsid w:val="00911296"/>
    <w:rsid w:val="00914318"/>
    <w:rsid w:val="00914CE0"/>
    <w:rsid w:val="00920F96"/>
    <w:rsid w:val="00920FE9"/>
    <w:rsid w:val="009255CD"/>
    <w:rsid w:val="00925C2D"/>
    <w:rsid w:val="00926AC7"/>
    <w:rsid w:val="0093017A"/>
    <w:rsid w:val="009306EA"/>
    <w:rsid w:val="009469AD"/>
    <w:rsid w:val="009509C3"/>
    <w:rsid w:val="00956D20"/>
    <w:rsid w:val="00957EC2"/>
    <w:rsid w:val="00961E40"/>
    <w:rsid w:val="009620C5"/>
    <w:rsid w:val="009622B5"/>
    <w:rsid w:val="00964BBE"/>
    <w:rsid w:val="00964CEF"/>
    <w:rsid w:val="00964F1B"/>
    <w:rsid w:val="0096682E"/>
    <w:rsid w:val="00972920"/>
    <w:rsid w:val="00975B2E"/>
    <w:rsid w:val="00980950"/>
    <w:rsid w:val="00983086"/>
    <w:rsid w:val="009850AE"/>
    <w:rsid w:val="00993388"/>
    <w:rsid w:val="009A5607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6065"/>
    <w:rsid w:val="00A1752C"/>
    <w:rsid w:val="00A23D88"/>
    <w:rsid w:val="00A262E0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2B13"/>
    <w:rsid w:val="00AA4ACA"/>
    <w:rsid w:val="00AA6566"/>
    <w:rsid w:val="00AC00DB"/>
    <w:rsid w:val="00AC0E1E"/>
    <w:rsid w:val="00AC2161"/>
    <w:rsid w:val="00AD0156"/>
    <w:rsid w:val="00AD0BFD"/>
    <w:rsid w:val="00AD16F4"/>
    <w:rsid w:val="00AD1D33"/>
    <w:rsid w:val="00AD22FE"/>
    <w:rsid w:val="00AD2762"/>
    <w:rsid w:val="00AD546B"/>
    <w:rsid w:val="00AE1720"/>
    <w:rsid w:val="00AE4B65"/>
    <w:rsid w:val="00AE6952"/>
    <w:rsid w:val="00AF0430"/>
    <w:rsid w:val="00AF1C43"/>
    <w:rsid w:val="00AF31EB"/>
    <w:rsid w:val="00AF65BC"/>
    <w:rsid w:val="00AF67BF"/>
    <w:rsid w:val="00AF6BA9"/>
    <w:rsid w:val="00B0770A"/>
    <w:rsid w:val="00B07EAF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47789"/>
    <w:rsid w:val="00B50C84"/>
    <w:rsid w:val="00B53306"/>
    <w:rsid w:val="00B5487A"/>
    <w:rsid w:val="00B56856"/>
    <w:rsid w:val="00B60FB1"/>
    <w:rsid w:val="00B72AAA"/>
    <w:rsid w:val="00B80A14"/>
    <w:rsid w:val="00B858E1"/>
    <w:rsid w:val="00BA14C1"/>
    <w:rsid w:val="00BA562B"/>
    <w:rsid w:val="00BB252D"/>
    <w:rsid w:val="00BB3B91"/>
    <w:rsid w:val="00BB49D5"/>
    <w:rsid w:val="00BB6801"/>
    <w:rsid w:val="00BC12D5"/>
    <w:rsid w:val="00BC5C43"/>
    <w:rsid w:val="00BD079C"/>
    <w:rsid w:val="00BD0EB4"/>
    <w:rsid w:val="00BD11E6"/>
    <w:rsid w:val="00BD120E"/>
    <w:rsid w:val="00BD5AA1"/>
    <w:rsid w:val="00BD6083"/>
    <w:rsid w:val="00BF15E3"/>
    <w:rsid w:val="00BF1CEA"/>
    <w:rsid w:val="00BF3952"/>
    <w:rsid w:val="00C05EEB"/>
    <w:rsid w:val="00C163F0"/>
    <w:rsid w:val="00C1680E"/>
    <w:rsid w:val="00C17C89"/>
    <w:rsid w:val="00C31863"/>
    <w:rsid w:val="00C3246F"/>
    <w:rsid w:val="00C35D0F"/>
    <w:rsid w:val="00C4092A"/>
    <w:rsid w:val="00C41A69"/>
    <w:rsid w:val="00C4365C"/>
    <w:rsid w:val="00C44870"/>
    <w:rsid w:val="00C46521"/>
    <w:rsid w:val="00C46B68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86ECF"/>
    <w:rsid w:val="00C90EFC"/>
    <w:rsid w:val="00C915B8"/>
    <w:rsid w:val="00C92C7F"/>
    <w:rsid w:val="00C955F9"/>
    <w:rsid w:val="00CA16AF"/>
    <w:rsid w:val="00CA1CF9"/>
    <w:rsid w:val="00CA36F9"/>
    <w:rsid w:val="00CA4E8E"/>
    <w:rsid w:val="00CA7DA9"/>
    <w:rsid w:val="00CB0BC9"/>
    <w:rsid w:val="00CB1062"/>
    <w:rsid w:val="00CD116B"/>
    <w:rsid w:val="00CD34E4"/>
    <w:rsid w:val="00CD6572"/>
    <w:rsid w:val="00CE73B7"/>
    <w:rsid w:val="00CF0FE9"/>
    <w:rsid w:val="00D00EEB"/>
    <w:rsid w:val="00D017D1"/>
    <w:rsid w:val="00D07240"/>
    <w:rsid w:val="00D115D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2325"/>
    <w:rsid w:val="00D64559"/>
    <w:rsid w:val="00D64BAD"/>
    <w:rsid w:val="00D724D2"/>
    <w:rsid w:val="00D73FFA"/>
    <w:rsid w:val="00D812C3"/>
    <w:rsid w:val="00D90A5A"/>
    <w:rsid w:val="00D97C4A"/>
    <w:rsid w:val="00DA223C"/>
    <w:rsid w:val="00DA47CD"/>
    <w:rsid w:val="00DB446F"/>
    <w:rsid w:val="00DB7EF1"/>
    <w:rsid w:val="00DC6435"/>
    <w:rsid w:val="00DC798E"/>
    <w:rsid w:val="00DD1DD4"/>
    <w:rsid w:val="00DD1FCA"/>
    <w:rsid w:val="00DD4CB6"/>
    <w:rsid w:val="00DD5242"/>
    <w:rsid w:val="00DD5A42"/>
    <w:rsid w:val="00DD7055"/>
    <w:rsid w:val="00DF045A"/>
    <w:rsid w:val="00DF44B1"/>
    <w:rsid w:val="00DF4BD8"/>
    <w:rsid w:val="00DF5045"/>
    <w:rsid w:val="00DF5844"/>
    <w:rsid w:val="00DF7111"/>
    <w:rsid w:val="00E01D5F"/>
    <w:rsid w:val="00E03E0D"/>
    <w:rsid w:val="00E125D1"/>
    <w:rsid w:val="00E1539B"/>
    <w:rsid w:val="00E157D7"/>
    <w:rsid w:val="00E1778A"/>
    <w:rsid w:val="00E20E4D"/>
    <w:rsid w:val="00E21E00"/>
    <w:rsid w:val="00E25276"/>
    <w:rsid w:val="00E264B9"/>
    <w:rsid w:val="00E311F6"/>
    <w:rsid w:val="00E33955"/>
    <w:rsid w:val="00E44B02"/>
    <w:rsid w:val="00E450DB"/>
    <w:rsid w:val="00E4571E"/>
    <w:rsid w:val="00E52266"/>
    <w:rsid w:val="00E56246"/>
    <w:rsid w:val="00E57176"/>
    <w:rsid w:val="00E57D3C"/>
    <w:rsid w:val="00E6122D"/>
    <w:rsid w:val="00E65A10"/>
    <w:rsid w:val="00E713F8"/>
    <w:rsid w:val="00E73D27"/>
    <w:rsid w:val="00E75027"/>
    <w:rsid w:val="00E766F4"/>
    <w:rsid w:val="00E805BE"/>
    <w:rsid w:val="00E81EB8"/>
    <w:rsid w:val="00E834B5"/>
    <w:rsid w:val="00E84765"/>
    <w:rsid w:val="00E8529A"/>
    <w:rsid w:val="00E86CB8"/>
    <w:rsid w:val="00E87787"/>
    <w:rsid w:val="00E934B8"/>
    <w:rsid w:val="00E97CE9"/>
    <w:rsid w:val="00EA0624"/>
    <w:rsid w:val="00EB39CF"/>
    <w:rsid w:val="00EB7D55"/>
    <w:rsid w:val="00EC2A6B"/>
    <w:rsid w:val="00EC6D58"/>
    <w:rsid w:val="00ED6427"/>
    <w:rsid w:val="00EE49B5"/>
    <w:rsid w:val="00EE4E6F"/>
    <w:rsid w:val="00EE5753"/>
    <w:rsid w:val="00EF0EBF"/>
    <w:rsid w:val="00EF320B"/>
    <w:rsid w:val="00F01A8D"/>
    <w:rsid w:val="00F01DB6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6C01"/>
    <w:rsid w:val="00F473A3"/>
    <w:rsid w:val="00F53222"/>
    <w:rsid w:val="00F54C26"/>
    <w:rsid w:val="00F6229A"/>
    <w:rsid w:val="00F6497C"/>
    <w:rsid w:val="00F65E92"/>
    <w:rsid w:val="00F65EEE"/>
    <w:rsid w:val="00F662BC"/>
    <w:rsid w:val="00F73189"/>
    <w:rsid w:val="00F74CBB"/>
    <w:rsid w:val="00F80757"/>
    <w:rsid w:val="00F86A61"/>
    <w:rsid w:val="00F87CDB"/>
    <w:rsid w:val="00F919E2"/>
    <w:rsid w:val="00F936A4"/>
    <w:rsid w:val="00F93F17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C4505"/>
    <w:rsid w:val="00FD2E8C"/>
    <w:rsid w:val="00FD4240"/>
    <w:rsid w:val="00FD5B40"/>
    <w:rsid w:val="00FD6881"/>
    <w:rsid w:val="00FD7294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styleId="Szvegtrzsbehzssal">
    <w:name w:val="Body Text Indent"/>
    <w:basedOn w:val="Norml"/>
    <w:link w:val="SzvegtrzsbehzssalChar"/>
    <w:semiHidden/>
    <w:rsid w:val="000279D6"/>
    <w:pPr>
      <w:spacing w:after="0" w:line="240" w:lineRule="auto"/>
      <w:ind w:left="708"/>
    </w:pPr>
    <w:rPr>
      <w:rFonts w:ascii="Times New Roman" w:eastAsia="Times New Roman" w:hAnsi="Times New Roman"/>
      <w:color w:val="FF000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279D6"/>
    <w:rPr>
      <w:rFonts w:ascii="Times New Roman" w:eastAsia="Times New Roman" w:hAnsi="Times New Roman"/>
      <w:color w:val="FF0000"/>
      <w:sz w:val="22"/>
    </w:rPr>
  </w:style>
  <w:style w:type="character" w:customStyle="1" w:styleId="BPszvegtestChar">
    <w:name w:val="BP_szövegtest Char"/>
    <w:basedOn w:val="Bekezdsalapbettpusa"/>
    <w:link w:val="BPszvegtest"/>
    <w:locked/>
    <w:rsid w:val="007E508F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990B23" w:rsidP="00990B23">
          <w:pPr>
            <w:pStyle w:val="2A39565D77F541199C3B537B1E059F1F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990B23" w:rsidP="00990B23">
          <w:pPr>
            <w:pStyle w:val="F0D14CE6EB9C4F7AA3EA124F54C1AFCC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990B23" w:rsidP="00990B23">
          <w:pPr>
            <w:pStyle w:val="921220A193B3495BA3F13A7C61B5666E6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990B23" w:rsidP="00990B23">
          <w:pPr>
            <w:pStyle w:val="1B977001D0514609AF57B493AC5C92B46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8D9EBB7D4AC943FC8376D5B5E4710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397ACF-C91C-496A-A4BE-9D8F494C60E3}"/>
      </w:docPartPr>
      <w:docPartBody>
        <w:p w:rsidR="006F619F" w:rsidRDefault="00990B23" w:rsidP="00990B23">
          <w:pPr>
            <w:pStyle w:val="8D9EBB7D4AC943FC8376D5B5E471036C5"/>
          </w:pPr>
          <w:r w:rsidRPr="008D6203">
            <w:rPr>
              <w:rStyle w:val="Helyrzszveg"/>
            </w:rPr>
            <w:t>[Aláíró1 beosztása]</w:t>
          </w:r>
        </w:p>
      </w:docPartBody>
    </w:docPart>
    <w:docPart>
      <w:docPartPr>
        <w:name w:val="58F017050E9B425D9A57233E9626D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98C31-FDA5-47BF-96F7-56D697C7D012}"/>
      </w:docPartPr>
      <w:docPartBody>
        <w:p w:rsidR="002151AF" w:rsidRDefault="00990B23" w:rsidP="00990B23">
          <w:pPr>
            <w:pStyle w:val="58F017050E9B425D9A57233E9626D3993"/>
          </w:pPr>
          <w:r w:rsidRPr="008D6203">
            <w:rPr>
              <w:rStyle w:val="Helyrzszveg"/>
            </w:rPr>
            <w:t>[Aláíró2]</w:t>
          </w:r>
        </w:p>
      </w:docPartBody>
    </w:docPart>
    <w:docPart>
      <w:docPartPr>
        <w:name w:val="C097D1558668419AA41D51290AA8CB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477E8-89B1-437D-84D7-F7DDFF607600}"/>
      </w:docPartPr>
      <w:docPartBody>
        <w:p w:rsidR="00990B23" w:rsidRDefault="00990B23" w:rsidP="00990B23">
          <w:pPr>
            <w:pStyle w:val="C097D1558668419AA41D51290AA8CB4D1"/>
          </w:pPr>
          <w:r w:rsidRPr="001B7320">
            <w:rPr>
              <w:rStyle w:val="Helyrzszveg"/>
            </w:rPr>
            <w:t>[Aláíró1]</w:t>
          </w:r>
        </w:p>
      </w:docPartBody>
    </w:docPart>
    <w:docPart>
      <w:docPartPr>
        <w:name w:val="1615854231EA478ABB72972B7A379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F7350-819B-403F-B5F2-3653256B468B}"/>
      </w:docPartPr>
      <w:docPartBody>
        <w:p w:rsidR="009547A5" w:rsidRDefault="00990B23" w:rsidP="00990B23">
          <w:pPr>
            <w:pStyle w:val="1615854231EA478ABB72972B7A379D49"/>
          </w:pPr>
          <w:r w:rsidRPr="002D01E9">
            <w:rPr>
              <w:rStyle w:val="Helyrzszveg"/>
            </w:rPr>
            <w:t>[Aláíró2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3127A"/>
    <w:rsid w:val="00070030"/>
    <w:rsid w:val="00094103"/>
    <w:rsid w:val="001029E7"/>
    <w:rsid w:val="00170AB1"/>
    <w:rsid w:val="002151AF"/>
    <w:rsid w:val="00277727"/>
    <w:rsid w:val="00380467"/>
    <w:rsid w:val="003E4860"/>
    <w:rsid w:val="004B7662"/>
    <w:rsid w:val="00633525"/>
    <w:rsid w:val="006A25D0"/>
    <w:rsid w:val="006F619F"/>
    <w:rsid w:val="00705020"/>
    <w:rsid w:val="007463CB"/>
    <w:rsid w:val="00753869"/>
    <w:rsid w:val="00776D5F"/>
    <w:rsid w:val="007A743D"/>
    <w:rsid w:val="007B33B5"/>
    <w:rsid w:val="0086309C"/>
    <w:rsid w:val="008924BB"/>
    <w:rsid w:val="008955E6"/>
    <w:rsid w:val="008B1630"/>
    <w:rsid w:val="008B17BA"/>
    <w:rsid w:val="008C0BC5"/>
    <w:rsid w:val="0093209C"/>
    <w:rsid w:val="009547A5"/>
    <w:rsid w:val="00982FDF"/>
    <w:rsid w:val="00990B23"/>
    <w:rsid w:val="009A2CB0"/>
    <w:rsid w:val="00A364E4"/>
    <w:rsid w:val="00AB7897"/>
    <w:rsid w:val="00B103BD"/>
    <w:rsid w:val="00BF6614"/>
    <w:rsid w:val="00C04A19"/>
    <w:rsid w:val="00C30EB3"/>
    <w:rsid w:val="00CB2530"/>
    <w:rsid w:val="00CE7199"/>
    <w:rsid w:val="00D043E4"/>
    <w:rsid w:val="00E0046B"/>
    <w:rsid w:val="00EA036C"/>
    <w:rsid w:val="00EA04C2"/>
    <w:rsid w:val="00EC0B63"/>
    <w:rsid w:val="00F12DA2"/>
    <w:rsid w:val="00F56D92"/>
    <w:rsid w:val="00FB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0B2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">
    <w:name w:val="C7FC375502CF49ABA49112DBDB2E1CD7"/>
    <w:rsid w:val="00982FDF"/>
  </w:style>
  <w:style w:type="paragraph" w:customStyle="1" w:styleId="8D9EBB7D4AC943FC8376D5B5E471036C">
    <w:name w:val="8D9EBB7D4AC943FC8376D5B5E471036C"/>
    <w:rsid w:val="00982FDF"/>
  </w:style>
  <w:style w:type="paragraph" w:customStyle="1" w:styleId="C7FC375502CF49ABA49112DBDB2E1CD71">
    <w:name w:val="C7FC375502CF49ABA49112DBDB2E1CD7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1">
    <w:name w:val="8D9EBB7D4AC943FC8376D5B5E471036C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3C013B5A9B354F45B889F7A80D8A6B70">
    <w:name w:val="3C013B5A9B354F45B889F7A80D8A6B70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">
    <w:name w:val="13084DDB80F143E0885AE90A8970A762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2">
    <w:name w:val="2A39565D77F541199C3B537B1E059F1F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6F619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2">
    <w:name w:val="C7FC375502CF49ABA49112DBDB2E1CD7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2">
    <w:name w:val="8D9EBB7D4AC943FC8376D5B5E471036C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88D915D2D9C405F9BA28C7E23CE58A4">
    <w:name w:val="188D915D2D9C405F9BA28C7E23CE58A4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1">
    <w:name w:val="13084DDB80F143E0885AE90A8970A7621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3">
    <w:name w:val="2A39565D77F541199C3B537B1E059F1F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3">
    <w:name w:val="F0D14CE6EB9C4F7AA3EA124F54C1AFCC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3">
    <w:name w:val="921220A193B3495BA3F13A7C61B5666E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3">
    <w:name w:val="1B977001D0514609AF57B493AC5C92B43"/>
    <w:rsid w:val="0003127A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58F017050E9B425D9A57233E9626D399">
    <w:name w:val="58F017050E9B425D9A57233E9626D399"/>
    <w:rsid w:val="0003127A"/>
  </w:style>
  <w:style w:type="paragraph" w:customStyle="1" w:styleId="A81042F5937249388EEDE1009C858BA4">
    <w:name w:val="A81042F5937249388EEDE1009C858BA4"/>
    <w:rsid w:val="0003127A"/>
  </w:style>
  <w:style w:type="paragraph" w:customStyle="1" w:styleId="C7FC375502CF49ABA49112DBDB2E1CD73">
    <w:name w:val="C7FC375502CF49ABA49112DBDB2E1CD7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3">
    <w:name w:val="8D9EBB7D4AC943FC8376D5B5E471036C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1">
    <w:name w:val="58F017050E9B425D9A57233E9626D399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1">
    <w:name w:val="A81042F5937249388EEDE1009C858BA4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4">
    <w:name w:val="2A39565D77F541199C3B537B1E059F1F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4">
    <w:name w:val="F0D14CE6EB9C4F7AA3EA124F54C1AFCC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4">
    <w:name w:val="921220A193B3495BA3F13A7C61B5666E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4">
    <w:name w:val="1B977001D0514609AF57B493AC5C92B44"/>
    <w:rsid w:val="002151A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">
    <w:name w:val="C097D1558668419AA41D51290AA8CB4D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4">
    <w:name w:val="8D9EBB7D4AC943FC8376D5B5E471036C4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2">
    <w:name w:val="58F017050E9B425D9A57233E9626D399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2">
    <w:name w:val="A81042F5937249388EEDE1009C858BA4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5">
    <w:name w:val="2A39565D77F541199C3B537B1E059F1F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5">
    <w:name w:val="F0D14CE6EB9C4F7AA3EA124F54C1AFCC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5">
    <w:name w:val="921220A193B3495BA3F13A7C61B5666E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5">
    <w:name w:val="1B977001D0514609AF57B493AC5C92B45"/>
    <w:rsid w:val="008B1630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1">
    <w:name w:val="C097D1558668419AA41D51290AA8CB4D1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5">
    <w:name w:val="8D9EBB7D4AC943FC8376D5B5E471036C5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3">
    <w:name w:val="58F017050E9B425D9A57233E9626D3993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615854231EA478ABB72972B7A379D49">
    <w:name w:val="1615854231EA478ABB72972B7A379D49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6">
    <w:name w:val="2A39565D77F541199C3B537B1E059F1F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6">
    <w:name w:val="F0D14CE6EB9C4F7AA3EA124F54C1AFCC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6">
    <w:name w:val="921220A193B3495BA3F13A7C61B5666E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6">
    <w:name w:val="1B977001D0514609AF57B493AC5C92B46"/>
    <w:rsid w:val="00990B2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696ad36c-81b8-e211-859e-001ec9e754bc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NagyO@Budapest.hu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5d6ad36c-81b8-e211-859e-001ec9e754bc</edok_w_irat_id>
    <edok_w_alairo_1 xmlns="http://schemas.microsoft.com/sharepoint/v3">Dr. Bagdy Gábor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Csomós Miklós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 FOK Fővárosi Oktatástechnológiai Központ Szolgáltató Közhasznú Nonprofit Kft. 2012. évi beszámolójával kapcsolatos döntésekre</edok_w_targy>
    <edok_w_verziokiindulo xmlns="http://schemas.microsoft.com/sharepoint/v3" xsi:nil="true"/>
    <edok_w_url_doknev xmlns="http://schemas.microsoft.com/sharepoint/v3">KGYET-FOK-beszámoló.docx</edok_w_url_doknev>
    <edok_w_vegrehajto_uid xmlns="http://schemas.microsoft.com/sharepoint/v3" xsi:nil="true"/>
    <edok_w_ugyintezo xmlns="http://schemas.microsoft.com/sharepoint/v3">Nagy Orsolya</edok_w_ugyintezo>
    <edok_w_ugyintezotel xmlns="http://schemas.microsoft.com/sharepoint/v3">+36 1 327-1668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/1440 - 117 /2013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*1000053103704*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8477765827D2424F87F19B452C70D62A" ma:contentTypeVersion="1" ma:contentTypeDescription="Alap iktatható dokumentum" ma:contentTypeScope="" ma:versionID="8a9f58c1e34e3f4442c84f04933264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8D1576-6E18-424C-BCFF-D23E44834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E49DB82-6B4D-452A-A318-B311A121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1991</Words>
  <Characters>13744</Characters>
  <Application>Microsoft Office Word</Application>
  <DocSecurity>4</DocSecurity>
  <Lines>114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Nagy Orsolya</cp:lastModifiedBy>
  <cp:revision>2</cp:revision>
  <cp:lastPrinted>2013-05-17T07:44:00Z</cp:lastPrinted>
  <dcterms:created xsi:type="dcterms:W3CDTF">2013-05-17T10:14:00Z</dcterms:created>
  <dcterms:modified xsi:type="dcterms:W3CDTF">2013-05-17T10:14:00Z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0x0101003685BE14D0DA486792C1E617240A972201008477765827D2424F87F19B452C70D62A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1 327-1952</vt:lpwstr>
  </property>
  <property fmtid="{D5CDD505-2E9C-101B-9397-08002B2CF9AE}" pid="5" name="edok_w_alairo1_emailcime">
    <vt:lpwstr>bagdy.gabor@budapest.hu</vt:lpwstr>
  </property>
</Properties>
</file>