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people.xml" ContentType="application/vnd.openxmlformats-officedocument.wordprocessingml.peop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57" w:rsidRDefault="004D5757" w:rsidP="00996DC7">
      <w:pPr>
        <w:sectPr w:rsidR="004D5757" w:rsidSect="00D51ADE">
          <w:headerReference w:type="default" r:id="rId8"/>
          <w:footerReference w:type="default" r:id="rId9"/>
          <w:headerReference w:type="first" r:id="rId10"/>
          <w:footerReference w:type="first" r:id="rId11"/>
          <w:type w:val="continuous"/>
          <w:pgSz w:w="11906" w:h="16838"/>
          <w:pgMar w:top="1675" w:right="1418" w:bottom="1560" w:left="1418" w:header="0" w:footer="1207" w:gutter="0"/>
          <w:cols w:space="708"/>
          <w:titlePg/>
          <w:docGrid w:linePitch="360"/>
        </w:sectPr>
      </w:pPr>
    </w:p>
    <w:p w:rsidR="007F1003" w:rsidRDefault="007F1003" w:rsidP="00996DC7"/>
    <w:p w:rsidR="007F1003" w:rsidRDefault="007F1003" w:rsidP="00996DC7"/>
    <w:p w:rsidR="007F1003" w:rsidRDefault="007F1003"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BA64B5" w:rsidRPr="00902B08" w:rsidRDefault="00D51ADE" w:rsidP="00902B08">
      <w:pPr>
        <w:spacing w:line="259" w:lineRule="auto"/>
        <w:jc w:val="center"/>
        <w:rPr>
          <w:rFonts w:eastAsiaTheme="minorHAnsi"/>
          <w:b/>
          <w:sz w:val="40"/>
          <w:lang w:eastAsia="en-US"/>
        </w:rPr>
      </w:pPr>
      <w:r w:rsidRPr="00902B08">
        <w:rPr>
          <w:rFonts w:eastAsiaTheme="minorHAnsi"/>
          <w:b/>
          <w:sz w:val="40"/>
          <w:lang w:eastAsia="en-US"/>
        </w:rPr>
        <w:t>KÖZSZOLGÁLTATÁSI JELENTÉS</w:t>
      </w:r>
    </w:p>
    <w:p w:rsidR="00D51ADE" w:rsidRDefault="00D51ADE" w:rsidP="00996DC7">
      <w:pPr>
        <w:jc w:val="center"/>
      </w:pPr>
    </w:p>
    <w:p w:rsidR="00D51ADE" w:rsidRDefault="00D51ADE" w:rsidP="00996DC7">
      <w:pPr>
        <w:jc w:val="center"/>
      </w:pPr>
    </w:p>
    <w:p w:rsidR="00BA64B5" w:rsidRPr="00996DC7" w:rsidRDefault="00D51ADE" w:rsidP="00996DC7">
      <w:pPr>
        <w:jc w:val="center"/>
        <w:rPr>
          <w:sz w:val="32"/>
        </w:rPr>
      </w:pPr>
      <w:r w:rsidRPr="00996DC7">
        <w:rPr>
          <w:sz w:val="32"/>
        </w:rPr>
        <w:t xml:space="preserve">Beszámoló Budapest Főváros Önkormányzata és a FŐKÉTÜSZ Fővárosi </w:t>
      </w:r>
      <w:proofErr w:type="spellStart"/>
      <w:r w:rsidRPr="00996DC7">
        <w:rPr>
          <w:sz w:val="32"/>
        </w:rPr>
        <w:t>Kéményseprőipari</w:t>
      </w:r>
      <w:proofErr w:type="spellEnd"/>
      <w:r w:rsidRPr="00996DC7">
        <w:rPr>
          <w:sz w:val="32"/>
        </w:rPr>
        <w:t xml:space="preserve"> Kft. közötti közszolgáltatási szerződés 201</w:t>
      </w:r>
      <w:r w:rsidR="00996DC7" w:rsidRPr="00996DC7">
        <w:rPr>
          <w:sz w:val="32"/>
        </w:rPr>
        <w:t>3</w:t>
      </w:r>
      <w:r w:rsidRPr="00996DC7">
        <w:rPr>
          <w:sz w:val="32"/>
        </w:rPr>
        <w:t>. évi teljesítéséről</w:t>
      </w:r>
    </w:p>
    <w:p w:rsidR="00BA64B5" w:rsidRDefault="00BA64B5"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D51ADE" w:rsidRDefault="00D51ADE" w:rsidP="00996DC7"/>
    <w:p w:rsidR="00EB66F1" w:rsidRDefault="007F1003" w:rsidP="00996DC7">
      <w:pPr>
        <w:rPr>
          <w:sz w:val="20"/>
        </w:rPr>
      </w:pPr>
      <w:r>
        <w:t xml:space="preserve">Készült: Budapest, </w:t>
      </w:r>
      <w:r w:rsidR="00996DC7">
        <w:t xml:space="preserve">2014. </w:t>
      </w:r>
      <w:r w:rsidR="00F4511E">
        <w:t xml:space="preserve">május </w:t>
      </w:r>
      <w:r w:rsidR="00B01C17">
        <w:t>28</w:t>
      </w:r>
      <w:bookmarkStart w:id="0" w:name="_GoBack"/>
      <w:bookmarkEnd w:id="0"/>
      <w:r w:rsidR="00996DC7">
        <w:t>.</w:t>
      </w:r>
      <w:r w:rsidR="00EB66F1">
        <w:rPr>
          <w:sz w:val="20"/>
        </w:rPr>
        <w:br w:type="page"/>
      </w:r>
    </w:p>
    <w:sdt>
      <w:sdtPr>
        <w:rPr>
          <w:rFonts w:eastAsiaTheme="minorEastAsia"/>
          <w:b w:val="0"/>
          <w:sz w:val="20"/>
          <w:szCs w:val="20"/>
          <w:lang w:eastAsia="hu-HU"/>
        </w:rPr>
        <w:id w:val="1209449902"/>
        <w:docPartObj>
          <w:docPartGallery w:val="Table of Contents"/>
          <w:docPartUnique/>
        </w:docPartObj>
      </w:sdtPr>
      <w:sdtEndPr>
        <w:rPr>
          <w:bCs/>
        </w:rPr>
      </w:sdtEndPr>
      <w:sdtContent>
        <w:p w:rsidR="009E6271" w:rsidRPr="009E6271" w:rsidRDefault="002B1834" w:rsidP="009E6271">
          <w:pPr>
            <w:pStyle w:val="Tartalomjegyzkcmsora"/>
            <w:spacing w:after="0"/>
            <w:rPr>
              <w:sz w:val="20"/>
              <w:szCs w:val="20"/>
            </w:rPr>
          </w:pPr>
          <w:r w:rsidRPr="002B1834">
            <w:rPr>
              <w:sz w:val="20"/>
              <w:szCs w:val="20"/>
            </w:rPr>
            <w:t>Tartalom</w:t>
          </w:r>
        </w:p>
        <w:p w:rsidR="00B123E4" w:rsidRPr="00B123E4" w:rsidRDefault="00B477AA">
          <w:pPr>
            <w:pStyle w:val="TJ1"/>
            <w:tabs>
              <w:tab w:val="left" w:pos="440"/>
              <w:tab w:val="right" w:leader="dot" w:pos="9060"/>
            </w:tabs>
            <w:rPr>
              <w:rFonts w:asciiTheme="minorHAnsi" w:hAnsiTheme="minorHAnsi" w:cstheme="minorBidi"/>
              <w:noProof/>
              <w:sz w:val="20"/>
              <w:szCs w:val="20"/>
            </w:rPr>
          </w:pPr>
          <w:r w:rsidRPr="00B477AA">
            <w:rPr>
              <w:sz w:val="20"/>
              <w:szCs w:val="20"/>
            </w:rPr>
            <w:fldChar w:fldCharType="begin"/>
          </w:r>
          <w:r w:rsidR="009E6271" w:rsidRPr="009E6271">
            <w:rPr>
              <w:sz w:val="20"/>
              <w:szCs w:val="20"/>
            </w:rPr>
            <w:instrText xml:space="preserve"> TOC \o "1-3" \h \z \u </w:instrText>
          </w:r>
          <w:r w:rsidRPr="00B477AA">
            <w:rPr>
              <w:sz w:val="20"/>
              <w:szCs w:val="20"/>
            </w:rPr>
            <w:fldChar w:fldCharType="separate"/>
          </w:r>
          <w:hyperlink w:anchor="_Toc389041305" w:history="1">
            <w:r w:rsidR="009E6271" w:rsidRPr="009E6271">
              <w:rPr>
                <w:rStyle w:val="Hiperhivatkozs"/>
                <w:noProof/>
                <w:sz w:val="20"/>
                <w:szCs w:val="20"/>
              </w:rPr>
              <w:t>1</w:t>
            </w:r>
            <w:r w:rsidR="009E6271" w:rsidRPr="009E6271">
              <w:rPr>
                <w:rFonts w:asciiTheme="minorHAnsi" w:hAnsiTheme="minorHAnsi" w:cstheme="minorBidi"/>
                <w:noProof/>
                <w:sz w:val="20"/>
                <w:szCs w:val="20"/>
              </w:rPr>
              <w:tab/>
            </w:r>
            <w:r w:rsidR="009E6271" w:rsidRPr="009E6271">
              <w:rPr>
                <w:rStyle w:val="Hiperhivatkozs"/>
                <w:noProof/>
                <w:sz w:val="20"/>
                <w:szCs w:val="20"/>
              </w:rPr>
              <w:t>Előzmények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_Toc389041305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4</w:t>
            </w:r>
            <w:r w:rsidRPr="009E6271">
              <w:rPr>
                <w:noProof/>
                <w:webHidden/>
                <w:sz w:val="20"/>
                <w:szCs w:val="20"/>
              </w:rPr>
              <w:fldChar w:fldCharType="end"/>
            </w:r>
          </w:hyperlink>
        </w:p>
        <w:p w:rsidR="00B123E4" w:rsidRPr="00B123E4" w:rsidRDefault="00B477AA">
          <w:pPr>
            <w:pStyle w:val="TJ1"/>
            <w:tabs>
              <w:tab w:val="left" w:pos="440"/>
              <w:tab w:val="right" w:leader="dot" w:pos="9060"/>
            </w:tabs>
            <w:rPr>
              <w:rFonts w:asciiTheme="minorHAnsi" w:hAnsiTheme="minorHAnsi" w:cstheme="minorBidi"/>
              <w:noProof/>
              <w:sz w:val="20"/>
              <w:szCs w:val="20"/>
            </w:rPr>
          </w:pPr>
          <w:hyperlink w:anchor="_Toc389041306" w:history="1">
            <w:r w:rsidR="009E6271" w:rsidRPr="009E6271">
              <w:rPr>
                <w:rStyle w:val="Hiperhivatkozs"/>
                <w:noProof/>
                <w:sz w:val="20"/>
                <w:szCs w:val="20"/>
              </w:rPr>
              <w:t>2</w:t>
            </w:r>
            <w:r w:rsidR="009E6271" w:rsidRPr="009E6271">
              <w:rPr>
                <w:rFonts w:asciiTheme="minorHAnsi" w:hAnsiTheme="minorHAnsi" w:cstheme="minorBidi"/>
                <w:noProof/>
                <w:sz w:val="20"/>
                <w:szCs w:val="20"/>
              </w:rPr>
              <w:tab/>
            </w:r>
            <w:r w:rsidR="009E6271" w:rsidRPr="009E6271">
              <w:rPr>
                <w:rStyle w:val="Hiperhivatkozs"/>
                <w:noProof/>
                <w:sz w:val="20"/>
                <w:szCs w:val="20"/>
              </w:rPr>
              <w:t>A Közszolgáltatási Szerződés célja</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_Toc389041306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4</w:t>
            </w:r>
            <w:r w:rsidRPr="009E6271">
              <w:rPr>
                <w:noProof/>
                <w:webHidden/>
                <w:sz w:val="20"/>
                <w:szCs w:val="20"/>
              </w:rPr>
              <w:fldChar w:fldCharType="end"/>
            </w:r>
          </w:hyperlink>
        </w:p>
        <w:p w:rsidR="00B123E4" w:rsidRPr="00B123E4" w:rsidRDefault="00B477AA">
          <w:pPr>
            <w:pStyle w:val="TJ1"/>
            <w:tabs>
              <w:tab w:val="left" w:pos="440"/>
              <w:tab w:val="right" w:leader="dot" w:pos="9060"/>
            </w:tabs>
            <w:rPr>
              <w:rFonts w:asciiTheme="minorHAnsi" w:hAnsiTheme="minorHAnsi" w:cstheme="minorBidi"/>
              <w:noProof/>
              <w:sz w:val="20"/>
              <w:szCs w:val="20"/>
            </w:rPr>
          </w:pPr>
          <w:hyperlink w:anchor="_Toc389041307" w:history="1">
            <w:r w:rsidR="009E6271" w:rsidRPr="009E6271">
              <w:rPr>
                <w:rStyle w:val="Hiperhivatkozs"/>
                <w:noProof/>
                <w:sz w:val="20"/>
                <w:szCs w:val="20"/>
              </w:rPr>
              <w:t>3</w:t>
            </w:r>
            <w:r w:rsidR="009E6271" w:rsidRPr="009E6271">
              <w:rPr>
                <w:rFonts w:asciiTheme="minorHAnsi" w:hAnsiTheme="minorHAnsi" w:cstheme="minorBidi"/>
                <w:noProof/>
                <w:sz w:val="20"/>
                <w:szCs w:val="20"/>
              </w:rPr>
              <w:tab/>
            </w:r>
            <w:r w:rsidR="009E6271" w:rsidRPr="009E6271">
              <w:rPr>
                <w:rStyle w:val="Hiperhivatkozs"/>
                <w:noProof/>
                <w:sz w:val="20"/>
                <w:szCs w:val="20"/>
              </w:rPr>
              <w:t>A Közszolgáltatási Szerződésben vállalt kötelezettségek teljesítése</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_Toc389041307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5</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08" w:history="1">
            <w:r w:rsidR="009E6271" w:rsidRPr="009E6271">
              <w:rPr>
                <w:rStyle w:val="Hiperhivatkozs"/>
                <w:noProof/>
                <w:sz w:val="20"/>
                <w:szCs w:val="20"/>
              </w:rPr>
              <w:t>3.1</w:t>
            </w:r>
            <w:r w:rsidR="009E6271" w:rsidRPr="009E6271">
              <w:rPr>
                <w:rFonts w:asciiTheme="minorHAnsi" w:hAnsiTheme="minorHAnsi" w:cstheme="minorBidi"/>
                <w:noProof/>
                <w:sz w:val="20"/>
                <w:szCs w:val="20"/>
              </w:rPr>
              <w:tab/>
            </w:r>
            <w:r w:rsidR="009E6271" w:rsidRPr="009E6271">
              <w:rPr>
                <w:rStyle w:val="Hiperhivatkozs"/>
                <w:noProof/>
                <w:sz w:val="20"/>
                <w:szCs w:val="20"/>
              </w:rPr>
              <w:t>Szolgáltatások bemutatása</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_Toc389041308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5</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09" w:history="1">
            <w:r w:rsidR="009E6271" w:rsidRPr="009E6271">
              <w:rPr>
                <w:rStyle w:val="Hiperhivatkozs"/>
                <w:noProof/>
                <w:sz w:val="20"/>
                <w:szCs w:val="20"/>
              </w:rPr>
              <w:t>3.2</w:t>
            </w:r>
            <w:r w:rsidR="009E6271" w:rsidRPr="009E6271">
              <w:rPr>
                <w:rFonts w:asciiTheme="minorHAnsi" w:hAnsiTheme="minorHAnsi" w:cstheme="minorBidi"/>
                <w:noProof/>
                <w:sz w:val="20"/>
                <w:szCs w:val="20"/>
              </w:rPr>
              <w:tab/>
            </w:r>
            <w:r w:rsidR="009E6271" w:rsidRPr="009E6271">
              <w:rPr>
                <w:rStyle w:val="Hiperhivatkozs"/>
                <w:noProof/>
                <w:sz w:val="20"/>
                <w:szCs w:val="20"/>
              </w:rPr>
              <w:t>Feladat ellátása, telephelyek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_Toc389041309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5</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10" w:history="1">
            <w:r w:rsidR="009E6271" w:rsidRPr="009E6271">
              <w:rPr>
                <w:rStyle w:val="Hiperhivatkozs"/>
                <w:noProof/>
                <w:sz w:val="20"/>
                <w:szCs w:val="20"/>
              </w:rPr>
              <w:t>3.3</w:t>
            </w:r>
            <w:r w:rsidR="009E6271" w:rsidRPr="009E6271">
              <w:rPr>
                <w:rFonts w:asciiTheme="minorHAnsi" w:hAnsiTheme="minorHAnsi" w:cstheme="minorBidi"/>
                <w:noProof/>
                <w:sz w:val="20"/>
                <w:szCs w:val="20"/>
              </w:rPr>
              <w:tab/>
            </w:r>
            <w:r w:rsidR="009E6271" w:rsidRPr="009E6271">
              <w:rPr>
                <w:rStyle w:val="Hiperhivatkozs"/>
                <w:noProof/>
                <w:sz w:val="20"/>
                <w:szCs w:val="20"/>
              </w:rPr>
              <w:t>Jogszabályi változások 2013 vonatkozásában</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_Toc389041310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6</w:t>
            </w:r>
            <w:r w:rsidRPr="009E6271">
              <w:rPr>
                <w:noProof/>
                <w:webHidden/>
                <w:sz w:val="20"/>
                <w:szCs w:val="20"/>
              </w:rPr>
              <w:fldChar w:fldCharType="end"/>
            </w:r>
          </w:hyperlink>
        </w:p>
        <w:p w:rsidR="00B123E4" w:rsidRPr="00B123E4" w:rsidRDefault="00B477AA">
          <w:pPr>
            <w:pStyle w:val="TJ3"/>
            <w:tabs>
              <w:tab w:val="left" w:pos="1320"/>
              <w:tab w:val="right" w:leader="dot" w:pos="9060"/>
            </w:tabs>
            <w:rPr>
              <w:rFonts w:asciiTheme="minorHAnsi" w:hAnsiTheme="minorHAnsi" w:cstheme="minorBidi"/>
              <w:noProof/>
              <w:sz w:val="20"/>
              <w:szCs w:val="20"/>
            </w:rPr>
          </w:pPr>
          <w:hyperlink w:anchor="_Toc389041311" w:history="1">
            <w:r w:rsidR="009E6271" w:rsidRPr="009E6271">
              <w:rPr>
                <w:rStyle w:val="Hiperhivatkozs"/>
                <w:noProof/>
                <w:sz w:val="20"/>
                <w:szCs w:val="20"/>
              </w:rPr>
              <w:t>3.3.1</w:t>
            </w:r>
            <w:r w:rsidR="009E6271" w:rsidRPr="009E6271">
              <w:rPr>
                <w:rFonts w:asciiTheme="minorHAnsi" w:hAnsiTheme="minorHAnsi" w:cstheme="minorBidi"/>
                <w:noProof/>
                <w:sz w:val="20"/>
                <w:szCs w:val="20"/>
              </w:rPr>
              <w:tab/>
            </w:r>
            <w:r w:rsidR="009E6271" w:rsidRPr="009E6271">
              <w:rPr>
                <w:rStyle w:val="Hiperhivatkozs"/>
                <w:noProof/>
                <w:sz w:val="20"/>
                <w:szCs w:val="20"/>
              </w:rPr>
              <w:t>14/2013. (III. 18.) Főv. Kgy. rendelet</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_Toc389041311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6</w:t>
            </w:r>
            <w:r w:rsidRPr="009E6271">
              <w:rPr>
                <w:noProof/>
                <w:webHidden/>
                <w:sz w:val="20"/>
                <w:szCs w:val="20"/>
              </w:rPr>
              <w:fldChar w:fldCharType="end"/>
            </w:r>
          </w:hyperlink>
        </w:p>
        <w:p w:rsidR="00B123E4" w:rsidRPr="00B123E4" w:rsidRDefault="00B477AA">
          <w:pPr>
            <w:pStyle w:val="TJ3"/>
            <w:tabs>
              <w:tab w:val="left" w:pos="1320"/>
              <w:tab w:val="right" w:leader="dot" w:pos="9060"/>
            </w:tabs>
            <w:rPr>
              <w:rFonts w:asciiTheme="minorHAnsi" w:hAnsiTheme="minorHAnsi" w:cstheme="minorBidi"/>
              <w:noProof/>
              <w:sz w:val="20"/>
              <w:szCs w:val="20"/>
            </w:rPr>
          </w:pPr>
          <w:hyperlink w:anchor="_Toc389041312" w:history="1">
            <w:r w:rsidR="009E6271" w:rsidRPr="009E6271">
              <w:rPr>
                <w:rStyle w:val="Hiperhivatkozs"/>
                <w:noProof/>
                <w:sz w:val="20"/>
                <w:szCs w:val="20"/>
              </w:rPr>
              <w:t>3.3.2</w:t>
            </w:r>
            <w:r w:rsidR="009E6271" w:rsidRPr="009E6271">
              <w:rPr>
                <w:rFonts w:asciiTheme="minorHAnsi" w:hAnsiTheme="minorHAnsi" w:cstheme="minorBidi"/>
                <w:noProof/>
                <w:sz w:val="20"/>
                <w:szCs w:val="20"/>
              </w:rPr>
              <w:tab/>
            </w:r>
            <w:r w:rsidR="009E6271" w:rsidRPr="009E6271">
              <w:rPr>
                <w:rStyle w:val="Hiperhivatkozs"/>
                <w:noProof/>
                <w:sz w:val="20"/>
                <w:szCs w:val="20"/>
              </w:rPr>
              <w:t>A kéményseprő-ipari közszolgáltatásról szóló 2012. évi XC. törvény</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_Toc389041312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7</w:t>
            </w:r>
            <w:r w:rsidRPr="009E6271">
              <w:rPr>
                <w:noProof/>
                <w:webHidden/>
                <w:sz w:val="20"/>
                <w:szCs w:val="20"/>
              </w:rPr>
              <w:fldChar w:fldCharType="end"/>
            </w:r>
          </w:hyperlink>
        </w:p>
        <w:p w:rsidR="00B123E4" w:rsidRPr="00B123E4" w:rsidRDefault="00B477AA">
          <w:pPr>
            <w:pStyle w:val="TJ3"/>
            <w:tabs>
              <w:tab w:val="left" w:pos="1320"/>
              <w:tab w:val="right" w:leader="dot" w:pos="9060"/>
            </w:tabs>
            <w:rPr>
              <w:rFonts w:asciiTheme="minorHAnsi" w:hAnsiTheme="minorHAnsi" w:cstheme="minorBidi"/>
              <w:noProof/>
              <w:sz w:val="20"/>
              <w:szCs w:val="20"/>
            </w:rPr>
          </w:pPr>
          <w:hyperlink w:anchor="_Toc389041313" w:history="1">
            <w:r w:rsidR="009E6271" w:rsidRPr="009E6271">
              <w:rPr>
                <w:rStyle w:val="Hiperhivatkozs"/>
                <w:noProof/>
                <w:sz w:val="20"/>
                <w:szCs w:val="20"/>
              </w:rPr>
              <w:t>3.3.3</w:t>
            </w:r>
            <w:r w:rsidR="009E6271" w:rsidRPr="009E6271">
              <w:rPr>
                <w:rFonts w:asciiTheme="minorHAnsi" w:hAnsiTheme="minorHAnsi" w:cstheme="minorBidi"/>
                <w:noProof/>
                <w:sz w:val="20"/>
                <w:szCs w:val="20"/>
              </w:rPr>
              <w:tab/>
            </w:r>
            <w:r w:rsidR="009E6271" w:rsidRPr="009E6271">
              <w:rPr>
                <w:rStyle w:val="Hiperhivatkozs"/>
                <w:noProof/>
                <w:sz w:val="20"/>
                <w:szCs w:val="20"/>
              </w:rPr>
              <w:t>A fogyasztóvédelemről szóló 1997. évi CLV. törvény</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_Toc389041313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7</w:t>
            </w:r>
            <w:r w:rsidRPr="009E6271">
              <w:rPr>
                <w:noProof/>
                <w:webHidden/>
                <w:sz w:val="20"/>
                <w:szCs w:val="20"/>
              </w:rPr>
              <w:fldChar w:fldCharType="end"/>
            </w:r>
          </w:hyperlink>
        </w:p>
        <w:p w:rsidR="00B123E4" w:rsidRPr="00B123E4" w:rsidRDefault="00B477AA">
          <w:pPr>
            <w:pStyle w:val="TJ3"/>
            <w:tabs>
              <w:tab w:val="left" w:pos="1320"/>
              <w:tab w:val="right" w:leader="dot" w:pos="9060"/>
            </w:tabs>
            <w:rPr>
              <w:rFonts w:asciiTheme="minorHAnsi" w:hAnsiTheme="minorHAnsi" w:cstheme="minorBidi"/>
              <w:noProof/>
              <w:sz w:val="20"/>
              <w:szCs w:val="20"/>
            </w:rPr>
          </w:pPr>
          <w:hyperlink w:anchor="_Toc389041314" w:history="1">
            <w:r w:rsidR="009E6271" w:rsidRPr="009E6271">
              <w:rPr>
                <w:rStyle w:val="Hiperhivatkozs"/>
                <w:noProof/>
                <w:sz w:val="20"/>
                <w:szCs w:val="20"/>
              </w:rPr>
              <w:t>3.3.4</w:t>
            </w:r>
            <w:r w:rsidR="009E6271" w:rsidRPr="009E6271">
              <w:rPr>
                <w:rFonts w:asciiTheme="minorHAnsi" w:hAnsiTheme="minorHAnsi" w:cstheme="minorBidi"/>
                <w:noProof/>
                <w:sz w:val="20"/>
                <w:szCs w:val="20"/>
              </w:rPr>
              <w:tab/>
            </w:r>
            <w:r w:rsidR="009E6271" w:rsidRPr="009E6271">
              <w:rPr>
                <w:rStyle w:val="Hiperhivatkozs"/>
                <w:noProof/>
                <w:sz w:val="20"/>
                <w:szCs w:val="20"/>
              </w:rPr>
              <w:t>Az egységes közszolgáltatói számlaképről szóló 2013. évi CLXXXVIII. törvény</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_Toc389041314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7</w:t>
            </w:r>
            <w:r w:rsidRPr="009E6271">
              <w:rPr>
                <w:noProof/>
                <w:webHidden/>
                <w:sz w:val="20"/>
                <w:szCs w:val="20"/>
              </w:rPr>
              <w:fldChar w:fldCharType="end"/>
            </w:r>
          </w:hyperlink>
        </w:p>
        <w:p w:rsidR="00B123E4" w:rsidRPr="00B123E4" w:rsidRDefault="00B477AA">
          <w:pPr>
            <w:pStyle w:val="TJ3"/>
            <w:tabs>
              <w:tab w:val="left" w:pos="1320"/>
              <w:tab w:val="right" w:leader="dot" w:pos="9060"/>
            </w:tabs>
            <w:rPr>
              <w:rFonts w:asciiTheme="minorHAnsi" w:hAnsiTheme="minorHAnsi" w:cstheme="minorBidi"/>
              <w:noProof/>
              <w:sz w:val="20"/>
              <w:szCs w:val="20"/>
            </w:rPr>
          </w:pPr>
          <w:hyperlink w:anchor="_Toc389041315" w:history="1">
            <w:r w:rsidR="009E6271" w:rsidRPr="009E6271">
              <w:rPr>
                <w:rStyle w:val="Hiperhivatkozs"/>
                <w:noProof/>
                <w:sz w:val="20"/>
                <w:szCs w:val="20"/>
              </w:rPr>
              <w:t>3.3.5</w:t>
            </w:r>
            <w:r w:rsidR="009E6271" w:rsidRPr="009E6271">
              <w:rPr>
                <w:rFonts w:asciiTheme="minorHAnsi" w:hAnsiTheme="minorHAnsi" w:cstheme="minorBidi"/>
                <w:noProof/>
                <w:sz w:val="20"/>
                <w:szCs w:val="20"/>
              </w:rPr>
              <w:tab/>
            </w:r>
            <w:r w:rsidR="009E6271" w:rsidRPr="009E6271">
              <w:rPr>
                <w:rStyle w:val="Hiperhivatkozs"/>
                <w:noProof/>
                <w:sz w:val="20"/>
                <w:szCs w:val="20"/>
              </w:rPr>
              <w:t>OTÉK 253/1997. (XII. 20.) Korm. rendelet</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_Toc389041315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7</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16" w:history="1">
            <w:r w:rsidR="009E6271" w:rsidRPr="009E6271">
              <w:rPr>
                <w:rStyle w:val="Hiperhivatkozs"/>
                <w:noProof/>
                <w:sz w:val="20"/>
                <w:szCs w:val="20"/>
              </w:rPr>
              <w:t>3.4</w:t>
            </w:r>
            <w:r w:rsidR="009E6271" w:rsidRPr="009E6271">
              <w:rPr>
                <w:rFonts w:asciiTheme="minorHAnsi" w:hAnsiTheme="minorHAnsi" w:cstheme="minorBidi"/>
                <w:noProof/>
                <w:sz w:val="20"/>
                <w:szCs w:val="20"/>
              </w:rPr>
              <w:tab/>
            </w:r>
            <w:r w:rsidR="009E6271" w:rsidRPr="009E6271">
              <w:rPr>
                <w:rStyle w:val="Hiperhivatkozs"/>
                <w:noProof/>
                <w:sz w:val="20"/>
                <w:szCs w:val="20"/>
              </w:rPr>
              <w:t>Megtett intézkedések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_Toc389041316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7</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17" w:history="1">
            <w:r w:rsidR="009E6271" w:rsidRPr="009E6271">
              <w:rPr>
                <w:rStyle w:val="Hiperhivatkozs"/>
                <w:noProof/>
                <w:sz w:val="20"/>
                <w:szCs w:val="20"/>
              </w:rPr>
              <w:t>3.5</w:t>
            </w:r>
            <w:r w:rsidR="009E6271" w:rsidRPr="009E6271">
              <w:rPr>
                <w:rFonts w:asciiTheme="minorHAnsi" w:hAnsiTheme="minorHAnsi" w:cstheme="minorBidi"/>
                <w:noProof/>
                <w:sz w:val="20"/>
                <w:szCs w:val="20"/>
              </w:rPr>
              <w:tab/>
            </w:r>
            <w:r w:rsidR="009E6271" w:rsidRPr="009E6271">
              <w:rPr>
                <w:rStyle w:val="Hiperhivatkozs"/>
                <w:noProof/>
                <w:sz w:val="20"/>
                <w:szCs w:val="20"/>
              </w:rPr>
              <w:t>Nyilvántartási rendszer</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_Toc389041317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8</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18" w:history="1">
            <w:r w:rsidR="009E6271" w:rsidRPr="009E6271">
              <w:rPr>
                <w:rStyle w:val="Hiperhivatkozs"/>
                <w:noProof/>
                <w:sz w:val="20"/>
                <w:szCs w:val="20"/>
              </w:rPr>
              <w:t>3.6</w:t>
            </w:r>
            <w:r w:rsidR="009E6271" w:rsidRPr="009E6271">
              <w:rPr>
                <w:rFonts w:asciiTheme="minorHAnsi" w:hAnsiTheme="minorHAnsi" w:cstheme="minorBidi"/>
                <w:noProof/>
                <w:sz w:val="20"/>
                <w:szCs w:val="20"/>
              </w:rPr>
              <w:tab/>
            </w:r>
            <w:r w:rsidR="009E6271" w:rsidRPr="009E6271">
              <w:rPr>
                <w:rStyle w:val="Hiperhivatkozs"/>
                <w:noProof/>
                <w:sz w:val="20"/>
                <w:szCs w:val="20"/>
              </w:rPr>
              <w:t>Szakemberállomány</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_Toc389041318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9</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19" w:history="1">
            <w:r w:rsidR="009E6271" w:rsidRPr="009E6271">
              <w:rPr>
                <w:rStyle w:val="Hiperhivatkozs"/>
                <w:noProof/>
                <w:sz w:val="20"/>
                <w:szCs w:val="20"/>
              </w:rPr>
              <w:t>3.7</w:t>
            </w:r>
            <w:r w:rsidR="009E6271" w:rsidRPr="009E6271">
              <w:rPr>
                <w:rFonts w:asciiTheme="minorHAnsi" w:hAnsiTheme="minorHAnsi" w:cstheme="minorBidi"/>
                <w:noProof/>
                <w:sz w:val="20"/>
                <w:szCs w:val="20"/>
              </w:rPr>
              <w:tab/>
            </w:r>
            <w:r w:rsidR="009E6271" w:rsidRPr="009E6271">
              <w:rPr>
                <w:rStyle w:val="Hiperhivatkozs"/>
                <w:noProof/>
                <w:sz w:val="20"/>
                <w:szCs w:val="20"/>
              </w:rPr>
              <w:t>Technikai eszközök, felszereltség</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_Toc389041319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11</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0" w:history="1">
            <w:r w:rsidR="009E6271" w:rsidRPr="009E6271">
              <w:rPr>
                <w:rStyle w:val="Hiperhivatkozs"/>
                <w:noProof/>
                <w:sz w:val="20"/>
                <w:szCs w:val="20"/>
              </w:rPr>
              <w:t>3.8</w:t>
            </w:r>
            <w:r w:rsidR="009E6271" w:rsidRPr="009E6271">
              <w:rPr>
                <w:rFonts w:asciiTheme="minorHAnsi" w:hAnsiTheme="minorHAnsi" w:cstheme="minorBidi"/>
                <w:noProof/>
                <w:sz w:val="20"/>
                <w:szCs w:val="20"/>
              </w:rPr>
              <w:tab/>
            </w:r>
            <w:r w:rsidR="009E6271" w:rsidRPr="009E6271">
              <w:rPr>
                <w:rStyle w:val="Hiperhivatkozs"/>
                <w:noProof/>
                <w:sz w:val="20"/>
                <w:szCs w:val="20"/>
              </w:rPr>
              <w:t>Ügyfélfogadás, ügyelet, tájékoztatás</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_Toc389041320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11</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1" w:history="1">
            <w:r w:rsidR="009E6271" w:rsidRPr="009E6271">
              <w:rPr>
                <w:rStyle w:val="Hiperhivatkozs"/>
                <w:noProof/>
                <w:sz w:val="20"/>
                <w:szCs w:val="20"/>
              </w:rPr>
              <w:t>3.9</w:t>
            </w:r>
            <w:r w:rsidR="009E6271" w:rsidRPr="009E6271">
              <w:rPr>
                <w:rFonts w:asciiTheme="minorHAnsi" w:hAnsiTheme="minorHAnsi" w:cstheme="minorBidi"/>
                <w:noProof/>
                <w:sz w:val="20"/>
                <w:szCs w:val="20"/>
              </w:rPr>
              <w:tab/>
            </w:r>
            <w:r w:rsidR="009E6271" w:rsidRPr="009E6271">
              <w:rPr>
                <w:rStyle w:val="Hiperhivatkozs"/>
                <w:noProof/>
                <w:sz w:val="20"/>
                <w:szCs w:val="20"/>
              </w:rPr>
              <w:t>Kiszabott bírságok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_Toc389041321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16</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2" w:history="1">
            <w:r w:rsidR="009E6271" w:rsidRPr="009E6271">
              <w:rPr>
                <w:rStyle w:val="Hiperhivatkozs"/>
                <w:noProof/>
                <w:sz w:val="20"/>
                <w:szCs w:val="20"/>
              </w:rPr>
              <w:t>3.10</w:t>
            </w:r>
            <w:r w:rsidR="009E6271" w:rsidRPr="009E6271">
              <w:rPr>
                <w:rFonts w:asciiTheme="minorHAnsi" w:hAnsiTheme="minorHAnsi" w:cstheme="minorBidi"/>
                <w:noProof/>
                <w:sz w:val="20"/>
                <w:szCs w:val="20"/>
              </w:rPr>
              <w:tab/>
            </w:r>
            <w:r w:rsidR="009E6271" w:rsidRPr="009E6271">
              <w:rPr>
                <w:rStyle w:val="Hiperhivatkozs"/>
                <w:noProof/>
                <w:sz w:val="20"/>
                <w:szCs w:val="20"/>
              </w:rPr>
              <w:t>Polgári peres eljárások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_Toc389041322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16</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3" w:history="1">
            <w:r w:rsidR="009E6271" w:rsidRPr="009E6271">
              <w:rPr>
                <w:rStyle w:val="Hiperhivatkozs"/>
                <w:noProof/>
                <w:sz w:val="20"/>
                <w:szCs w:val="20"/>
              </w:rPr>
              <w:t>3.11</w:t>
            </w:r>
            <w:r w:rsidR="009E6271" w:rsidRPr="009E6271">
              <w:rPr>
                <w:rFonts w:asciiTheme="minorHAnsi" w:hAnsiTheme="minorHAnsi" w:cstheme="minorBidi"/>
                <w:noProof/>
                <w:sz w:val="20"/>
                <w:szCs w:val="20"/>
              </w:rPr>
              <w:tab/>
            </w:r>
            <w:r w:rsidR="009E6271" w:rsidRPr="009E6271">
              <w:rPr>
                <w:rStyle w:val="Hiperhivatkozs"/>
                <w:noProof/>
                <w:sz w:val="20"/>
                <w:szCs w:val="20"/>
              </w:rPr>
              <w:t>Munkaruha, egyéni védőfelszerelések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_Toc389041323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17</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4" w:history="1">
            <w:r w:rsidR="009E6271" w:rsidRPr="009E6271">
              <w:rPr>
                <w:rStyle w:val="Hiperhivatkozs"/>
                <w:noProof/>
                <w:sz w:val="20"/>
                <w:szCs w:val="20"/>
              </w:rPr>
              <w:t>3.12</w:t>
            </w:r>
            <w:r w:rsidR="009E6271" w:rsidRPr="009E6271">
              <w:rPr>
                <w:rFonts w:asciiTheme="minorHAnsi" w:hAnsiTheme="minorHAnsi" w:cstheme="minorBidi"/>
                <w:noProof/>
                <w:sz w:val="20"/>
                <w:szCs w:val="20"/>
              </w:rPr>
              <w:tab/>
            </w:r>
            <w:r w:rsidR="009E6271" w:rsidRPr="009E6271">
              <w:rPr>
                <w:rStyle w:val="Hiperhivatkozs"/>
                <w:noProof/>
                <w:sz w:val="20"/>
                <w:szCs w:val="20"/>
              </w:rPr>
              <w:t>Díjemelés indokolása</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_Toc389041324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17</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5" w:history="1">
            <w:r w:rsidR="009E6271" w:rsidRPr="009E6271">
              <w:rPr>
                <w:rStyle w:val="Hiperhivatkozs"/>
                <w:rFonts w:eastAsia="Times New Roman"/>
                <w:noProof/>
                <w:sz w:val="20"/>
                <w:szCs w:val="20"/>
              </w:rPr>
              <w:t>3.13</w:t>
            </w:r>
            <w:r w:rsidR="009E6271" w:rsidRPr="009E6271">
              <w:rPr>
                <w:rFonts w:asciiTheme="minorHAnsi" w:hAnsiTheme="minorHAnsi" w:cstheme="minorBidi"/>
                <w:noProof/>
                <w:sz w:val="20"/>
                <w:szCs w:val="20"/>
              </w:rPr>
              <w:tab/>
            </w:r>
            <w:r w:rsidR="009E6271" w:rsidRPr="009E6271">
              <w:rPr>
                <w:rStyle w:val="Hiperhivatkozs"/>
                <w:rFonts w:eastAsia="Times New Roman"/>
                <w:noProof/>
                <w:sz w:val="20"/>
                <w:szCs w:val="20"/>
              </w:rPr>
              <w:t>Díjkompenzációval való elszámolás</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_Toc389041325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20</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6" w:history="1">
            <w:r w:rsidR="009E6271" w:rsidRPr="009E6271">
              <w:rPr>
                <w:rStyle w:val="Hiperhivatkozs"/>
                <w:rFonts w:eastAsia="Times New Roman"/>
                <w:noProof/>
                <w:sz w:val="20"/>
                <w:szCs w:val="20"/>
              </w:rPr>
              <w:t>3.14</w:t>
            </w:r>
            <w:r w:rsidR="009E6271" w:rsidRPr="009E6271">
              <w:rPr>
                <w:rFonts w:asciiTheme="minorHAnsi" w:hAnsiTheme="minorHAnsi" w:cstheme="minorBidi"/>
                <w:noProof/>
                <w:sz w:val="20"/>
                <w:szCs w:val="20"/>
              </w:rPr>
              <w:tab/>
            </w:r>
            <w:r w:rsidR="009E6271" w:rsidRPr="009E6271">
              <w:rPr>
                <w:rStyle w:val="Hiperhivatkozs"/>
                <w:rFonts w:eastAsia="Times New Roman"/>
                <w:noProof/>
                <w:sz w:val="20"/>
                <w:szCs w:val="20"/>
              </w:rPr>
              <w:t>Kompenzációval való elszámolás</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_Toc389041326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20</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8" w:history="1">
            <w:r w:rsidR="009E6271" w:rsidRPr="009E6271">
              <w:rPr>
                <w:rStyle w:val="Hiperhivatkozs"/>
                <w:noProof/>
                <w:sz w:val="20"/>
                <w:szCs w:val="20"/>
              </w:rPr>
              <w:t>3.15</w:t>
            </w:r>
            <w:r w:rsidR="009E6271" w:rsidRPr="009E6271">
              <w:rPr>
                <w:rFonts w:asciiTheme="minorHAnsi" w:hAnsiTheme="minorHAnsi" w:cstheme="minorBidi"/>
                <w:noProof/>
                <w:sz w:val="20"/>
                <w:szCs w:val="20"/>
              </w:rPr>
              <w:tab/>
            </w:r>
            <w:r w:rsidR="009E6271" w:rsidRPr="009E6271">
              <w:rPr>
                <w:rStyle w:val="Hiperhivatkozs"/>
                <w:noProof/>
                <w:sz w:val="20"/>
                <w:szCs w:val="20"/>
              </w:rPr>
              <w:t>Szakmai, szolgáltatói kapcsolat</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_Toc389041328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21</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29" w:history="1">
            <w:r w:rsidR="009E6271" w:rsidRPr="009E6271">
              <w:rPr>
                <w:rStyle w:val="Hiperhivatkozs"/>
                <w:noProof/>
                <w:sz w:val="20"/>
                <w:szCs w:val="20"/>
              </w:rPr>
              <w:t>3.16</w:t>
            </w:r>
            <w:r w:rsidR="009E6271" w:rsidRPr="009E6271">
              <w:rPr>
                <w:rFonts w:asciiTheme="minorHAnsi" w:hAnsiTheme="minorHAnsi" w:cstheme="minorBidi"/>
                <w:noProof/>
                <w:sz w:val="20"/>
                <w:szCs w:val="20"/>
              </w:rPr>
              <w:tab/>
            </w:r>
            <w:r w:rsidR="009E6271" w:rsidRPr="009E6271">
              <w:rPr>
                <w:rStyle w:val="Hiperhivatkozs"/>
                <w:noProof/>
                <w:sz w:val="20"/>
                <w:szCs w:val="20"/>
              </w:rPr>
              <w:t>Önkormányzat tájékoztatása</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_Toc389041329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21</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30" w:history="1">
            <w:r w:rsidR="009E6271" w:rsidRPr="009E6271">
              <w:rPr>
                <w:rStyle w:val="Hiperhivatkozs"/>
                <w:noProof/>
                <w:sz w:val="20"/>
                <w:szCs w:val="20"/>
              </w:rPr>
              <w:t>3.17</w:t>
            </w:r>
            <w:r w:rsidR="009E6271" w:rsidRPr="009E6271">
              <w:rPr>
                <w:rFonts w:asciiTheme="minorHAnsi" w:hAnsiTheme="minorHAnsi" w:cstheme="minorBidi"/>
                <w:noProof/>
                <w:sz w:val="20"/>
                <w:szCs w:val="20"/>
              </w:rPr>
              <w:tab/>
            </w:r>
            <w:r w:rsidR="009E6271" w:rsidRPr="009E6271">
              <w:rPr>
                <w:rStyle w:val="Hiperhivatkozs"/>
                <w:noProof/>
                <w:sz w:val="20"/>
                <w:szCs w:val="20"/>
              </w:rPr>
              <w:t>Összeférhetetlen tevékenység</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_Toc389041330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21</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31" w:history="1">
            <w:r w:rsidR="009E6271" w:rsidRPr="009E6271">
              <w:rPr>
                <w:rStyle w:val="Hiperhivatkozs"/>
                <w:noProof/>
                <w:sz w:val="20"/>
                <w:szCs w:val="20"/>
              </w:rPr>
              <w:t>3.18</w:t>
            </w:r>
            <w:r w:rsidR="009E6271" w:rsidRPr="009E6271">
              <w:rPr>
                <w:rFonts w:asciiTheme="minorHAnsi" w:hAnsiTheme="minorHAnsi" w:cstheme="minorBidi"/>
                <w:noProof/>
                <w:sz w:val="20"/>
                <w:szCs w:val="20"/>
              </w:rPr>
              <w:tab/>
            </w:r>
            <w:r w:rsidR="009E6271" w:rsidRPr="009E6271">
              <w:rPr>
                <w:rStyle w:val="Hiperhivatkozs"/>
                <w:noProof/>
                <w:sz w:val="20"/>
                <w:szCs w:val="20"/>
              </w:rPr>
              <w:t>Felelősségbiztosítás</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_Toc389041331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21</w:t>
            </w:r>
            <w:r w:rsidRPr="009E6271">
              <w:rPr>
                <w:noProof/>
                <w:webHidden/>
                <w:sz w:val="20"/>
                <w:szCs w:val="20"/>
              </w:rPr>
              <w:fldChar w:fldCharType="end"/>
            </w:r>
          </w:hyperlink>
        </w:p>
        <w:p w:rsidR="00B123E4" w:rsidRPr="00B123E4" w:rsidRDefault="00B477AA">
          <w:pPr>
            <w:pStyle w:val="TJ1"/>
            <w:tabs>
              <w:tab w:val="left" w:pos="440"/>
              <w:tab w:val="right" w:leader="dot" w:pos="9060"/>
            </w:tabs>
            <w:rPr>
              <w:rFonts w:asciiTheme="minorHAnsi" w:hAnsiTheme="minorHAnsi" w:cstheme="minorBidi"/>
              <w:noProof/>
              <w:sz w:val="20"/>
              <w:szCs w:val="20"/>
            </w:rPr>
          </w:pPr>
          <w:hyperlink w:anchor="_Toc389041332" w:history="1">
            <w:r w:rsidR="009E6271" w:rsidRPr="009E6271">
              <w:rPr>
                <w:rStyle w:val="Hiperhivatkozs"/>
                <w:noProof/>
                <w:sz w:val="20"/>
                <w:szCs w:val="20"/>
              </w:rPr>
              <w:t>4</w:t>
            </w:r>
            <w:r w:rsidR="009E6271" w:rsidRPr="009E6271">
              <w:rPr>
                <w:rFonts w:asciiTheme="minorHAnsi" w:hAnsiTheme="minorHAnsi" w:cstheme="minorBidi"/>
                <w:noProof/>
                <w:sz w:val="20"/>
                <w:szCs w:val="20"/>
              </w:rPr>
              <w:tab/>
            </w:r>
            <w:r w:rsidR="009E6271" w:rsidRPr="009E6271">
              <w:rPr>
                <w:rStyle w:val="Hiperhivatkozs"/>
                <w:noProof/>
                <w:sz w:val="20"/>
                <w:szCs w:val="20"/>
              </w:rPr>
              <w:t>Egyebek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_Toc389041332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22</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33" w:history="1">
            <w:r w:rsidR="009E6271" w:rsidRPr="009E6271">
              <w:rPr>
                <w:rStyle w:val="Hiperhivatkozs"/>
                <w:noProof/>
                <w:sz w:val="20"/>
                <w:szCs w:val="20"/>
              </w:rPr>
              <w:t>4.1</w:t>
            </w:r>
            <w:r w:rsidR="009E6271" w:rsidRPr="009E6271">
              <w:rPr>
                <w:rFonts w:asciiTheme="minorHAnsi" w:hAnsiTheme="minorHAnsi" w:cstheme="minorBidi"/>
                <w:noProof/>
                <w:sz w:val="20"/>
                <w:szCs w:val="20"/>
              </w:rPr>
              <w:tab/>
            </w:r>
            <w:r w:rsidR="009E6271" w:rsidRPr="009E6271">
              <w:rPr>
                <w:rStyle w:val="Hiperhivatkozs"/>
                <w:noProof/>
                <w:sz w:val="20"/>
                <w:szCs w:val="20"/>
              </w:rPr>
              <w:t>Műszaki előírások, szabványok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_Toc389041333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22</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34" w:history="1">
            <w:r w:rsidR="009E6271" w:rsidRPr="009E6271">
              <w:rPr>
                <w:rStyle w:val="Hiperhivatkozs"/>
                <w:noProof/>
                <w:sz w:val="20"/>
                <w:szCs w:val="20"/>
              </w:rPr>
              <w:t>4.2</w:t>
            </w:r>
            <w:r w:rsidR="009E6271" w:rsidRPr="009E6271">
              <w:rPr>
                <w:rFonts w:asciiTheme="minorHAnsi" w:hAnsiTheme="minorHAnsi" w:cstheme="minorBidi"/>
                <w:noProof/>
                <w:sz w:val="20"/>
                <w:szCs w:val="20"/>
              </w:rPr>
              <w:tab/>
            </w:r>
            <w:r w:rsidR="009E6271" w:rsidRPr="009E6271">
              <w:rPr>
                <w:rStyle w:val="Hiperhivatkozs"/>
                <w:noProof/>
                <w:sz w:val="20"/>
                <w:szCs w:val="20"/>
              </w:rPr>
              <w:t>Szolgáltatási segédlet</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_Toc389041334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22</w:t>
            </w:r>
            <w:r w:rsidRPr="009E6271">
              <w:rPr>
                <w:noProof/>
                <w:webHidden/>
                <w:sz w:val="20"/>
                <w:szCs w:val="20"/>
              </w:rPr>
              <w:fldChar w:fldCharType="end"/>
            </w:r>
          </w:hyperlink>
        </w:p>
        <w:p w:rsidR="00B123E4" w:rsidRPr="00B123E4" w:rsidRDefault="00B477AA">
          <w:pPr>
            <w:pStyle w:val="TJ2"/>
            <w:tabs>
              <w:tab w:val="left" w:pos="880"/>
              <w:tab w:val="right" w:leader="dot" w:pos="9060"/>
            </w:tabs>
            <w:rPr>
              <w:rFonts w:asciiTheme="minorHAnsi" w:hAnsiTheme="minorHAnsi" w:cstheme="minorBidi"/>
              <w:noProof/>
              <w:sz w:val="20"/>
              <w:szCs w:val="20"/>
            </w:rPr>
          </w:pPr>
          <w:hyperlink w:anchor="_Toc389041335" w:history="1">
            <w:r w:rsidR="009E6271" w:rsidRPr="009E6271">
              <w:rPr>
                <w:rStyle w:val="Hiperhivatkozs"/>
                <w:noProof/>
                <w:sz w:val="20"/>
                <w:szCs w:val="20"/>
              </w:rPr>
              <w:t>4.3</w:t>
            </w:r>
            <w:r w:rsidR="009E6271" w:rsidRPr="009E6271">
              <w:rPr>
                <w:rFonts w:asciiTheme="minorHAnsi" w:hAnsiTheme="minorHAnsi" w:cstheme="minorBidi"/>
                <w:noProof/>
                <w:sz w:val="20"/>
                <w:szCs w:val="20"/>
              </w:rPr>
              <w:tab/>
            </w:r>
            <w:r w:rsidR="009E6271" w:rsidRPr="009E6271">
              <w:rPr>
                <w:rStyle w:val="Hiperhivatkozs"/>
                <w:noProof/>
                <w:sz w:val="20"/>
                <w:szCs w:val="20"/>
              </w:rPr>
              <w:t>Minőség- és környezetirányítási rendszerünk</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_Toc389041335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22</w:t>
            </w:r>
            <w:r w:rsidRPr="009E6271">
              <w:rPr>
                <w:noProof/>
                <w:webHidden/>
                <w:sz w:val="20"/>
                <w:szCs w:val="20"/>
              </w:rPr>
              <w:fldChar w:fldCharType="end"/>
            </w:r>
          </w:hyperlink>
        </w:p>
        <w:p w:rsidR="009E6271" w:rsidRPr="009E6271" w:rsidRDefault="00B477AA" w:rsidP="009E6271">
          <w:pPr>
            <w:pStyle w:val="TJ1"/>
            <w:tabs>
              <w:tab w:val="left" w:pos="440"/>
              <w:tab w:val="right" w:leader="dot" w:pos="9060"/>
            </w:tabs>
            <w:spacing w:before="0" w:after="0"/>
            <w:rPr>
              <w:rFonts w:asciiTheme="minorHAnsi" w:hAnsiTheme="minorHAnsi" w:cstheme="minorBidi"/>
              <w:noProof/>
              <w:sz w:val="20"/>
              <w:szCs w:val="20"/>
            </w:rPr>
          </w:pPr>
          <w:hyperlink w:anchor="_Toc389041336" w:history="1">
            <w:r w:rsidR="009E6271" w:rsidRPr="009E6271">
              <w:rPr>
                <w:rStyle w:val="Hiperhivatkozs"/>
                <w:noProof/>
                <w:sz w:val="20"/>
                <w:szCs w:val="20"/>
              </w:rPr>
              <w:t>5</w:t>
            </w:r>
            <w:r w:rsidR="009E6271" w:rsidRPr="009E6271">
              <w:rPr>
                <w:rFonts w:asciiTheme="minorHAnsi" w:hAnsiTheme="minorHAnsi" w:cstheme="minorBidi"/>
                <w:noProof/>
                <w:sz w:val="20"/>
                <w:szCs w:val="20"/>
              </w:rPr>
              <w:tab/>
            </w:r>
            <w:r w:rsidR="009E6271" w:rsidRPr="009E6271">
              <w:rPr>
                <w:rStyle w:val="Hiperhivatkozs"/>
                <w:noProof/>
                <w:sz w:val="20"/>
                <w:szCs w:val="20"/>
              </w:rPr>
              <w:t>Kitekintés</w:t>
            </w:r>
            <w:r w:rsidR="009E6271" w:rsidRPr="009E6271">
              <w:rPr>
                <w:noProof/>
                <w:webHidden/>
                <w:sz w:val="20"/>
                <w:szCs w:val="20"/>
              </w:rPr>
              <w:tab/>
            </w:r>
            <w:r w:rsidRPr="009E6271">
              <w:rPr>
                <w:noProof/>
                <w:webHidden/>
                <w:sz w:val="20"/>
                <w:szCs w:val="20"/>
              </w:rPr>
              <w:fldChar w:fldCharType="begin"/>
            </w:r>
            <w:r w:rsidR="009E6271" w:rsidRPr="009E6271">
              <w:rPr>
                <w:noProof/>
                <w:webHidden/>
                <w:sz w:val="20"/>
                <w:szCs w:val="20"/>
              </w:rPr>
              <w:instrText xml:space="preserve"> PAGEREF _Toc389041336 \h </w:instrText>
            </w:r>
            <w:r w:rsidRPr="009E6271">
              <w:rPr>
                <w:noProof/>
                <w:webHidden/>
                <w:sz w:val="20"/>
                <w:szCs w:val="20"/>
              </w:rPr>
            </w:r>
            <w:r w:rsidRPr="009E6271">
              <w:rPr>
                <w:noProof/>
                <w:webHidden/>
                <w:sz w:val="20"/>
                <w:szCs w:val="20"/>
              </w:rPr>
              <w:fldChar w:fldCharType="separate"/>
            </w:r>
            <w:r w:rsidR="009E6271" w:rsidRPr="009E6271">
              <w:rPr>
                <w:noProof/>
                <w:webHidden/>
                <w:sz w:val="20"/>
                <w:szCs w:val="20"/>
              </w:rPr>
              <w:t>23</w:t>
            </w:r>
            <w:r w:rsidRPr="009E6271">
              <w:rPr>
                <w:noProof/>
                <w:webHidden/>
                <w:sz w:val="20"/>
                <w:szCs w:val="20"/>
              </w:rPr>
              <w:fldChar w:fldCharType="end"/>
            </w:r>
          </w:hyperlink>
        </w:p>
        <w:p w:rsidR="009E6271" w:rsidRPr="009E6271" w:rsidRDefault="00B477AA" w:rsidP="009E6271">
          <w:pPr>
            <w:pStyle w:val="TJ1"/>
            <w:tabs>
              <w:tab w:val="left" w:pos="440"/>
              <w:tab w:val="right" w:leader="dot" w:pos="9060"/>
            </w:tabs>
            <w:spacing w:before="0" w:after="0"/>
            <w:rPr>
              <w:sz w:val="20"/>
              <w:szCs w:val="20"/>
            </w:rPr>
          </w:pPr>
          <w:r w:rsidRPr="009E6271">
            <w:rPr>
              <w:b/>
              <w:bCs/>
              <w:sz w:val="20"/>
              <w:szCs w:val="20"/>
            </w:rPr>
            <w:fldChar w:fldCharType="end"/>
          </w:r>
        </w:p>
      </w:sdtContent>
    </w:sdt>
    <w:p w:rsidR="00B26043" w:rsidRDefault="00B26043" w:rsidP="00996DC7">
      <w:pPr>
        <w:rPr>
          <w:rFonts w:eastAsiaTheme="majorEastAsia"/>
        </w:rPr>
      </w:pPr>
      <w:r>
        <w:br w:type="page"/>
      </w:r>
    </w:p>
    <w:p w:rsidR="00F24E91" w:rsidRPr="00902B08" w:rsidRDefault="00F24E91" w:rsidP="00902B08">
      <w:pPr>
        <w:pStyle w:val="Cmsor1"/>
      </w:pPr>
      <w:bookmarkStart w:id="1" w:name="_Toc389041305"/>
      <w:r w:rsidRPr="00902B08">
        <w:lastRenderedPageBreak/>
        <w:t>Előzmények</w:t>
      </w:r>
      <w:bookmarkEnd w:id="1"/>
    </w:p>
    <w:p w:rsidR="006407C5" w:rsidRPr="00F4511E" w:rsidRDefault="00D74F5F" w:rsidP="00996DC7">
      <w:r w:rsidRPr="00996DC7">
        <w:t xml:space="preserve">Tekintettel arra, hogy jelen közszolgáltatási jelentés a FŐKÉTÜSZ Fővárosi </w:t>
      </w:r>
      <w:proofErr w:type="spellStart"/>
      <w:r w:rsidRPr="00996DC7">
        <w:t>Kéményseprőipari</w:t>
      </w:r>
      <w:proofErr w:type="spellEnd"/>
      <w:r w:rsidRPr="00996DC7">
        <w:t xml:space="preserve"> Kft. 201</w:t>
      </w:r>
      <w:r w:rsidR="00902B08">
        <w:t>3</w:t>
      </w:r>
      <w:r w:rsidRPr="00996DC7">
        <w:t>. évben végzett közszolgáltatási tevékenységét mutatja be, abban a 201</w:t>
      </w:r>
      <w:r w:rsidR="00902B08">
        <w:t>3</w:t>
      </w:r>
      <w:r w:rsidRPr="00996DC7">
        <w:t>. évben hatályos jogszabályokra hivatkozunk</w:t>
      </w:r>
      <w:r w:rsidRPr="00F4511E">
        <w:t>. Ehelyütt kívánjuk megjegyezni, hogy a 1990. évi LXV. törvény</w:t>
      </w:r>
      <w:r w:rsidR="006E1FC4" w:rsidRPr="00F4511E">
        <w:t xml:space="preserve"> 63/A. §</w:t>
      </w:r>
      <w:proofErr w:type="spellStart"/>
      <w:r w:rsidR="006E1FC4" w:rsidRPr="00F4511E">
        <w:t>-a</w:t>
      </w:r>
      <w:proofErr w:type="spellEnd"/>
      <w:r w:rsidR="006E1FC4" w:rsidRPr="00F4511E">
        <w:t xml:space="preserve"> helyébe</w:t>
      </w:r>
      <w:r w:rsidRPr="00F4511E">
        <w:t xml:space="preserve"> </w:t>
      </w:r>
      <w:r w:rsidR="006E1FC4" w:rsidRPr="00F4511E">
        <w:t xml:space="preserve">2013. január 1-jétől </w:t>
      </w:r>
      <w:r w:rsidRPr="00F4511E">
        <w:t xml:space="preserve">a Magyarország helyi önkormányzatairól szóló 2011. évi CLXXXIX. törvény </w:t>
      </w:r>
      <w:r w:rsidR="006E1FC4" w:rsidRPr="00F4511E">
        <w:t>13. §</w:t>
      </w:r>
      <w:proofErr w:type="spellStart"/>
      <w:r w:rsidR="006E1FC4" w:rsidRPr="00F4511E">
        <w:t>-a</w:t>
      </w:r>
      <w:proofErr w:type="spellEnd"/>
      <w:r w:rsidR="006E1FC4" w:rsidRPr="00F4511E">
        <w:t xml:space="preserve"> lépett, illetve a 1995. évi XLII. törvényt szintén 2013. január 1-jétől a 2012. évi XC. törvény helyezte hatályon kívül. A </w:t>
      </w:r>
      <w:r w:rsidR="006407C5" w:rsidRPr="00F4511E">
        <w:t>27/1996. (X.30.) BM rendeletet a 63/2012. (XII.11.) BM rendelet váltotta fel 2013. január 1-jén, amely napon szintén hatályba lépett a</w:t>
      </w:r>
      <w:r w:rsidR="00A936BB" w:rsidRPr="00F4511E">
        <w:t xml:space="preserve"> 347/2012. (XII.11.) Korm. rendelet</w:t>
      </w:r>
      <w:r w:rsidR="006407C5" w:rsidRPr="00F4511E">
        <w:t xml:space="preserve">. Mindezek mellett a helyi sajátosságokat szabályozó 74/1997. (XII.30.) Főv. Kgy. </w:t>
      </w:r>
      <w:proofErr w:type="gramStart"/>
      <w:r w:rsidR="006407C5" w:rsidRPr="00F4511E">
        <w:t>rendel</w:t>
      </w:r>
      <w:r w:rsidR="00F4511E">
        <w:t>e</w:t>
      </w:r>
      <w:r w:rsidR="006407C5" w:rsidRPr="00F4511E">
        <w:t>tet</w:t>
      </w:r>
      <w:proofErr w:type="gramEnd"/>
      <w:r w:rsidR="006407C5" w:rsidRPr="00F4511E">
        <w:t xml:space="preserve"> 2013. április 1-jétől a 14/2013. (III.18.) Főv. Kgy. </w:t>
      </w:r>
      <w:proofErr w:type="gramStart"/>
      <w:r w:rsidR="006407C5" w:rsidRPr="00F4511E">
        <w:t>rendelet</w:t>
      </w:r>
      <w:proofErr w:type="gramEnd"/>
      <w:r w:rsidR="006407C5" w:rsidRPr="00F4511E">
        <w:t xml:space="preserve"> hatályon kívül helyezte.</w:t>
      </w:r>
    </w:p>
    <w:p w:rsidR="006407C5" w:rsidRPr="009B14FB" w:rsidRDefault="006407C5" w:rsidP="00996DC7">
      <w:r w:rsidRPr="009B14FB">
        <w:t>Az alábbiakban olvasható jelentés mindezeknek megfelelően a 201</w:t>
      </w:r>
      <w:r w:rsidR="00902B08">
        <w:t>3</w:t>
      </w:r>
      <w:r w:rsidRPr="009B14FB">
        <w:t>. évben hatályos jogszabályok alapján készült.</w:t>
      </w:r>
    </w:p>
    <w:p w:rsidR="00F24E91" w:rsidRPr="00F4511E" w:rsidRDefault="00F24E91" w:rsidP="00996DC7">
      <w:r w:rsidRPr="00F4511E">
        <w:t>A helyi önkormányzatokról szóló 1990. évi LXV. törvény 63/A. §, valamint az egyes helyi közszolgáltatások kötelező igénybevételéről szóló 1995. évi XLII. törvény 1. § (1) bekezdése alapján a kéményseprő-ipari közszolgáltatás biztosítása Budapest közigazgatási területén Budapest Főváros Önkormányzatának (a továbbiakban: Önkormányzat) kötelező feladata.</w:t>
      </w:r>
    </w:p>
    <w:p w:rsidR="00F24E91" w:rsidRPr="00F4511E" w:rsidRDefault="00F24E91" w:rsidP="00996DC7">
      <w:r w:rsidRPr="00F4511E">
        <w:t xml:space="preserve">Az Önkormányzat a kéményseprő-ipari közszolgáltatási feladatok biztonságos, hatékony és jó minőségben történő ellátásával, figyelemmel a kötelező kéményseprő-ipari közszolgáltatásokról szóló 27/1996. (X. 30.) BM rendeletben, továbbá a kötelező kéményseprő-ipari közszolgáltatásról szóló 74/1997. (XII. 30.) Főv. Kgy. </w:t>
      </w:r>
      <w:proofErr w:type="gramStart"/>
      <w:r w:rsidRPr="00F4511E">
        <w:t>rendeletben</w:t>
      </w:r>
      <w:proofErr w:type="gramEnd"/>
      <w:r w:rsidRPr="00F4511E">
        <w:t xml:space="preserve"> foglaltakra, a FŐKÉTÜSZ Fővárosi </w:t>
      </w:r>
      <w:proofErr w:type="spellStart"/>
      <w:r w:rsidRPr="00F4511E">
        <w:t>Kéményseprőipari</w:t>
      </w:r>
      <w:proofErr w:type="spellEnd"/>
      <w:r w:rsidRPr="00F4511E">
        <w:t xml:space="preserve"> Korlátolt Felelősségű Társaságot (a továbbiakban; FŐKÉTÜSZ Kft. vagy Társaság; székhelye: 1067 Budapest, Eötvös u. 21.) bízta meg kizárólagos joggal.</w:t>
      </w:r>
    </w:p>
    <w:p w:rsidR="00F24E91" w:rsidRPr="009B14FB" w:rsidRDefault="00F24E91" w:rsidP="00996DC7">
      <w:r w:rsidRPr="009B14FB">
        <w:t>Az Önkormányzat és a FŐKÉTÜSZ Kft. a közöttük létrejött Közszolgáltatási Szerződésben határozták meg célirányos feladataikat, ill. kötelezettségeiket.</w:t>
      </w:r>
    </w:p>
    <w:p w:rsidR="00F24E91" w:rsidRPr="009B14FB" w:rsidRDefault="00F24E91" w:rsidP="00996DC7">
      <w:r w:rsidRPr="009B14FB">
        <w:t>A kéményseprő-ipari közszolgáltatás tekintetében kizárólagos joggal megbízott FŐKÉTÜSZ Kft. kötelezettséget vállalt Budapest Főváros közigazgatási területén a közszolgáltatás teljes körű rendszeres ellátására, valamennyi kéménytulajdonos (használó) tekintetében.</w:t>
      </w:r>
    </w:p>
    <w:p w:rsidR="00B125C4" w:rsidRPr="009B14FB" w:rsidRDefault="00B125C4" w:rsidP="00996DC7">
      <w:r w:rsidRPr="009B14FB">
        <w:t>A</w:t>
      </w:r>
      <w:r w:rsidR="00F24E91" w:rsidRPr="009B14FB">
        <w:t xml:space="preserve"> FŐKÉTÜSZ Kft. személyi állománya, technikai felszereltsége tekintetében rendelkezik a közszolgáltatás maradéktalan ellátásához szükséges feltételekkel.</w:t>
      </w:r>
    </w:p>
    <w:p w:rsidR="00B125C4" w:rsidRPr="009B14FB" w:rsidRDefault="00B125C4" w:rsidP="00996DC7"/>
    <w:p w:rsidR="00B125C4" w:rsidRPr="00B26043" w:rsidRDefault="00B125C4" w:rsidP="00902B08">
      <w:pPr>
        <w:pStyle w:val="Cmsor1"/>
      </w:pPr>
      <w:bookmarkStart w:id="2" w:name="_Toc389041306"/>
      <w:r w:rsidRPr="00B26043">
        <w:t>A Közszolgáltatási Szerződés célja</w:t>
      </w:r>
      <w:bookmarkEnd w:id="2"/>
    </w:p>
    <w:p w:rsidR="00111511" w:rsidRDefault="00B125C4" w:rsidP="00EB2797">
      <w:r>
        <w:t>A Közszolgáltatási S</w:t>
      </w:r>
      <w:r w:rsidR="00EB2797">
        <w:t xml:space="preserve">zerződés kiemelt célja, hogy a Fővárosi </w:t>
      </w:r>
      <w:r>
        <w:t xml:space="preserve">Önkormányzat a FŐKÉTÜSZ </w:t>
      </w:r>
      <w:r w:rsidR="00EB2797">
        <w:t xml:space="preserve">Fővárosi </w:t>
      </w:r>
      <w:proofErr w:type="spellStart"/>
      <w:r w:rsidR="00EB2797">
        <w:t>Kéményseprőipari</w:t>
      </w:r>
      <w:proofErr w:type="spellEnd"/>
      <w:r w:rsidR="00EB2797">
        <w:t xml:space="preserve"> </w:t>
      </w:r>
      <w:r>
        <w:t>K</w:t>
      </w:r>
      <w:r w:rsidR="00EB2797">
        <w:t>orlátolt Felelősségű Társaságon</w:t>
      </w:r>
      <w:r>
        <w:t xml:space="preserve"> keresztül megteremtse, ellenőrizze és fenntartsa </w:t>
      </w:r>
      <w:r w:rsidRPr="00B125C4">
        <w:t>az élet- és vagyonvédelem, valam</w:t>
      </w:r>
      <w:r>
        <w:t xml:space="preserve">int a tűzbiztonság feltételeit, illetve, hogy </w:t>
      </w:r>
      <w:r w:rsidRPr="00B125C4">
        <w:t>a kéményseprő-ipari közszolgáltatás maradéktalan és szaksz</w:t>
      </w:r>
      <w:r>
        <w:t xml:space="preserve">erű ellátásának feltételeit az Önkormányzat </w:t>
      </w:r>
      <w:r w:rsidR="00651602">
        <w:t>biztosíthassa</w:t>
      </w:r>
      <w:r>
        <w:t>, ellenőrizhesse.</w:t>
      </w:r>
    </w:p>
    <w:p w:rsidR="00A37A3E" w:rsidRPr="00A37A3E" w:rsidRDefault="00A37A3E" w:rsidP="00902B08">
      <w:pPr>
        <w:pStyle w:val="Cmsor1"/>
      </w:pPr>
      <w:bookmarkStart w:id="3" w:name="_Toc389041307"/>
      <w:r w:rsidRPr="00A37A3E">
        <w:lastRenderedPageBreak/>
        <w:t>A Közszolgáltatási Szerződésben vállalt kötelezettségek teljesítése</w:t>
      </w:r>
      <w:bookmarkEnd w:id="3"/>
    </w:p>
    <w:p w:rsidR="00B26043" w:rsidRDefault="00B26043" w:rsidP="00902B08">
      <w:pPr>
        <w:pStyle w:val="Cmsor2"/>
      </w:pPr>
      <w:bookmarkStart w:id="4" w:name="_Toc389041308"/>
      <w:r w:rsidRPr="00902B08">
        <w:t>Szolgáltatások bemutatása</w:t>
      </w:r>
      <w:bookmarkEnd w:id="4"/>
    </w:p>
    <w:p w:rsidR="00B26043" w:rsidRPr="00B26043" w:rsidRDefault="00B26043" w:rsidP="00996DC7">
      <w:r w:rsidRPr="00B26043">
        <w:t>A Társaság által végzett tevékenység ellátását a tárgyi időszakban, azaz 201</w:t>
      </w:r>
      <w:r w:rsidR="00134AE8">
        <w:t>3</w:t>
      </w:r>
      <w:r w:rsidRPr="00B26043">
        <w:t>-b</w:t>
      </w:r>
      <w:r w:rsidR="00134AE8">
        <w:t>a</w:t>
      </w:r>
      <w:r w:rsidRPr="00B26043">
        <w:t xml:space="preserve">n egyrészt a </w:t>
      </w:r>
      <w:r w:rsidR="00134AE8">
        <w:t>kéményseprő</w:t>
      </w:r>
      <w:r w:rsidR="00EB2797">
        <w:t>-</w:t>
      </w:r>
      <w:r w:rsidR="00134AE8">
        <w:t>ipari közszolgáltatásról szóló 2012 évi XC</w:t>
      </w:r>
      <w:r w:rsidRPr="00B26043">
        <w:t xml:space="preserve">. törvény, a </w:t>
      </w:r>
      <w:r w:rsidR="00134AE8">
        <w:t>63</w:t>
      </w:r>
      <w:r w:rsidRPr="00B26043">
        <w:t>/</w:t>
      </w:r>
      <w:r w:rsidR="00134AE8">
        <w:t>2012</w:t>
      </w:r>
      <w:r w:rsidRPr="00B26043">
        <w:t>. (X</w:t>
      </w:r>
      <w:r w:rsidR="00134AE8">
        <w:t>II</w:t>
      </w:r>
      <w:r w:rsidRPr="00B26043">
        <w:t>.</w:t>
      </w:r>
      <w:r w:rsidR="00134AE8">
        <w:t>11</w:t>
      </w:r>
      <w:r w:rsidRPr="00B26043">
        <w:t xml:space="preserve">.) BM rendelet, valamint </w:t>
      </w:r>
      <w:r w:rsidR="00134AE8">
        <w:t xml:space="preserve">2013. március 31-ig </w:t>
      </w:r>
      <w:r w:rsidRPr="00B26043">
        <w:t>Budapest Főváros Közgyűlésének a kötelező kéményseprő-ipari közszolgáltatásról szóló 74/1997. (XII. 30.) sz. rendelete</w:t>
      </w:r>
      <w:r w:rsidR="00134AE8">
        <w:t xml:space="preserve">, majd 2013 április 01-től </w:t>
      </w:r>
      <w:r w:rsidR="00134AE8" w:rsidRPr="00B26043">
        <w:t xml:space="preserve">Budapest Főváros Közgyűlésének a kötelező kéményseprő-ipari közszolgáltatásról szóló </w:t>
      </w:r>
      <w:r w:rsidR="00134AE8">
        <w:t>1</w:t>
      </w:r>
      <w:r w:rsidR="00134AE8" w:rsidRPr="00B26043">
        <w:t>4/</w:t>
      </w:r>
      <w:r w:rsidR="00134AE8">
        <w:t>2013</w:t>
      </w:r>
      <w:r w:rsidR="00134AE8" w:rsidRPr="00B26043">
        <w:t>. (</w:t>
      </w:r>
      <w:r w:rsidR="00134AE8">
        <w:t>I</w:t>
      </w:r>
      <w:r w:rsidR="00134AE8" w:rsidRPr="00B26043">
        <w:t xml:space="preserve">II. </w:t>
      </w:r>
      <w:r w:rsidR="00134AE8">
        <w:t>18</w:t>
      </w:r>
      <w:r w:rsidR="00134AE8" w:rsidRPr="00B26043">
        <w:t>.) sz. rendelete</w:t>
      </w:r>
      <w:r w:rsidRPr="00B26043">
        <w:t xml:space="preserve"> szabályozzák, melynek alapján feladatunk a főváros területén lévő összes épületre vonatkozóan a kéményseprő-ipari közszolgáltatás ellátása:</w:t>
      </w:r>
    </w:p>
    <w:p w:rsidR="00B26043" w:rsidRPr="00EB2797" w:rsidRDefault="00B26043" w:rsidP="00996DC7">
      <w:pPr>
        <w:pStyle w:val="Listaszerbekezds"/>
        <w:numPr>
          <w:ilvl w:val="0"/>
          <w:numId w:val="35"/>
        </w:numPr>
      </w:pPr>
      <w:r w:rsidRPr="00EB2797">
        <w:t xml:space="preserve">a lakó és középületekben üzemelő tüzelőberendezések égéstermékeinek elvezetésére szolgáló kémények és tartozékaik füstjáratainak időszakos ellenőrzése és tisztítása, </w:t>
      </w:r>
    </w:p>
    <w:p w:rsidR="00B26043" w:rsidRPr="00EB2797" w:rsidRDefault="00B26043" w:rsidP="00996DC7">
      <w:pPr>
        <w:pStyle w:val="Listaszerbekezds"/>
        <w:numPr>
          <w:ilvl w:val="0"/>
          <w:numId w:val="35"/>
        </w:numPr>
      </w:pPr>
      <w:r w:rsidRPr="00EB2797">
        <w:t>a műszeres és hagyományos tüzelésbiztonsági kéményvizsgálatok végzése,</w:t>
      </w:r>
    </w:p>
    <w:p w:rsidR="00B26043" w:rsidRPr="00EB2797" w:rsidRDefault="00B26043" w:rsidP="00996DC7">
      <w:pPr>
        <w:pStyle w:val="Listaszerbekezds"/>
        <w:numPr>
          <w:ilvl w:val="0"/>
          <w:numId w:val="35"/>
        </w:numPr>
      </w:pPr>
      <w:r w:rsidRPr="00EB2797">
        <w:t>gázfogyasztó és egyéb berendezések bekötésével összefüggő vizsgálatok, szakvéleményezés,</w:t>
      </w:r>
    </w:p>
    <w:p w:rsidR="00B26043" w:rsidRPr="00EB2797" w:rsidRDefault="00B26043" w:rsidP="00996DC7">
      <w:pPr>
        <w:pStyle w:val="Listaszerbekezds"/>
        <w:numPr>
          <w:ilvl w:val="0"/>
          <w:numId w:val="35"/>
        </w:numPr>
      </w:pPr>
      <w:r w:rsidRPr="00EB2797">
        <w:t xml:space="preserve">a felülvizsgálati kötelezettség alá tartozó kémények és tartozékaik műszaki felülvizsgálata, </w:t>
      </w:r>
    </w:p>
    <w:p w:rsidR="00B26043" w:rsidRPr="00EB2797" w:rsidRDefault="00B26043" w:rsidP="00996DC7">
      <w:pPr>
        <w:pStyle w:val="Listaszerbekezds"/>
        <w:numPr>
          <w:ilvl w:val="0"/>
          <w:numId w:val="35"/>
        </w:numPr>
      </w:pPr>
      <w:r w:rsidRPr="00EB2797">
        <w:t>a kémények szükség esetén időszakos kiégetése</w:t>
      </w:r>
    </w:p>
    <w:p w:rsidR="00F259BA" w:rsidRPr="00EB2797" w:rsidRDefault="00F259BA" w:rsidP="00996DC7">
      <w:pPr>
        <w:pStyle w:val="Listaszerbekezds"/>
        <w:numPr>
          <w:ilvl w:val="0"/>
          <w:numId w:val="35"/>
        </w:numPr>
      </w:pPr>
      <w:r w:rsidRPr="00EB2797">
        <w:t>2013. január 01-től közszolgáltatási feladat keretében az építési tervek kéményseprő-ipari felülvizsgálata</w:t>
      </w:r>
    </w:p>
    <w:p w:rsidR="00B26043" w:rsidRPr="00EB2797" w:rsidRDefault="00B26043" w:rsidP="00996DC7">
      <w:r w:rsidRPr="00EB2797">
        <w:t xml:space="preserve">Nem közszolgáltatás jellegű, hanem piaci alapon végzett szolgáltatásaink </w:t>
      </w:r>
      <w:r w:rsidR="00F259BA" w:rsidRPr="00EB2797">
        <w:t>a</w:t>
      </w:r>
      <w:r w:rsidRPr="00EB2797">
        <w:t xml:space="preserve"> gáztervek kéményseprő-ipari felülvizsgálata.</w:t>
      </w:r>
    </w:p>
    <w:p w:rsidR="00B26043" w:rsidRPr="00B26043" w:rsidRDefault="00B26043" w:rsidP="00996DC7">
      <w:r w:rsidRPr="00F259BA">
        <w:t xml:space="preserve">Szolgáltatási kötelezettségünk ellátása mellett </w:t>
      </w:r>
      <w:r w:rsidRPr="00B26043">
        <w:t>vagyonkezelői tevékenységet végzünk a Társaság vagyonát képező, de csak részben használt ingatlanok bérleti szerződésben történő hasznosításával.</w:t>
      </w:r>
    </w:p>
    <w:p w:rsidR="00A37A3E" w:rsidRPr="00B26043" w:rsidRDefault="00A37A3E" w:rsidP="00902B08">
      <w:pPr>
        <w:pStyle w:val="Cmsor2"/>
      </w:pPr>
      <w:bookmarkStart w:id="5" w:name="_Toc389041309"/>
      <w:r w:rsidRPr="00B26043">
        <w:t>Feladat ellátása, telephelyek</w:t>
      </w:r>
      <w:bookmarkEnd w:id="5"/>
    </w:p>
    <w:p w:rsidR="00B26043" w:rsidRDefault="00B26043" w:rsidP="00996DC7">
      <w:r w:rsidRPr="00A37A3E">
        <w:t xml:space="preserve">A </w:t>
      </w:r>
      <w:r>
        <w:t>Társaság</w:t>
      </w:r>
      <w:r w:rsidRPr="00A37A3E">
        <w:t xml:space="preserve"> </w:t>
      </w:r>
      <w:r>
        <w:t>a jogszabályok előírásoknak megfelelően szervezeti egységein keresztül a tárgyidőszakban</w:t>
      </w:r>
      <w:r w:rsidRPr="00A37A3E">
        <w:t xml:space="preserve"> </w:t>
      </w:r>
      <w:r>
        <w:t xml:space="preserve">ellátta a szolgáltatási területén </w:t>
      </w:r>
      <w:r w:rsidRPr="00F259BA">
        <w:t>található</w:t>
      </w:r>
      <w:r w:rsidR="00F259BA" w:rsidRPr="00EB2797">
        <w:t xml:space="preserve"> </w:t>
      </w:r>
      <w:r w:rsidRPr="00F259BA">
        <w:t>égéstermék</w:t>
      </w:r>
      <w:r w:rsidRPr="00A37A3E">
        <w:t xml:space="preserve">-elvezetők és tartozékaik ellenőrzését, </w:t>
      </w:r>
      <w:r>
        <w:t>szükség szerinti tisztítását és</w:t>
      </w:r>
      <w:r w:rsidRPr="00A37A3E">
        <w:t xml:space="preserve"> műszaki felülvizsgálatát.</w:t>
      </w:r>
    </w:p>
    <w:p w:rsidR="00B26043" w:rsidRPr="00F259BA" w:rsidRDefault="00B26043" w:rsidP="00996DC7">
      <w:r>
        <w:t xml:space="preserve">A FŐKÉTÜSZ Kft. feladatai ellátásához tizennégy </w:t>
      </w:r>
      <w:r w:rsidR="007E1D9C">
        <w:t xml:space="preserve">kerületi </w:t>
      </w:r>
      <w:r>
        <w:t>kirendeltséget, Műszeres Szolgáltatási Osztályt és Műszaki Ellenőri Csoportot</w:t>
      </w:r>
      <w:r w:rsidR="0018053E">
        <w:t xml:space="preserve">, </w:t>
      </w:r>
      <w:r w:rsidR="0018053E" w:rsidRPr="00F259BA">
        <w:t>valamint a jogszabályi előírások miatt 2013 januárja óta Ügyfélkapcsolati és Kommunikációs Osztályt</w:t>
      </w:r>
      <w:r w:rsidRPr="00EB2797">
        <w:t xml:space="preserve"> tart fent.</w:t>
      </w:r>
    </w:p>
    <w:p w:rsidR="00651602" w:rsidRDefault="00651602" w:rsidP="00996DC7">
      <w:r>
        <w:t xml:space="preserve">Kerületi kirendeltségeink végzik egész Budapest területén </w:t>
      </w:r>
      <w:r w:rsidRPr="00F47A51">
        <w:t>a gravitációs égéstermék-elvezetők (egyedi, gyűjtő, központi) ellenőrzését</w:t>
      </w:r>
      <w:r>
        <w:t xml:space="preserve">, illetve </w:t>
      </w:r>
      <w:r w:rsidRPr="00F47A51">
        <w:t>a III., V., VI., VII., VIII., IX., X., XI., XV., XVIII., XIX. és XXII. kerület tekintetében a mesterséges kémények (egyedi, gyűjtő, központi) ellenőrzését</w:t>
      </w:r>
      <w:r>
        <w:t xml:space="preserve">. </w:t>
      </w:r>
      <w:r w:rsidRPr="00F47A51">
        <w:t>Műszeres Szolgáltatási Osztályunk a mesterséges égéstermék-</w:t>
      </w:r>
      <w:r w:rsidRPr="00F47A51">
        <w:lastRenderedPageBreak/>
        <w:t>elvezetők</w:t>
      </w:r>
      <w:r>
        <w:t xml:space="preserve"> (</w:t>
      </w:r>
      <w:r w:rsidRPr="00F47A51">
        <w:t>egy</w:t>
      </w:r>
      <w:r>
        <w:t>edi, gyűjtő, központi)</w:t>
      </w:r>
      <w:r w:rsidRPr="00F47A51">
        <w:t xml:space="preserve"> ellenőrzését végzi az I., II., IV., XII., XIII., XIV., XVI., XVII., XX., XXI., XXIII. kerület</w:t>
      </w:r>
      <w:r>
        <w:t>ek vonatkozásában.</w:t>
      </w:r>
    </w:p>
    <w:p w:rsidR="00651602" w:rsidRPr="00EB2797" w:rsidRDefault="00651602" w:rsidP="00996DC7">
      <w:r>
        <w:t xml:space="preserve">A 74/1997 </w:t>
      </w:r>
      <w:r w:rsidRPr="00F24E91">
        <w:t>(XII. 30.)</w:t>
      </w:r>
      <w:r w:rsidR="0018053E">
        <w:t xml:space="preserve">, valamint a 14/2013 (III.18) </w:t>
      </w:r>
      <w:r w:rsidRPr="00F24E91">
        <w:t xml:space="preserve">Főv. Kgy. </w:t>
      </w:r>
      <w:proofErr w:type="gramStart"/>
      <w:r w:rsidRPr="00F24E91">
        <w:t>rendelet</w:t>
      </w:r>
      <w:proofErr w:type="gramEnd"/>
      <w:r>
        <w:t xml:space="preserve"> </w:t>
      </w:r>
      <w:r w:rsidR="0018053E">
        <w:t xml:space="preserve">szerint </w:t>
      </w:r>
      <w:r>
        <w:t xml:space="preserve">Társaságunk tájékoztatási, </w:t>
      </w:r>
      <w:proofErr w:type="spellStart"/>
      <w:r>
        <w:t>plakátolási</w:t>
      </w:r>
      <w:proofErr w:type="spellEnd"/>
      <w:r>
        <w:t xml:space="preserve"> kötelezettségei</w:t>
      </w:r>
      <w:r w:rsidR="0018053E">
        <w:t>t a</w:t>
      </w:r>
      <w:r>
        <w:t xml:space="preserve"> megnövekedett </w:t>
      </w:r>
      <w:r w:rsidRPr="002E6A86">
        <w:t>feladatok</w:t>
      </w:r>
      <w:r w:rsidR="0018053E" w:rsidRPr="002E6A86">
        <w:t>hoz igazította</w:t>
      </w:r>
      <w:r w:rsidRPr="002E6A86">
        <w:t xml:space="preserve">n külső közreműködőt vett igénybe bizonyos területek </w:t>
      </w:r>
      <w:proofErr w:type="spellStart"/>
      <w:r w:rsidRPr="002E6A86">
        <w:t>plakátolási</w:t>
      </w:r>
      <w:proofErr w:type="spellEnd"/>
      <w:r w:rsidRPr="002E6A86">
        <w:t xml:space="preserve"> munkáinak ellátására. 2012. október 11-től kezdődően </w:t>
      </w:r>
      <w:r w:rsidR="00F259BA" w:rsidRPr="00EB2797">
        <w:t>2013</w:t>
      </w:r>
      <w:r w:rsidR="002E6A86" w:rsidRPr="00EB2797">
        <w:t>. június 30-ig</w:t>
      </w:r>
      <w:r w:rsidR="00F259BA" w:rsidRPr="00EB2797">
        <w:t xml:space="preserve"> </w:t>
      </w:r>
      <w:r w:rsidRPr="00EB2797">
        <w:t xml:space="preserve">a II., III., XI., XVI., XVII., XVIII., XIX., XX., XXI. és XXII. kerületekben a Díjbeszedő Holding </w:t>
      </w:r>
      <w:proofErr w:type="spellStart"/>
      <w:r w:rsidRPr="00EB2797">
        <w:t>Zrt</w:t>
      </w:r>
      <w:proofErr w:type="spellEnd"/>
      <w:r w:rsidRPr="00EB2797">
        <w:t>. lát</w:t>
      </w:r>
      <w:r w:rsidR="002E6A86" w:rsidRPr="00EB2797">
        <w:t>t</w:t>
      </w:r>
      <w:r w:rsidRPr="00EB2797">
        <w:t>a el a plakát útján történő kiértesítési feladatokat.</w:t>
      </w:r>
      <w:r w:rsidR="002E6A86" w:rsidRPr="00EB2797">
        <w:t xml:space="preserve"> Ezt követően a </w:t>
      </w:r>
      <w:proofErr w:type="spellStart"/>
      <w:r w:rsidR="002E6A86" w:rsidRPr="00EB2797">
        <w:t>plakátolást</w:t>
      </w:r>
      <w:proofErr w:type="spellEnd"/>
      <w:r w:rsidR="002E6A86" w:rsidRPr="00EB2797">
        <w:t xml:space="preserve"> belső erőforrások felhasználásával oldotta meg a Társaság.</w:t>
      </w:r>
    </w:p>
    <w:p w:rsidR="00651602" w:rsidRDefault="00651602" w:rsidP="00996DC7"/>
    <w:tbl>
      <w:tblPr>
        <w:tblW w:w="3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7"/>
        <w:gridCol w:w="3348"/>
      </w:tblGrid>
      <w:tr w:rsidR="00B26043" w:rsidRPr="00EB2797" w:rsidTr="00EB2797">
        <w:trPr>
          <w:jc w:val="center"/>
        </w:trPr>
        <w:tc>
          <w:tcPr>
            <w:tcW w:w="2500" w:type="pct"/>
            <w:shd w:val="clear" w:color="auto" w:fill="D9D9D9" w:themeFill="background1" w:themeFillShade="D9"/>
            <w:vAlign w:val="center"/>
          </w:tcPr>
          <w:p w:rsidR="00B26043" w:rsidRPr="00EB2797" w:rsidRDefault="00B26043" w:rsidP="00EB2797">
            <w:pPr>
              <w:spacing w:before="0" w:after="0"/>
              <w:jc w:val="center"/>
              <w:rPr>
                <w:b/>
              </w:rPr>
            </w:pPr>
            <w:r w:rsidRPr="00EB2797">
              <w:rPr>
                <w:b/>
              </w:rPr>
              <w:t>Kirendeltségek</w:t>
            </w:r>
          </w:p>
        </w:tc>
        <w:tc>
          <w:tcPr>
            <w:tcW w:w="2500" w:type="pct"/>
            <w:shd w:val="clear" w:color="auto" w:fill="D9D9D9" w:themeFill="background1" w:themeFillShade="D9"/>
            <w:vAlign w:val="center"/>
          </w:tcPr>
          <w:p w:rsidR="00B26043" w:rsidRPr="00EB2797" w:rsidRDefault="00B26043" w:rsidP="00EB2797">
            <w:pPr>
              <w:spacing w:before="0" w:after="0"/>
              <w:jc w:val="center"/>
              <w:rPr>
                <w:b/>
              </w:rPr>
            </w:pPr>
            <w:r w:rsidRPr="00EB2797">
              <w:rPr>
                <w:b/>
              </w:rPr>
              <w:t>Cím</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I-XII.</w:t>
            </w:r>
            <w:r>
              <w:t xml:space="preserve"> kerület</w:t>
            </w:r>
          </w:p>
        </w:tc>
        <w:tc>
          <w:tcPr>
            <w:tcW w:w="2500" w:type="pct"/>
            <w:vAlign w:val="center"/>
          </w:tcPr>
          <w:p w:rsidR="00B26043" w:rsidRPr="00F47A51" w:rsidRDefault="00B26043" w:rsidP="00EB2797">
            <w:pPr>
              <w:spacing w:before="0" w:after="0"/>
            </w:pPr>
            <w:r w:rsidRPr="00F47A51">
              <w:t>I. Fő u. 19.</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II.</w:t>
            </w:r>
            <w:r>
              <w:t xml:space="preserve"> kerület</w:t>
            </w:r>
          </w:p>
        </w:tc>
        <w:tc>
          <w:tcPr>
            <w:tcW w:w="2500" w:type="pct"/>
            <w:vAlign w:val="center"/>
          </w:tcPr>
          <w:p w:rsidR="00B26043" w:rsidRPr="00F47A51" w:rsidRDefault="00B26043" w:rsidP="00EB2797">
            <w:pPr>
              <w:spacing w:before="0" w:after="0"/>
            </w:pPr>
            <w:r w:rsidRPr="00F47A51">
              <w:t>II. Margit Krt. 7.</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III.</w:t>
            </w:r>
            <w:r>
              <w:t xml:space="preserve"> kerület</w:t>
            </w:r>
          </w:p>
        </w:tc>
        <w:tc>
          <w:tcPr>
            <w:tcW w:w="2500" w:type="pct"/>
            <w:vAlign w:val="center"/>
          </w:tcPr>
          <w:p w:rsidR="00B26043" w:rsidRPr="00F47A51" w:rsidRDefault="00B26043" w:rsidP="00EB2797">
            <w:pPr>
              <w:spacing w:before="0" w:after="0"/>
            </w:pPr>
            <w:r w:rsidRPr="00F47A51">
              <w:t>III. Bécsi út 219-221.</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IV-XV.</w:t>
            </w:r>
            <w:r>
              <w:t xml:space="preserve"> kerület</w:t>
            </w:r>
          </w:p>
        </w:tc>
        <w:tc>
          <w:tcPr>
            <w:tcW w:w="2500" w:type="pct"/>
            <w:vAlign w:val="center"/>
          </w:tcPr>
          <w:p w:rsidR="00B26043" w:rsidRPr="00F47A51" w:rsidRDefault="00B26043" w:rsidP="00EB2797">
            <w:pPr>
              <w:spacing w:before="0" w:after="0"/>
            </w:pPr>
            <w:r w:rsidRPr="00F47A51">
              <w:t>XV. Száraznád u.2-6.</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V.</w:t>
            </w:r>
            <w:r>
              <w:t xml:space="preserve"> kerület</w:t>
            </w:r>
          </w:p>
        </w:tc>
        <w:tc>
          <w:tcPr>
            <w:tcW w:w="2500" w:type="pct"/>
            <w:vAlign w:val="center"/>
          </w:tcPr>
          <w:p w:rsidR="00B26043" w:rsidRPr="00F47A51" w:rsidRDefault="00B26043" w:rsidP="00EB2797">
            <w:pPr>
              <w:spacing w:before="0" w:after="0"/>
            </w:pPr>
            <w:r w:rsidRPr="00F47A51">
              <w:t>VI. Rózsa u. 95.</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VI-VII.</w:t>
            </w:r>
            <w:r>
              <w:t xml:space="preserve"> kerület</w:t>
            </w:r>
          </w:p>
        </w:tc>
        <w:tc>
          <w:tcPr>
            <w:tcW w:w="2500" w:type="pct"/>
            <w:vAlign w:val="center"/>
          </w:tcPr>
          <w:p w:rsidR="00B26043" w:rsidRPr="00F47A51" w:rsidRDefault="00B26043" w:rsidP="00EB2797">
            <w:pPr>
              <w:spacing w:before="0" w:after="0"/>
            </w:pPr>
            <w:r w:rsidRPr="00F47A51">
              <w:t>VII. Akácfa u.55.</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VIII.</w:t>
            </w:r>
            <w:r>
              <w:t xml:space="preserve"> kerület</w:t>
            </w:r>
          </w:p>
        </w:tc>
        <w:tc>
          <w:tcPr>
            <w:tcW w:w="2500" w:type="pct"/>
            <w:vAlign w:val="center"/>
          </w:tcPr>
          <w:p w:rsidR="00B26043" w:rsidRPr="00F47A51" w:rsidRDefault="00B26043" w:rsidP="00EB2797">
            <w:pPr>
              <w:spacing w:before="0" w:after="0"/>
            </w:pPr>
            <w:r w:rsidRPr="00F47A51">
              <w:t>VIII. Baross u. 86.</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IX.</w:t>
            </w:r>
            <w:r>
              <w:t xml:space="preserve"> kerület</w:t>
            </w:r>
          </w:p>
        </w:tc>
        <w:tc>
          <w:tcPr>
            <w:tcW w:w="2500" w:type="pct"/>
            <w:vAlign w:val="center"/>
          </w:tcPr>
          <w:p w:rsidR="00B26043" w:rsidRPr="00F47A51" w:rsidRDefault="00B26043" w:rsidP="00EB2797">
            <w:pPr>
              <w:spacing w:before="0" w:after="0"/>
            </w:pPr>
            <w:r w:rsidRPr="00F47A51">
              <w:t>IX. Üllői út 29.</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X-XIV.</w:t>
            </w:r>
            <w:r>
              <w:t xml:space="preserve"> kerület</w:t>
            </w:r>
          </w:p>
        </w:tc>
        <w:tc>
          <w:tcPr>
            <w:tcW w:w="2500" w:type="pct"/>
            <w:vAlign w:val="center"/>
          </w:tcPr>
          <w:p w:rsidR="00B26043" w:rsidRPr="00F47A51" w:rsidRDefault="00B26043" w:rsidP="00EB2797">
            <w:pPr>
              <w:spacing w:before="0" w:after="0"/>
            </w:pPr>
            <w:r w:rsidRPr="00F47A51">
              <w:t>XIV. Jávorka Á. u. 2.</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XI-XXII.</w:t>
            </w:r>
            <w:r>
              <w:t xml:space="preserve"> kerület</w:t>
            </w:r>
          </w:p>
        </w:tc>
        <w:tc>
          <w:tcPr>
            <w:tcW w:w="2500" w:type="pct"/>
            <w:vAlign w:val="center"/>
          </w:tcPr>
          <w:p w:rsidR="00B26043" w:rsidRPr="00F47A51" w:rsidRDefault="00B26043" w:rsidP="00EB2797">
            <w:pPr>
              <w:spacing w:before="0" w:after="0"/>
            </w:pPr>
            <w:r w:rsidRPr="00F47A51">
              <w:t>XI. Bicskei út 4.</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XIII.</w:t>
            </w:r>
            <w:r>
              <w:t xml:space="preserve"> kerület</w:t>
            </w:r>
          </w:p>
        </w:tc>
        <w:tc>
          <w:tcPr>
            <w:tcW w:w="2500" w:type="pct"/>
            <w:vAlign w:val="center"/>
          </w:tcPr>
          <w:p w:rsidR="00B26043" w:rsidRPr="00F47A51" w:rsidRDefault="00B26043" w:rsidP="00EB2797">
            <w:pPr>
              <w:spacing w:before="0" w:after="0"/>
            </w:pPr>
            <w:r w:rsidRPr="00F47A51">
              <w:t>XIII. Visegrádi u. 15.</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XVI-XVII.</w:t>
            </w:r>
            <w:r>
              <w:t xml:space="preserve"> kerület</w:t>
            </w:r>
          </w:p>
        </w:tc>
        <w:tc>
          <w:tcPr>
            <w:tcW w:w="2500" w:type="pct"/>
            <w:vAlign w:val="center"/>
          </w:tcPr>
          <w:p w:rsidR="00B26043" w:rsidRPr="00F47A51" w:rsidRDefault="00B26043" w:rsidP="00EB2797">
            <w:pPr>
              <w:spacing w:before="0" w:after="0"/>
            </w:pPr>
            <w:r w:rsidRPr="00F47A51">
              <w:t>XVII. Ferihegyi u. 33.</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XVIII-XIX.</w:t>
            </w:r>
            <w:r>
              <w:t xml:space="preserve"> kerület</w:t>
            </w:r>
          </w:p>
        </w:tc>
        <w:tc>
          <w:tcPr>
            <w:tcW w:w="2500" w:type="pct"/>
            <w:vAlign w:val="center"/>
          </w:tcPr>
          <w:p w:rsidR="00B26043" w:rsidRPr="00F47A51" w:rsidRDefault="00B26043" w:rsidP="00EB2797">
            <w:pPr>
              <w:spacing w:before="0" w:after="0"/>
            </w:pPr>
            <w:r w:rsidRPr="00F47A51">
              <w:t>XVIII. Baross u. 13.</w:t>
            </w:r>
          </w:p>
        </w:tc>
      </w:tr>
      <w:tr w:rsidR="00B26043" w:rsidRPr="00F47A51" w:rsidTr="00EB2797">
        <w:trPr>
          <w:jc w:val="center"/>
        </w:trPr>
        <w:tc>
          <w:tcPr>
            <w:tcW w:w="2500" w:type="pct"/>
            <w:vAlign w:val="center"/>
          </w:tcPr>
          <w:p w:rsidR="00B26043" w:rsidRPr="00F47A51" w:rsidRDefault="00B26043" w:rsidP="00EB2797">
            <w:pPr>
              <w:spacing w:before="0" w:after="0"/>
            </w:pPr>
            <w:r w:rsidRPr="00F47A51">
              <w:t>XX-XXI-XXIII.</w:t>
            </w:r>
            <w:r>
              <w:t xml:space="preserve"> kerület</w:t>
            </w:r>
          </w:p>
        </w:tc>
        <w:tc>
          <w:tcPr>
            <w:tcW w:w="2500" w:type="pct"/>
            <w:vAlign w:val="center"/>
          </w:tcPr>
          <w:p w:rsidR="00B26043" w:rsidRPr="00F47A51" w:rsidRDefault="00B26043" w:rsidP="00EB2797">
            <w:pPr>
              <w:spacing w:before="0" w:after="0"/>
            </w:pPr>
            <w:r w:rsidRPr="00F47A51">
              <w:t>XX. Attila u. 18.</w:t>
            </w:r>
          </w:p>
        </w:tc>
      </w:tr>
      <w:tr w:rsidR="00EB2797" w:rsidRPr="00EB2797" w:rsidTr="00EB2797">
        <w:trPr>
          <w:jc w:val="center"/>
        </w:trPr>
        <w:tc>
          <w:tcPr>
            <w:tcW w:w="2500" w:type="pct"/>
            <w:vAlign w:val="center"/>
          </w:tcPr>
          <w:p w:rsidR="00EB2797" w:rsidRPr="00EB2797" w:rsidRDefault="00EB2797" w:rsidP="00EB2797">
            <w:pPr>
              <w:spacing w:before="0" w:after="0"/>
              <w:jc w:val="center"/>
              <w:rPr>
                <w:b/>
              </w:rPr>
            </w:pPr>
            <w:r w:rsidRPr="00EB2797">
              <w:rPr>
                <w:b/>
              </w:rPr>
              <w:t>Szervezeti Egység</w:t>
            </w:r>
          </w:p>
        </w:tc>
        <w:tc>
          <w:tcPr>
            <w:tcW w:w="2500" w:type="pct"/>
            <w:vAlign w:val="center"/>
          </w:tcPr>
          <w:p w:rsidR="00EB2797" w:rsidRPr="00EB2797" w:rsidRDefault="00EB2797" w:rsidP="00EB2797">
            <w:pPr>
              <w:spacing w:before="0" w:after="0"/>
              <w:jc w:val="center"/>
              <w:rPr>
                <w:b/>
              </w:rPr>
            </w:pPr>
            <w:r w:rsidRPr="00EB2797">
              <w:rPr>
                <w:b/>
              </w:rPr>
              <w:t>Cím</w:t>
            </w:r>
          </w:p>
        </w:tc>
      </w:tr>
      <w:tr w:rsidR="006D4536" w:rsidRPr="00F47A51" w:rsidTr="00EB2797">
        <w:trPr>
          <w:jc w:val="center"/>
        </w:trPr>
        <w:tc>
          <w:tcPr>
            <w:tcW w:w="2500" w:type="pct"/>
            <w:vAlign w:val="center"/>
          </w:tcPr>
          <w:p w:rsidR="006D4536" w:rsidRPr="00F47A51" w:rsidRDefault="006D4536" w:rsidP="00EB2797">
            <w:pPr>
              <w:spacing w:before="0" w:after="0"/>
            </w:pPr>
            <w:r>
              <w:t>Műszeres Szolgáltatási Osztály</w:t>
            </w:r>
          </w:p>
        </w:tc>
        <w:tc>
          <w:tcPr>
            <w:tcW w:w="2500" w:type="pct"/>
            <w:vAlign w:val="center"/>
          </w:tcPr>
          <w:p w:rsidR="006D4536" w:rsidRPr="00F47A51" w:rsidRDefault="006D4536" w:rsidP="00EB2797">
            <w:pPr>
              <w:spacing w:before="0" w:after="0"/>
            </w:pPr>
            <w:r>
              <w:t>XIV.</w:t>
            </w:r>
            <w:r w:rsidRPr="00F47A51">
              <w:t xml:space="preserve"> Rákospatak u. 70-72.</w:t>
            </w:r>
          </w:p>
        </w:tc>
      </w:tr>
      <w:tr w:rsidR="006D4536" w:rsidRPr="00F47A51" w:rsidTr="00EB2797">
        <w:trPr>
          <w:jc w:val="center"/>
        </w:trPr>
        <w:tc>
          <w:tcPr>
            <w:tcW w:w="2500" w:type="pct"/>
            <w:vAlign w:val="center"/>
          </w:tcPr>
          <w:p w:rsidR="006D4536" w:rsidRPr="00F47A51" w:rsidRDefault="006D4536" w:rsidP="00EB2797">
            <w:pPr>
              <w:spacing w:before="0" w:after="0"/>
            </w:pPr>
            <w:r>
              <w:t>Műszaki Ellenőri Csoport</w:t>
            </w:r>
          </w:p>
        </w:tc>
        <w:tc>
          <w:tcPr>
            <w:tcW w:w="2500" w:type="pct"/>
            <w:vAlign w:val="center"/>
          </w:tcPr>
          <w:p w:rsidR="006D4536" w:rsidRPr="00F47A51" w:rsidRDefault="006D4536" w:rsidP="00EB2797">
            <w:pPr>
              <w:spacing w:before="0" w:after="0"/>
            </w:pPr>
            <w:r>
              <w:t>XIV.</w:t>
            </w:r>
            <w:r w:rsidRPr="00F47A51">
              <w:t xml:space="preserve"> Rákospatak u. 70-72.</w:t>
            </w:r>
          </w:p>
        </w:tc>
      </w:tr>
    </w:tbl>
    <w:p w:rsidR="00B26043" w:rsidRDefault="00B26043" w:rsidP="00996DC7"/>
    <w:p w:rsidR="006A64D2" w:rsidRDefault="006A64D2" w:rsidP="00902B08">
      <w:pPr>
        <w:pStyle w:val="Cmsor2"/>
      </w:pPr>
      <w:bookmarkStart w:id="6" w:name="_Toc389041310"/>
      <w:r>
        <w:t>Jogszabályi változások</w:t>
      </w:r>
      <w:r w:rsidR="00933940">
        <w:t xml:space="preserve"> 201</w:t>
      </w:r>
      <w:r w:rsidR="0018053E">
        <w:t>3</w:t>
      </w:r>
      <w:r w:rsidR="00933940">
        <w:t xml:space="preserve"> vonatkozásában</w:t>
      </w:r>
      <w:bookmarkEnd w:id="6"/>
    </w:p>
    <w:p w:rsidR="00CD37AF" w:rsidRDefault="00CD37AF" w:rsidP="00CD37AF">
      <w:pPr>
        <w:pStyle w:val="Cmsor3"/>
      </w:pPr>
      <w:bookmarkStart w:id="7" w:name="_Toc383710274"/>
      <w:bookmarkStart w:id="8" w:name="_Toc389041311"/>
      <w:r>
        <w:t>14/2013. (III. 18.) Főv. Kgy. rendelet</w:t>
      </w:r>
      <w:bookmarkEnd w:id="7"/>
      <w:bookmarkEnd w:id="8"/>
    </w:p>
    <w:p w:rsidR="00CD37AF" w:rsidRDefault="00CD37AF" w:rsidP="00CD37AF">
      <w:r>
        <w:t xml:space="preserve">A 74/1997. (XII. 30.) Főv. Kgy. </w:t>
      </w:r>
      <w:proofErr w:type="gramStart"/>
      <w:r>
        <w:t>rendeletet</w:t>
      </w:r>
      <w:proofErr w:type="gramEnd"/>
      <w:r>
        <w:t xml:space="preserve"> 2013. április 1-jétől a 14/2013. (III.18.) Főv. Kgy. </w:t>
      </w:r>
      <w:proofErr w:type="gramStart"/>
      <w:r>
        <w:t>rendelet</w:t>
      </w:r>
      <w:proofErr w:type="gramEnd"/>
      <w:r>
        <w:t xml:space="preserve"> váltotta fel. Az új jogszabály számos, a Társaság működését, munkaszervezését befolyásoló változást hozott. (1) A közszolgáltatási beszámoló elvárt tartalma új elemekkel bővült, mely változásokat indukált mind a pénzügyi tervezés, mind az ügyfélszolgálat napi munkája során. (2) A rendelet új üzletszabályzat elkészítését írta elő, mely Üzletszabályzat több körös egyeztetések, majd a Fővárosi Közgyűlés elfogadása után 2013. október 21-én lépett hatályba. (3) A jogszabály a beérkező panaszokkal kapcsolatban félévente történő beszámolási kötelezettséget ír elő Társaságunk számára. (4) A rendelet a korábbi előírás visszahozásával változtatott a laza beépítésű övezetek első értesítésére vonatkozó </w:t>
      </w:r>
      <w:r>
        <w:lastRenderedPageBreak/>
        <w:t>előírásán, így ismételten utcasarki plakát útján kell a családi házas övezetekben élőket értesíteni az ellenőrzés első időpontjáról.</w:t>
      </w:r>
    </w:p>
    <w:p w:rsidR="00CD37AF" w:rsidRDefault="00CD37AF" w:rsidP="00CD37AF">
      <w:pPr>
        <w:pStyle w:val="Cmsor3"/>
      </w:pPr>
      <w:bookmarkStart w:id="9" w:name="_Toc383710275"/>
      <w:bookmarkStart w:id="10" w:name="_Toc336510795"/>
      <w:bookmarkStart w:id="11" w:name="_Toc389041312"/>
      <w:r>
        <w:t>A kéményseprő-ipari közszolgáltatásról szóló 2012. évi XC. törvény</w:t>
      </w:r>
      <w:bookmarkEnd w:id="9"/>
      <w:bookmarkEnd w:id="10"/>
      <w:bookmarkEnd w:id="11"/>
    </w:p>
    <w:p w:rsidR="00CD37AF" w:rsidRDefault="00CD37AF" w:rsidP="00CD37AF">
      <w:r>
        <w:t>2012. június 18-án elfogadott 2012. évi XC. törvény 2013. január 1-jével lépett hatályba. A jogszabály 2013. július 1-jével a rezsicsökkentéshez kapcsolódóan módosult. A törvényből kikerült a kiszállási díj, illetve a közszolgáltatási díj fedezetének meghatározása.</w:t>
      </w:r>
    </w:p>
    <w:p w:rsidR="00CD37AF" w:rsidRDefault="00CD37AF" w:rsidP="00CD37AF">
      <w:pPr>
        <w:pStyle w:val="Cmsor3"/>
      </w:pPr>
      <w:bookmarkStart w:id="12" w:name="_Toc383710276"/>
      <w:bookmarkStart w:id="13" w:name="_Toc336510794"/>
      <w:bookmarkStart w:id="14" w:name="_Toc389041313"/>
      <w:r>
        <w:t>A fogyasztóvédelemről szóló 1997. évi CLV. törvény</w:t>
      </w:r>
      <w:bookmarkEnd w:id="12"/>
      <w:bookmarkEnd w:id="13"/>
      <w:bookmarkEnd w:id="14"/>
    </w:p>
    <w:p w:rsidR="00CD37AF" w:rsidRDefault="00CD37AF" w:rsidP="00CD37AF">
      <w:r>
        <w:t>2013-ban módosította az országgyűlés a fogyasztóvédelmi törvényt. Ennek értelmében Társaságunknak 2013-ban meg kellett tennie azokat az előkészületeket, amelyek biztosítják az új előírásoknak való megfelelést, különös tekintettel a fogyasztóvédelmi referens alkalmazására, illetve a telefonos ügyfélszolgálat 5 percen belüli hívásfogadására.</w:t>
      </w:r>
    </w:p>
    <w:p w:rsidR="00CD37AF" w:rsidRDefault="00CD37AF" w:rsidP="00CD37AF">
      <w:pPr>
        <w:pStyle w:val="Cmsor3"/>
        <w:autoSpaceDE w:val="0"/>
        <w:autoSpaceDN w:val="0"/>
        <w:adjustRightInd w:val="0"/>
        <w:spacing w:before="240" w:after="240"/>
      </w:pPr>
      <w:bookmarkStart w:id="15" w:name="_Toc383710277"/>
      <w:bookmarkStart w:id="16" w:name="_Toc389041314"/>
      <w:bookmarkStart w:id="17" w:name="_Toc336510793"/>
      <w:r>
        <w:t>Az egységes közszolgáltatói számlaképről szóló 2013. évi CLXXXVIII. törvény</w:t>
      </w:r>
      <w:bookmarkEnd w:id="15"/>
      <w:bookmarkEnd w:id="16"/>
    </w:p>
    <w:p w:rsidR="00CD37AF" w:rsidRDefault="00CD37AF" w:rsidP="00CD37AF">
      <w:r>
        <w:t>A 2013 év végén megjelent jogszabály jelentős erőfeszítéseket követelt, hogy a jogszabályi előírások szerinti számlaképnek megfelelőn tudja a Társaság a számláit kibocsátani. Tekintettel arra, hogy 2013 év végéig három alrendszerből kerültek előállításra a számláink, így a legnagyobb kihívást annak megállapítása jelentette, hogy az egy rendeltetési helyhez tartozó, azonos partnerek esetében a különböző rendszerekből a göngyölített adatok előálljanak.</w:t>
      </w:r>
    </w:p>
    <w:p w:rsidR="00CD37AF" w:rsidRDefault="00CD37AF" w:rsidP="00CD37AF">
      <w:pPr>
        <w:pStyle w:val="Cmsor3"/>
      </w:pPr>
      <w:bookmarkStart w:id="18" w:name="_Toc383710278"/>
      <w:bookmarkStart w:id="19" w:name="_Toc389041315"/>
      <w:r>
        <w:t>OTÉK 253/1997. (XII. 20.) Korm. rendelet</w:t>
      </w:r>
      <w:bookmarkEnd w:id="17"/>
      <w:bookmarkEnd w:id="18"/>
      <w:bookmarkEnd w:id="19"/>
    </w:p>
    <w:p w:rsidR="00CD37AF" w:rsidRDefault="00CD37AF" w:rsidP="00CD37AF">
      <w:r>
        <w:t>Az országos településrendezési és építési követelményekről szóló 253/1997. (XII. 20.) Korm. rendeletből (OTÉK) 2012-ben törlésre került a tartalékfűtésre vonatkozó kötelezésről szóló 94. §. A tartalékkémény kötelezettség eltörlése szakmai szempontok alapján nem volt indokolható. Bár Társaságunk számára a jogszabály módosítás kockázata az árbevétel 20%-át adó tartalékkémény sormunkák drasztikus csökkenése lehet, 2013-ban nem történt észrevehető változás a tartalékkémények számában, így a módosítás nem volt hatással az árbevételünkre.</w:t>
      </w:r>
    </w:p>
    <w:p w:rsidR="00992947" w:rsidRDefault="00CD37AF" w:rsidP="00902B08">
      <w:pPr>
        <w:pStyle w:val="Cmsor2"/>
      </w:pPr>
      <w:r w:rsidRPr="0018053E" w:rsidDel="00CD37AF">
        <w:rPr>
          <w:color w:val="FF0000"/>
        </w:rPr>
        <w:t xml:space="preserve"> </w:t>
      </w:r>
      <w:bookmarkStart w:id="20" w:name="_Toc387397856"/>
      <w:bookmarkStart w:id="21" w:name="_Toc387414929"/>
      <w:bookmarkStart w:id="22" w:name="_Toc387415210"/>
      <w:bookmarkStart w:id="23" w:name="_Toc387397857"/>
      <w:bookmarkStart w:id="24" w:name="_Toc387414930"/>
      <w:bookmarkStart w:id="25" w:name="_Toc387415211"/>
      <w:bookmarkStart w:id="26" w:name="_Toc387397858"/>
      <w:bookmarkStart w:id="27" w:name="_Toc387414931"/>
      <w:bookmarkStart w:id="28" w:name="_Toc387415212"/>
      <w:bookmarkStart w:id="29" w:name="_Toc387397859"/>
      <w:bookmarkStart w:id="30" w:name="_Toc387414932"/>
      <w:bookmarkStart w:id="31" w:name="_Toc387415213"/>
      <w:bookmarkStart w:id="32" w:name="_Toc387397860"/>
      <w:bookmarkStart w:id="33" w:name="_Toc387414933"/>
      <w:bookmarkStart w:id="34" w:name="_Toc387415214"/>
      <w:bookmarkStart w:id="35" w:name="_Toc387397861"/>
      <w:bookmarkStart w:id="36" w:name="_Toc387414934"/>
      <w:bookmarkStart w:id="37" w:name="_Toc387415215"/>
      <w:bookmarkStart w:id="38" w:name="_Toc387397862"/>
      <w:bookmarkStart w:id="39" w:name="_Toc387414935"/>
      <w:bookmarkStart w:id="40" w:name="_Toc387415216"/>
      <w:bookmarkStart w:id="41" w:name="_Toc387397863"/>
      <w:bookmarkStart w:id="42" w:name="_Toc387414936"/>
      <w:bookmarkStart w:id="43" w:name="_Toc387415217"/>
      <w:bookmarkStart w:id="44" w:name="_Toc387397864"/>
      <w:bookmarkStart w:id="45" w:name="_Toc387414937"/>
      <w:bookmarkStart w:id="46" w:name="_Toc387415218"/>
      <w:bookmarkStart w:id="47" w:name="_Toc387397865"/>
      <w:bookmarkStart w:id="48" w:name="_Toc387414938"/>
      <w:bookmarkStart w:id="49" w:name="_Toc387415219"/>
      <w:bookmarkStart w:id="50" w:name="_Toc387397866"/>
      <w:bookmarkStart w:id="51" w:name="_Toc387414939"/>
      <w:bookmarkStart w:id="52" w:name="_Toc387415220"/>
      <w:bookmarkStart w:id="53" w:name="_Toc387397867"/>
      <w:bookmarkStart w:id="54" w:name="_Toc387414940"/>
      <w:bookmarkStart w:id="55" w:name="_Toc387415221"/>
      <w:bookmarkStart w:id="56" w:name="_Toc3890413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B26043">
        <w:t>Megtett intézkedések</w:t>
      </w:r>
      <w:bookmarkEnd w:id="56"/>
    </w:p>
    <w:p w:rsidR="00C06799" w:rsidRDefault="00C06799" w:rsidP="00C06799">
      <w:r>
        <w:t xml:space="preserve">A Társaság 2013-ban is rendkívül hektikus és változásokkal terhelt évet tudhat maga mögött. A FŐKÉTÜSZ Kft. menedzsmentje az évet a 2012 év végén megjelenő új jogszabályokban foglalt előírásokhoz való igazodás feltételrendszerének megteremtésével kezdte meg. Az új jogszabályi környezet, új Fővárosi Közgyűlési rendeletet indukált, melynek előkészítésében Társaságunk segédkezett. E mellett feltárásra kerültek azon új feladatok és az azok végrehajtásához szükséges elemek, melyek a közszolgáltatási tevékenység teljes körű ellátásához feltétlen szükségesek. A 2012 novemberében elfogadott 2013. évi üzleti tervet ennek megfelelően át kellett dolgozni, mely – a megfelelő szakmai egyeztetéseket követően – időben a díjrendelet elfogadás után történhetett csak meg. Mindezek miatt a </w:t>
      </w:r>
      <w:r>
        <w:lastRenderedPageBreak/>
        <w:t>megnövekedett költségek ellentételezésére tárgyalásokat folytattunk a díjmegállapító Fővárosi Önkormányzattal.</w:t>
      </w:r>
    </w:p>
    <w:p w:rsidR="00C06799" w:rsidRDefault="00C06799" w:rsidP="00C06799">
      <w:r>
        <w:t xml:space="preserve">2013. július 1-jével hatályba lépett rezsicsökkentés okán további tervmódosításra volt szükség, melynek eredményeként a BVK Holding </w:t>
      </w:r>
      <w:proofErr w:type="spellStart"/>
      <w:r>
        <w:t>Zrt</w:t>
      </w:r>
      <w:proofErr w:type="spellEnd"/>
      <w:r>
        <w:t>. elfogadta a Társaság módosított üzleti tervet.</w:t>
      </w:r>
    </w:p>
    <w:p w:rsidR="00C06799" w:rsidRDefault="00C06799" w:rsidP="00C06799">
      <w:r>
        <w:t>Az eredeti elfogadott 2013. évi üzleti tervhez képest jelentős árbevétel kiesés volt várható az 50%-os rezsicsökkentés (a fővárosban ez 44% átlagosan) valamint a kiszállási díj eltörlésének hatására, mindemellett a jogszabályban előírt új feladatok elvégzéséhez többlet erőforrások biztosítása vált szükségessé. E két tényező miatt a Társaságnál a 4. negyedévtől likviditási problémák merültek fel. Ennek ellensúlyozása érdekében fokozott figyelmet fordítottunk kintlévőségeink behajtására, de már a tervmódosítás során látszott, hogy külső forrás, banki hitel, vagy díjkompenzáció nélkül 2013 októberétől a működés finanszírozhatósága kritikussá válik.</w:t>
      </w:r>
    </w:p>
    <w:p w:rsidR="00CD37AF" w:rsidRPr="00EB2797" w:rsidRDefault="00C06799" w:rsidP="00CD37AF">
      <w:r>
        <w:t xml:space="preserve">Mindezek miatt a likviditás fenntarthatósága érdekében a beruházások elhalasztása mellett a közszolgáltatási szerződés módosítását kezdeményeztük, melynek eredményeként 540 </w:t>
      </w:r>
      <w:proofErr w:type="spellStart"/>
      <w:r>
        <w:t>MFt</w:t>
      </w:r>
      <w:proofErr w:type="spellEnd"/>
      <w:r>
        <w:t xml:space="preserve"> forráshoz </w:t>
      </w:r>
      <w:r w:rsidR="00CD37AF" w:rsidRPr="00EB2797">
        <w:t xml:space="preserve">jutottunk a Fővárosi Önkormányzat döntése </w:t>
      </w:r>
      <w:proofErr w:type="gramStart"/>
      <w:r w:rsidR="00CD37AF" w:rsidRPr="00EB2797">
        <w:t>értelmében</w:t>
      </w:r>
      <w:proofErr w:type="gramEnd"/>
      <w:r w:rsidR="00CD37AF" w:rsidRPr="00EB2797">
        <w:t xml:space="preserve"> díjkompenzáció formájában. A díjkompenzációt címkézetten, konkrét felhasználásra kapta a Társaság, mellyel a közszolgáltatási beszámoló elkészítését követően el kell számolnia.</w:t>
      </w:r>
    </w:p>
    <w:p w:rsidR="00CD37AF" w:rsidRPr="00EB2797" w:rsidRDefault="00CD37AF" w:rsidP="00EB2797">
      <w:r w:rsidRPr="00EB2797">
        <w:t>Az elhalasztott beruházások feltétlen szükségesek a közszolgáltatási feladatok elvégzéshez, azok végrehajtását 2014-re halasztottuk. A műszerpark korszerűsítése, kalibrációja és bővítése a 2015-től megjelenő feladatokra való felkészülés miatt elengedhetetlen.</w:t>
      </w:r>
    </w:p>
    <w:p w:rsidR="00CD37AF" w:rsidRPr="00EB2797" w:rsidRDefault="00CD37AF" w:rsidP="00EB2797">
      <w:r w:rsidRPr="00EB2797">
        <w:t>Az átlátható, a jogszabályoknak és a tulajdonosi elvárásoknak megfelelő működés érdekében folyamatosan felülvizsgáltuk a Társaság belső szabályzatait, és új szabályzatokat alkottunk, melyre vonatkozóan külön szabályozási tervet készítettünk.</w:t>
      </w:r>
    </w:p>
    <w:p w:rsidR="00B26043" w:rsidRDefault="00B26043"/>
    <w:p w:rsidR="006A64D2" w:rsidRDefault="006A64D2" w:rsidP="00902B08">
      <w:pPr>
        <w:pStyle w:val="Cmsor2"/>
      </w:pPr>
      <w:bookmarkStart w:id="57" w:name="bookmark7"/>
      <w:bookmarkStart w:id="58" w:name="_Toc389041317"/>
      <w:r w:rsidRPr="00C4636F">
        <w:t>Nyilvántartási rendszer</w:t>
      </w:r>
      <w:bookmarkEnd w:id="57"/>
      <w:bookmarkEnd w:id="58"/>
    </w:p>
    <w:p w:rsidR="00651602" w:rsidRPr="00F259BA" w:rsidRDefault="00651602" w:rsidP="00996DC7">
      <w:r>
        <w:t>2012. évben a jogszabályi előírások szerinti épületenkénti nyilvántartást vezettünk a főváros működő és tartalékkéményei tekintetében. 2013. január 1-jétől lakásonkénti nyilvántartást kell</w:t>
      </w:r>
      <w:r w:rsidR="00EB4048">
        <w:t xml:space="preserve">ett kialakítania és vezetnie </w:t>
      </w:r>
      <w:r>
        <w:t xml:space="preserve">a közszolgáltatónak, így a </w:t>
      </w:r>
      <w:r w:rsidR="00EB4048">
        <w:t xml:space="preserve">2012-es </w:t>
      </w:r>
      <w:r>
        <w:t xml:space="preserve">nyilvántartás 2013-ban már nem felel meg a jogszabályi kötelezettségnek. Annak érdekében, hogy a nyilvántartás a továbbiakban is szabályszerű legyen, Társaságunknak szüksége </w:t>
      </w:r>
      <w:r w:rsidR="00EB4048">
        <w:t>volt</w:t>
      </w:r>
      <w:r>
        <w:t xml:space="preserve"> az egyes épületekhez tartozó lakásszámra és a lakás tulajdonosok adataira</w:t>
      </w:r>
      <w:r w:rsidR="00EB4048">
        <w:t xml:space="preserve">. </w:t>
      </w:r>
      <w:r w:rsidR="00F259BA">
        <w:t>Ezen adatok megvásárlására tulajdonosi hozzájárulással</w:t>
      </w:r>
      <w:r w:rsidR="00F259BA" w:rsidRPr="00F259BA">
        <w:t>, a Fővárosi Önkormányzat által biztosított díjkompenzáció folyósításával nyílt lehetőség.</w:t>
      </w:r>
    </w:p>
    <w:p w:rsidR="00EB4048" w:rsidRDefault="00EB4048" w:rsidP="00EB4048">
      <w:r>
        <w:t>2013-ban a zárt lakások tekintetében sikerült jelentős eredményeket elérni, és csökkenteni azok arányát növelve ezzel Társaságunk hatékonyságát. A zárt lakások aránya 2013-van 8,29 volt, míg 2012-ben 20,2%, 2011-ben pedig 22,7%. A zárt lakásszám csökkentése mögött egyfelől a szigorodó jogszabályi előírások, másfelől a Társaság munkaszervezése, illetve az ügyfelek könnyebb tájékozódását szolgáló lépései állnak.</w:t>
      </w:r>
    </w:p>
    <w:p w:rsidR="00F9102F" w:rsidRDefault="00F9102F" w:rsidP="00EB4048"/>
    <w:p w:rsidR="00F9102F" w:rsidRDefault="00F9102F" w:rsidP="00EB4048"/>
    <w:p w:rsidR="00746F82" w:rsidRDefault="00746F82" w:rsidP="00EB4048"/>
    <w:p w:rsidR="00746F82" w:rsidRDefault="00746F82" w:rsidP="00EB4048"/>
    <w:p w:rsidR="00746F82" w:rsidRDefault="00746F82" w:rsidP="00EB4048"/>
    <w:p w:rsidR="00FB46AF" w:rsidRPr="00FB46AF" w:rsidRDefault="00FB46AF" w:rsidP="00F9102F">
      <w:pPr>
        <w:jc w:val="center"/>
      </w:pPr>
      <w:r w:rsidRPr="00FB46AF">
        <w:t>A kémények számának alakulása</w:t>
      </w:r>
    </w:p>
    <w:tbl>
      <w:tblPr>
        <w:tblStyle w:val="Vilgostnus"/>
        <w:tblW w:w="5185" w:type="pct"/>
        <w:jc w:val="center"/>
        <w:tblLook w:val="04A0"/>
      </w:tblPr>
      <w:tblGrid>
        <w:gridCol w:w="1150"/>
        <w:gridCol w:w="2057"/>
        <w:gridCol w:w="2169"/>
        <w:gridCol w:w="2253"/>
        <w:gridCol w:w="2001"/>
      </w:tblGrid>
      <w:tr w:rsidR="00EB4048" w:rsidTr="00EB2797">
        <w:trPr>
          <w:cnfStyle w:val="100000000000"/>
          <w:trHeight w:val="498"/>
          <w:jc w:val="center"/>
        </w:trPr>
        <w:tc>
          <w:tcPr>
            <w:cnfStyle w:val="001000000000"/>
            <w:tcW w:w="597" w:type="pct"/>
            <w:noWrap/>
            <w:hideMark/>
          </w:tcPr>
          <w:p w:rsidR="00EB4048" w:rsidRDefault="00EB4048">
            <w:pPr>
              <w:jc w:val="center"/>
              <w:rPr>
                <w:color w:val="000000"/>
                <w:sz w:val="20"/>
                <w:szCs w:val="20"/>
              </w:rPr>
            </w:pPr>
            <w:r>
              <w:rPr>
                <w:color w:val="000000"/>
                <w:sz w:val="20"/>
                <w:szCs w:val="20"/>
              </w:rPr>
              <w:t>Év</w:t>
            </w:r>
          </w:p>
        </w:tc>
        <w:tc>
          <w:tcPr>
            <w:tcW w:w="1068" w:type="pct"/>
            <w:hideMark/>
          </w:tcPr>
          <w:p w:rsidR="00EB4048" w:rsidRDefault="00EB4048">
            <w:pPr>
              <w:jc w:val="center"/>
              <w:cnfStyle w:val="100000000000"/>
              <w:rPr>
                <w:color w:val="000000"/>
                <w:sz w:val="20"/>
                <w:szCs w:val="20"/>
              </w:rPr>
            </w:pPr>
            <w:r>
              <w:rPr>
                <w:color w:val="000000"/>
                <w:sz w:val="20"/>
                <w:szCs w:val="20"/>
              </w:rPr>
              <w:t>Gravitációs egyedi és gyűjtő kémények száma</w:t>
            </w:r>
          </w:p>
        </w:tc>
        <w:tc>
          <w:tcPr>
            <w:tcW w:w="1126" w:type="pct"/>
            <w:hideMark/>
          </w:tcPr>
          <w:p w:rsidR="00EB4048" w:rsidRDefault="00EB4048">
            <w:pPr>
              <w:jc w:val="center"/>
              <w:cnfStyle w:val="100000000000"/>
              <w:rPr>
                <w:color w:val="000000"/>
                <w:sz w:val="20"/>
                <w:szCs w:val="20"/>
              </w:rPr>
            </w:pPr>
            <w:r>
              <w:rPr>
                <w:color w:val="000000"/>
                <w:sz w:val="20"/>
                <w:szCs w:val="20"/>
              </w:rPr>
              <w:t>Mesterséges kémények száma</w:t>
            </w:r>
          </w:p>
        </w:tc>
        <w:tc>
          <w:tcPr>
            <w:tcW w:w="1170" w:type="pct"/>
            <w:hideMark/>
          </w:tcPr>
          <w:p w:rsidR="00EB4048" w:rsidRDefault="00EB4048">
            <w:pPr>
              <w:jc w:val="center"/>
              <w:cnfStyle w:val="100000000000"/>
              <w:rPr>
                <w:color w:val="000000"/>
                <w:sz w:val="20"/>
                <w:szCs w:val="20"/>
              </w:rPr>
            </w:pPr>
            <w:r>
              <w:rPr>
                <w:color w:val="000000"/>
                <w:sz w:val="20"/>
                <w:szCs w:val="20"/>
              </w:rPr>
              <w:t>Központi és ipari gravitációs kémények száma</w:t>
            </w:r>
          </w:p>
        </w:tc>
        <w:tc>
          <w:tcPr>
            <w:tcW w:w="1039" w:type="pct"/>
            <w:hideMark/>
          </w:tcPr>
          <w:p w:rsidR="00EB4048" w:rsidRDefault="00EB4048">
            <w:pPr>
              <w:jc w:val="center"/>
              <w:cnfStyle w:val="100000000000"/>
              <w:rPr>
                <w:color w:val="000000"/>
                <w:sz w:val="20"/>
                <w:szCs w:val="20"/>
              </w:rPr>
            </w:pPr>
            <w:r>
              <w:rPr>
                <w:color w:val="000000"/>
                <w:sz w:val="20"/>
                <w:szCs w:val="20"/>
              </w:rPr>
              <w:t>Kémények száma összesen</w:t>
            </w:r>
          </w:p>
        </w:tc>
      </w:tr>
      <w:tr w:rsidR="00EB4048" w:rsidTr="00EB2797">
        <w:trPr>
          <w:cnfStyle w:val="000000100000"/>
          <w:trHeight w:val="312"/>
          <w:jc w:val="center"/>
        </w:trPr>
        <w:tc>
          <w:tcPr>
            <w:cnfStyle w:val="001000000000"/>
            <w:tcW w:w="597" w:type="pct"/>
            <w:tcBorders>
              <w:top w:val="nil"/>
              <w:bottom w:val="nil"/>
            </w:tcBorders>
            <w:noWrap/>
            <w:hideMark/>
          </w:tcPr>
          <w:p w:rsidR="00EB4048" w:rsidRDefault="00EB4048">
            <w:pPr>
              <w:jc w:val="center"/>
              <w:rPr>
                <w:color w:val="000000"/>
                <w:sz w:val="20"/>
                <w:szCs w:val="20"/>
              </w:rPr>
            </w:pPr>
            <w:r>
              <w:rPr>
                <w:color w:val="000000"/>
                <w:sz w:val="20"/>
                <w:szCs w:val="20"/>
              </w:rPr>
              <w:t>2006.</w:t>
            </w:r>
          </w:p>
        </w:tc>
        <w:tc>
          <w:tcPr>
            <w:tcW w:w="1068"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1 002 083</w:t>
            </w:r>
          </w:p>
        </w:tc>
        <w:tc>
          <w:tcPr>
            <w:tcW w:w="1126"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7 791</w:t>
            </w:r>
          </w:p>
        </w:tc>
        <w:tc>
          <w:tcPr>
            <w:tcW w:w="1170"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14 799</w:t>
            </w:r>
          </w:p>
        </w:tc>
        <w:tc>
          <w:tcPr>
            <w:tcW w:w="1039"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1 024 673</w:t>
            </w:r>
          </w:p>
        </w:tc>
      </w:tr>
      <w:tr w:rsidR="00EB4048" w:rsidTr="00EB2797">
        <w:trPr>
          <w:trHeight w:val="300"/>
          <w:jc w:val="center"/>
        </w:trPr>
        <w:tc>
          <w:tcPr>
            <w:cnfStyle w:val="001000000000"/>
            <w:tcW w:w="597" w:type="pct"/>
            <w:tcBorders>
              <w:top w:val="nil"/>
              <w:left w:val="nil"/>
              <w:bottom w:val="nil"/>
              <w:right w:val="nil"/>
            </w:tcBorders>
            <w:noWrap/>
            <w:hideMark/>
          </w:tcPr>
          <w:p w:rsidR="00EB4048" w:rsidRDefault="00EB4048">
            <w:pPr>
              <w:jc w:val="center"/>
              <w:rPr>
                <w:color w:val="000000"/>
                <w:sz w:val="20"/>
                <w:szCs w:val="20"/>
              </w:rPr>
            </w:pPr>
            <w:r>
              <w:rPr>
                <w:color w:val="000000"/>
                <w:sz w:val="20"/>
                <w:szCs w:val="20"/>
              </w:rPr>
              <w:t>2007.</w:t>
            </w:r>
          </w:p>
        </w:tc>
        <w:tc>
          <w:tcPr>
            <w:tcW w:w="1068"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998 054</w:t>
            </w:r>
          </w:p>
        </w:tc>
        <w:tc>
          <w:tcPr>
            <w:tcW w:w="1126"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14 361</w:t>
            </w:r>
          </w:p>
        </w:tc>
        <w:tc>
          <w:tcPr>
            <w:tcW w:w="1170"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14 688</w:t>
            </w:r>
          </w:p>
        </w:tc>
        <w:tc>
          <w:tcPr>
            <w:tcW w:w="1039"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1 027 103</w:t>
            </w:r>
          </w:p>
        </w:tc>
      </w:tr>
      <w:tr w:rsidR="00EB4048" w:rsidTr="00EB2797">
        <w:trPr>
          <w:cnfStyle w:val="000000100000"/>
          <w:trHeight w:val="300"/>
          <w:jc w:val="center"/>
        </w:trPr>
        <w:tc>
          <w:tcPr>
            <w:cnfStyle w:val="001000000000"/>
            <w:tcW w:w="597" w:type="pct"/>
            <w:tcBorders>
              <w:top w:val="nil"/>
              <w:bottom w:val="nil"/>
            </w:tcBorders>
            <w:noWrap/>
            <w:hideMark/>
          </w:tcPr>
          <w:p w:rsidR="00EB4048" w:rsidRDefault="00EB4048">
            <w:pPr>
              <w:jc w:val="center"/>
              <w:rPr>
                <w:color w:val="000000"/>
                <w:sz w:val="20"/>
                <w:szCs w:val="20"/>
              </w:rPr>
            </w:pPr>
            <w:r>
              <w:rPr>
                <w:color w:val="000000"/>
                <w:sz w:val="20"/>
                <w:szCs w:val="20"/>
              </w:rPr>
              <w:t>2008.</w:t>
            </w:r>
          </w:p>
        </w:tc>
        <w:tc>
          <w:tcPr>
            <w:tcW w:w="1068"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988 833</w:t>
            </w:r>
          </w:p>
        </w:tc>
        <w:tc>
          <w:tcPr>
            <w:tcW w:w="1126"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20 526</w:t>
            </w:r>
          </w:p>
        </w:tc>
        <w:tc>
          <w:tcPr>
            <w:tcW w:w="1170"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14 694</w:t>
            </w:r>
          </w:p>
        </w:tc>
        <w:tc>
          <w:tcPr>
            <w:tcW w:w="1039"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1 024 053</w:t>
            </w:r>
          </w:p>
        </w:tc>
      </w:tr>
      <w:tr w:rsidR="00EB4048" w:rsidTr="00EB2797">
        <w:trPr>
          <w:trHeight w:val="300"/>
          <w:jc w:val="center"/>
        </w:trPr>
        <w:tc>
          <w:tcPr>
            <w:cnfStyle w:val="001000000000"/>
            <w:tcW w:w="597" w:type="pct"/>
            <w:tcBorders>
              <w:top w:val="nil"/>
              <w:left w:val="nil"/>
              <w:bottom w:val="nil"/>
              <w:right w:val="nil"/>
            </w:tcBorders>
            <w:noWrap/>
            <w:hideMark/>
          </w:tcPr>
          <w:p w:rsidR="00EB4048" w:rsidRDefault="00EB4048">
            <w:pPr>
              <w:jc w:val="center"/>
              <w:rPr>
                <w:color w:val="000000"/>
                <w:sz w:val="20"/>
                <w:szCs w:val="20"/>
              </w:rPr>
            </w:pPr>
            <w:r>
              <w:rPr>
                <w:color w:val="000000"/>
                <w:sz w:val="20"/>
                <w:szCs w:val="20"/>
              </w:rPr>
              <w:t>2009.</w:t>
            </w:r>
          </w:p>
        </w:tc>
        <w:tc>
          <w:tcPr>
            <w:tcW w:w="1068"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981 866</w:t>
            </w:r>
          </w:p>
        </w:tc>
        <w:tc>
          <w:tcPr>
            <w:tcW w:w="1126"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31 380</w:t>
            </w:r>
          </w:p>
        </w:tc>
        <w:tc>
          <w:tcPr>
            <w:tcW w:w="1170"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14 781</w:t>
            </w:r>
          </w:p>
        </w:tc>
        <w:tc>
          <w:tcPr>
            <w:tcW w:w="1039"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1 028 027</w:t>
            </w:r>
          </w:p>
        </w:tc>
      </w:tr>
      <w:tr w:rsidR="00EB4048" w:rsidTr="00EB2797">
        <w:trPr>
          <w:cnfStyle w:val="000000100000"/>
          <w:trHeight w:val="300"/>
          <w:jc w:val="center"/>
        </w:trPr>
        <w:tc>
          <w:tcPr>
            <w:cnfStyle w:val="001000000000"/>
            <w:tcW w:w="597" w:type="pct"/>
            <w:tcBorders>
              <w:top w:val="nil"/>
              <w:bottom w:val="nil"/>
            </w:tcBorders>
            <w:noWrap/>
            <w:hideMark/>
          </w:tcPr>
          <w:p w:rsidR="00EB4048" w:rsidRDefault="00EB4048">
            <w:pPr>
              <w:jc w:val="center"/>
              <w:rPr>
                <w:color w:val="000000"/>
                <w:sz w:val="20"/>
                <w:szCs w:val="20"/>
              </w:rPr>
            </w:pPr>
            <w:r>
              <w:rPr>
                <w:color w:val="000000"/>
                <w:sz w:val="20"/>
                <w:szCs w:val="20"/>
              </w:rPr>
              <w:t>2010.</w:t>
            </w:r>
          </w:p>
        </w:tc>
        <w:tc>
          <w:tcPr>
            <w:tcW w:w="1068"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976 289</w:t>
            </w:r>
          </w:p>
        </w:tc>
        <w:tc>
          <w:tcPr>
            <w:tcW w:w="1126"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36 519</w:t>
            </w:r>
          </w:p>
        </w:tc>
        <w:tc>
          <w:tcPr>
            <w:tcW w:w="1170"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14 611</w:t>
            </w:r>
          </w:p>
        </w:tc>
        <w:tc>
          <w:tcPr>
            <w:tcW w:w="1039"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1 027 419</w:t>
            </w:r>
          </w:p>
        </w:tc>
      </w:tr>
      <w:tr w:rsidR="00EB4048" w:rsidTr="00EB2797">
        <w:trPr>
          <w:trHeight w:val="300"/>
          <w:jc w:val="center"/>
        </w:trPr>
        <w:tc>
          <w:tcPr>
            <w:cnfStyle w:val="001000000000"/>
            <w:tcW w:w="597" w:type="pct"/>
            <w:tcBorders>
              <w:top w:val="nil"/>
              <w:left w:val="nil"/>
              <w:bottom w:val="nil"/>
              <w:right w:val="nil"/>
            </w:tcBorders>
            <w:noWrap/>
            <w:hideMark/>
          </w:tcPr>
          <w:p w:rsidR="00EB4048" w:rsidRDefault="00EB4048">
            <w:pPr>
              <w:jc w:val="center"/>
              <w:rPr>
                <w:color w:val="000000"/>
                <w:sz w:val="20"/>
                <w:szCs w:val="20"/>
              </w:rPr>
            </w:pPr>
            <w:r>
              <w:rPr>
                <w:color w:val="000000"/>
                <w:sz w:val="20"/>
                <w:szCs w:val="20"/>
              </w:rPr>
              <w:t>2011.</w:t>
            </w:r>
          </w:p>
        </w:tc>
        <w:tc>
          <w:tcPr>
            <w:tcW w:w="1068"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969 439</w:t>
            </w:r>
          </w:p>
        </w:tc>
        <w:tc>
          <w:tcPr>
            <w:tcW w:w="1126"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43 415</w:t>
            </w:r>
          </w:p>
        </w:tc>
        <w:tc>
          <w:tcPr>
            <w:tcW w:w="1170"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14 458</w:t>
            </w:r>
          </w:p>
        </w:tc>
        <w:tc>
          <w:tcPr>
            <w:tcW w:w="1039" w:type="pct"/>
            <w:tcBorders>
              <w:top w:val="nil"/>
              <w:left w:val="nil"/>
              <w:bottom w:val="nil"/>
              <w:right w:val="nil"/>
            </w:tcBorders>
            <w:noWrap/>
            <w:hideMark/>
          </w:tcPr>
          <w:p w:rsidR="00EB4048" w:rsidRDefault="00EB4048">
            <w:pPr>
              <w:jc w:val="center"/>
              <w:cnfStyle w:val="000000000000"/>
              <w:rPr>
                <w:color w:val="000000"/>
                <w:sz w:val="20"/>
                <w:szCs w:val="20"/>
              </w:rPr>
            </w:pPr>
            <w:r>
              <w:rPr>
                <w:color w:val="000000"/>
                <w:sz w:val="20"/>
                <w:szCs w:val="20"/>
              </w:rPr>
              <w:t>1 027 312</w:t>
            </w:r>
          </w:p>
        </w:tc>
      </w:tr>
      <w:tr w:rsidR="00EB4048" w:rsidTr="00EB2797">
        <w:trPr>
          <w:cnfStyle w:val="000000100000"/>
          <w:trHeight w:val="300"/>
          <w:jc w:val="center"/>
        </w:trPr>
        <w:tc>
          <w:tcPr>
            <w:cnfStyle w:val="001000000000"/>
            <w:tcW w:w="597" w:type="pct"/>
            <w:tcBorders>
              <w:top w:val="nil"/>
              <w:bottom w:val="nil"/>
            </w:tcBorders>
            <w:noWrap/>
            <w:hideMark/>
          </w:tcPr>
          <w:p w:rsidR="00EB4048" w:rsidRDefault="00EB4048">
            <w:pPr>
              <w:jc w:val="center"/>
              <w:rPr>
                <w:color w:val="000000"/>
                <w:sz w:val="20"/>
                <w:szCs w:val="20"/>
              </w:rPr>
            </w:pPr>
            <w:r>
              <w:rPr>
                <w:color w:val="000000"/>
                <w:sz w:val="20"/>
                <w:szCs w:val="20"/>
              </w:rPr>
              <w:t>2012.</w:t>
            </w:r>
          </w:p>
        </w:tc>
        <w:tc>
          <w:tcPr>
            <w:tcW w:w="1068"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962 254</w:t>
            </w:r>
          </w:p>
        </w:tc>
        <w:tc>
          <w:tcPr>
            <w:tcW w:w="1126"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49 562</w:t>
            </w:r>
          </w:p>
        </w:tc>
        <w:tc>
          <w:tcPr>
            <w:tcW w:w="1170"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15 069</w:t>
            </w:r>
          </w:p>
        </w:tc>
        <w:tc>
          <w:tcPr>
            <w:tcW w:w="1039" w:type="pct"/>
            <w:tcBorders>
              <w:top w:val="nil"/>
              <w:bottom w:val="nil"/>
            </w:tcBorders>
            <w:noWrap/>
            <w:hideMark/>
          </w:tcPr>
          <w:p w:rsidR="00EB4048" w:rsidRDefault="00EB4048">
            <w:pPr>
              <w:jc w:val="center"/>
              <w:cnfStyle w:val="000000100000"/>
              <w:rPr>
                <w:color w:val="000000"/>
                <w:sz w:val="20"/>
                <w:szCs w:val="20"/>
              </w:rPr>
            </w:pPr>
            <w:r>
              <w:rPr>
                <w:color w:val="000000"/>
                <w:sz w:val="20"/>
                <w:szCs w:val="20"/>
              </w:rPr>
              <w:t>1 026 885</w:t>
            </w:r>
          </w:p>
        </w:tc>
      </w:tr>
      <w:tr w:rsidR="00EB4048" w:rsidTr="00EB2797">
        <w:trPr>
          <w:trHeight w:val="420"/>
          <w:jc w:val="center"/>
        </w:trPr>
        <w:tc>
          <w:tcPr>
            <w:cnfStyle w:val="001000000000"/>
            <w:tcW w:w="597" w:type="pct"/>
            <w:tcBorders>
              <w:top w:val="nil"/>
              <w:left w:val="nil"/>
              <w:bottom w:val="single" w:sz="8" w:space="0" w:color="000000" w:themeColor="text1"/>
              <w:right w:val="nil"/>
            </w:tcBorders>
            <w:noWrap/>
            <w:hideMark/>
          </w:tcPr>
          <w:p w:rsidR="00EB4048" w:rsidRDefault="00EB4048">
            <w:pPr>
              <w:jc w:val="center"/>
              <w:rPr>
                <w:color w:val="000000"/>
                <w:sz w:val="20"/>
                <w:szCs w:val="20"/>
              </w:rPr>
            </w:pPr>
            <w:r>
              <w:rPr>
                <w:color w:val="000000"/>
                <w:sz w:val="20"/>
                <w:szCs w:val="20"/>
              </w:rPr>
              <w:t>2013.*</w:t>
            </w:r>
          </w:p>
        </w:tc>
        <w:tc>
          <w:tcPr>
            <w:tcW w:w="1068" w:type="pct"/>
            <w:tcBorders>
              <w:top w:val="nil"/>
              <w:left w:val="nil"/>
              <w:bottom w:val="single" w:sz="8" w:space="0" w:color="000000" w:themeColor="text1"/>
              <w:right w:val="nil"/>
            </w:tcBorders>
            <w:noWrap/>
            <w:hideMark/>
          </w:tcPr>
          <w:p w:rsidR="00EB4048" w:rsidRDefault="00EB4048">
            <w:pPr>
              <w:jc w:val="center"/>
              <w:cnfStyle w:val="000000000000"/>
              <w:rPr>
                <w:color w:val="000000"/>
                <w:sz w:val="20"/>
                <w:szCs w:val="20"/>
              </w:rPr>
            </w:pPr>
            <w:r>
              <w:rPr>
                <w:color w:val="000000"/>
                <w:sz w:val="20"/>
                <w:szCs w:val="20"/>
              </w:rPr>
              <w:t>952 163</w:t>
            </w:r>
          </w:p>
        </w:tc>
        <w:tc>
          <w:tcPr>
            <w:tcW w:w="1126" w:type="pct"/>
            <w:tcBorders>
              <w:top w:val="nil"/>
              <w:left w:val="nil"/>
              <w:bottom w:val="single" w:sz="8" w:space="0" w:color="000000" w:themeColor="text1"/>
              <w:right w:val="nil"/>
            </w:tcBorders>
            <w:noWrap/>
            <w:hideMark/>
          </w:tcPr>
          <w:p w:rsidR="00EB4048" w:rsidRDefault="00EB4048">
            <w:pPr>
              <w:jc w:val="center"/>
              <w:cnfStyle w:val="000000000000"/>
              <w:rPr>
                <w:color w:val="000000"/>
                <w:sz w:val="20"/>
                <w:szCs w:val="20"/>
              </w:rPr>
            </w:pPr>
            <w:r>
              <w:rPr>
                <w:color w:val="000000"/>
                <w:sz w:val="20"/>
                <w:szCs w:val="20"/>
              </w:rPr>
              <w:t>53 758</w:t>
            </w:r>
          </w:p>
        </w:tc>
        <w:tc>
          <w:tcPr>
            <w:tcW w:w="1170" w:type="pct"/>
            <w:tcBorders>
              <w:top w:val="nil"/>
              <w:left w:val="nil"/>
              <w:bottom w:val="single" w:sz="8" w:space="0" w:color="000000" w:themeColor="text1"/>
              <w:right w:val="nil"/>
            </w:tcBorders>
            <w:noWrap/>
            <w:hideMark/>
          </w:tcPr>
          <w:p w:rsidR="00EB4048" w:rsidRDefault="00EB4048">
            <w:pPr>
              <w:jc w:val="center"/>
              <w:cnfStyle w:val="000000000000"/>
              <w:rPr>
                <w:color w:val="000000"/>
                <w:sz w:val="20"/>
                <w:szCs w:val="20"/>
              </w:rPr>
            </w:pPr>
            <w:r>
              <w:rPr>
                <w:color w:val="000000"/>
                <w:sz w:val="20"/>
                <w:szCs w:val="20"/>
              </w:rPr>
              <w:t>14 813</w:t>
            </w:r>
          </w:p>
        </w:tc>
        <w:tc>
          <w:tcPr>
            <w:tcW w:w="1039" w:type="pct"/>
            <w:tcBorders>
              <w:top w:val="nil"/>
              <w:left w:val="nil"/>
              <w:bottom w:val="single" w:sz="8" w:space="0" w:color="000000" w:themeColor="text1"/>
              <w:right w:val="nil"/>
            </w:tcBorders>
            <w:noWrap/>
            <w:hideMark/>
          </w:tcPr>
          <w:p w:rsidR="00EB4048" w:rsidRDefault="00EB4048">
            <w:pPr>
              <w:jc w:val="center"/>
              <w:cnfStyle w:val="000000000000"/>
              <w:rPr>
                <w:color w:val="000000"/>
                <w:sz w:val="20"/>
                <w:szCs w:val="20"/>
              </w:rPr>
            </w:pPr>
            <w:r>
              <w:rPr>
                <w:color w:val="000000"/>
                <w:sz w:val="20"/>
                <w:szCs w:val="20"/>
              </w:rPr>
              <w:t>1 020 734</w:t>
            </w:r>
          </w:p>
        </w:tc>
      </w:tr>
    </w:tbl>
    <w:p w:rsidR="00AE6CCD" w:rsidRDefault="00AE6CCD">
      <w:pPr>
        <w:spacing w:before="0" w:after="200"/>
        <w:jc w:val="left"/>
      </w:pPr>
    </w:p>
    <w:p w:rsidR="00F9102F" w:rsidRDefault="00F9102F">
      <w:pPr>
        <w:spacing w:before="0" w:after="200"/>
        <w:jc w:val="left"/>
      </w:pPr>
    </w:p>
    <w:p w:rsidR="00B26043" w:rsidRPr="00B26043" w:rsidRDefault="00B26043" w:rsidP="00EB2797">
      <w:pPr>
        <w:jc w:val="center"/>
      </w:pPr>
      <w:r w:rsidRPr="00B26043">
        <w:t>Zárt lakások számának alakulása</w:t>
      </w:r>
    </w:p>
    <w:p w:rsidR="00992947" w:rsidRDefault="00EB4048" w:rsidP="00EB2797">
      <w:pPr>
        <w:jc w:val="center"/>
      </w:pPr>
      <w:r>
        <w:rPr>
          <w:noProof/>
        </w:rPr>
        <w:drawing>
          <wp:inline distT="0" distB="0" distL="0" distR="0">
            <wp:extent cx="5403850" cy="2611526"/>
            <wp:effectExtent l="0" t="0" r="6350" b="1778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102F" w:rsidRDefault="00F9102F" w:rsidP="00EB2797">
      <w:pPr>
        <w:jc w:val="center"/>
      </w:pPr>
    </w:p>
    <w:p w:rsidR="00A37A3E" w:rsidRDefault="00776228" w:rsidP="00902B08">
      <w:pPr>
        <w:pStyle w:val="Cmsor2"/>
      </w:pPr>
      <w:bookmarkStart w:id="59" w:name="_Toc387397870"/>
      <w:bookmarkStart w:id="60" w:name="_Toc387414943"/>
      <w:bookmarkStart w:id="61" w:name="_Toc387415224"/>
      <w:bookmarkStart w:id="62" w:name="_Toc389041318"/>
      <w:bookmarkEnd w:id="59"/>
      <w:bookmarkEnd w:id="60"/>
      <w:bookmarkEnd w:id="61"/>
      <w:r>
        <w:lastRenderedPageBreak/>
        <w:t>Szakemberállomány</w:t>
      </w:r>
      <w:bookmarkEnd w:id="62"/>
    </w:p>
    <w:p w:rsidR="00776228" w:rsidRDefault="00A47F0E" w:rsidP="00996DC7">
      <w:r w:rsidRPr="00A47F0E">
        <w:t>T</w:t>
      </w:r>
      <w:r>
        <w:t>ársaságunk t</w:t>
      </w:r>
      <w:r w:rsidRPr="00A47F0E">
        <w:t xml:space="preserve">árgyidőszakban a közszolgáltatás biztonságos és szakszerű ellátásához szükséges, a </w:t>
      </w:r>
      <w:r w:rsidR="00EB4048">
        <w:t>63</w:t>
      </w:r>
      <w:r w:rsidRPr="00A47F0E">
        <w:t>/</w:t>
      </w:r>
      <w:r w:rsidR="00EB4048">
        <w:t>2012</w:t>
      </w:r>
      <w:r w:rsidRPr="00A47F0E">
        <w:t>. (X</w:t>
      </w:r>
      <w:r w:rsidR="00EB4048">
        <w:t>II</w:t>
      </w:r>
      <w:r w:rsidRPr="00A47F0E">
        <w:t>.</w:t>
      </w:r>
      <w:r w:rsidR="00EB4048">
        <w:t>11</w:t>
      </w:r>
      <w:r w:rsidRPr="00A47F0E">
        <w:t>.) BM rendelet</w:t>
      </w:r>
      <w:r w:rsidR="00EB4048">
        <w:t>ben</w:t>
      </w:r>
      <w:r w:rsidRPr="00A47F0E">
        <w:t xml:space="preserve"> előírt feltételeknek megfelelő számú és képzettségű (kéményseprő szakmunkás, ill. kéményseprő </w:t>
      </w:r>
      <w:r>
        <w:t>mester) szakembert foglalkoztatott</w:t>
      </w:r>
      <w:r w:rsidRPr="00A47F0E">
        <w:t>.</w:t>
      </w:r>
    </w:p>
    <w:p w:rsidR="00B24787" w:rsidRPr="00B24787" w:rsidRDefault="00B24787" w:rsidP="00EB2797">
      <w:pPr>
        <w:jc w:val="center"/>
      </w:pPr>
      <w:r w:rsidRPr="00B24787">
        <w:t>Kéményseprő létszám (</w:t>
      </w:r>
      <w:r>
        <w:t>201</w:t>
      </w:r>
      <w:r w:rsidR="00EB4048">
        <w:t>3</w:t>
      </w:r>
      <w:r w:rsidRPr="00B24787">
        <w:t>)</w:t>
      </w:r>
    </w:p>
    <w:tbl>
      <w:tblPr>
        <w:tblStyle w:val="Kzepeslista1"/>
        <w:tblW w:w="5120" w:type="pct"/>
        <w:tblInd w:w="-108" w:type="dxa"/>
        <w:tblLook w:val="04A0"/>
      </w:tblPr>
      <w:tblGrid>
        <w:gridCol w:w="7096"/>
        <w:gridCol w:w="2413"/>
      </w:tblGrid>
      <w:tr w:rsidR="00EB4048" w:rsidRPr="00D66974" w:rsidTr="00EB4048">
        <w:trPr>
          <w:cnfStyle w:val="100000000000"/>
          <w:trHeight w:val="402"/>
        </w:trPr>
        <w:tc>
          <w:tcPr>
            <w:cnfStyle w:val="001000000000"/>
            <w:tcW w:w="3731" w:type="pct"/>
            <w:noWrap/>
            <w:vAlign w:val="center"/>
            <w:hideMark/>
          </w:tcPr>
          <w:p w:rsidR="00EB4048" w:rsidRPr="00D66974" w:rsidRDefault="00EB4048" w:rsidP="0090531E">
            <w:r w:rsidRPr="00D66974">
              <w:t>Munkakör</w:t>
            </w:r>
          </w:p>
        </w:tc>
        <w:tc>
          <w:tcPr>
            <w:tcW w:w="1269" w:type="pct"/>
            <w:noWrap/>
            <w:vAlign w:val="center"/>
            <w:hideMark/>
          </w:tcPr>
          <w:p w:rsidR="00EB4048" w:rsidRPr="00D66974" w:rsidRDefault="00EB4048" w:rsidP="0090531E">
            <w:pPr>
              <w:jc w:val="center"/>
              <w:cnfStyle w:val="100000000000"/>
              <w:rPr>
                <w:b/>
              </w:rPr>
            </w:pPr>
            <w:r w:rsidRPr="00D66974">
              <w:rPr>
                <w:b/>
              </w:rPr>
              <w:t>fő</w:t>
            </w:r>
          </w:p>
        </w:tc>
      </w:tr>
      <w:tr w:rsidR="00EB4048" w:rsidRPr="00D66974" w:rsidTr="00EB4048">
        <w:trPr>
          <w:cnfStyle w:val="000000100000"/>
          <w:trHeight w:val="402"/>
        </w:trPr>
        <w:tc>
          <w:tcPr>
            <w:cnfStyle w:val="001000000000"/>
            <w:tcW w:w="3731" w:type="pct"/>
            <w:noWrap/>
            <w:vAlign w:val="center"/>
            <w:hideMark/>
          </w:tcPr>
          <w:p w:rsidR="00EB4048" w:rsidRPr="00D66974" w:rsidRDefault="00EB4048" w:rsidP="0090531E">
            <w:r w:rsidRPr="00D66974">
              <w:t>kéményseprő mester</w:t>
            </w:r>
            <w:r>
              <w:t xml:space="preserve"> (fizikai mester 21 fő, szellemi mester 22 fő)</w:t>
            </w:r>
          </w:p>
        </w:tc>
        <w:tc>
          <w:tcPr>
            <w:tcW w:w="1269" w:type="pct"/>
            <w:noWrap/>
            <w:vAlign w:val="center"/>
            <w:hideMark/>
          </w:tcPr>
          <w:p w:rsidR="00EB4048" w:rsidRPr="00D66974" w:rsidRDefault="00EB4048" w:rsidP="0090531E">
            <w:pPr>
              <w:jc w:val="center"/>
              <w:cnfStyle w:val="000000100000"/>
            </w:pPr>
            <w:r>
              <w:t>43</w:t>
            </w:r>
          </w:p>
        </w:tc>
      </w:tr>
      <w:tr w:rsidR="00EB4048" w:rsidRPr="00D66974" w:rsidTr="00EB4048">
        <w:trPr>
          <w:trHeight w:val="402"/>
        </w:trPr>
        <w:tc>
          <w:tcPr>
            <w:cnfStyle w:val="001000000000"/>
            <w:tcW w:w="3731" w:type="pct"/>
            <w:noWrap/>
            <w:vAlign w:val="center"/>
            <w:hideMark/>
          </w:tcPr>
          <w:p w:rsidR="00EB4048" w:rsidRPr="00D66974" w:rsidRDefault="00EB4048" w:rsidP="0090531E">
            <w:r w:rsidRPr="00D66974">
              <w:t>kéményseprő</w:t>
            </w:r>
          </w:p>
        </w:tc>
        <w:tc>
          <w:tcPr>
            <w:tcW w:w="1269" w:type="pct"/>
            <w:noWrap/>
            <w:vAlign w:val="center"/>
            <w:hideMark/>
          </w:tcPr>
          <w:p w:rsidR="00EB4048" w:rsidRPr="00D66974" w:rsidRDefault="00EB4048" w:rsidP="0090531E">
            <w:pPr>
              <w:jc w:val="center"/>
              <w:cnfStyle w:val="000000000000"/>
            </w:pPr>
            <w:r>
              <w:t>149</w:t>
            </w:r>
          </w:p>
        </w:tc>
      </w:tr>
      <w:tr w:rsidR="00EB4048" w:rsidRPr="00D66974" w:rsidTr="00EB4048">
        <w:trPr>
          <w:cnfStyle w:val="000000100000"/>
          <w:trHeight w:val="402"/>
        </w:trPr>
        <w:tc>
          <w:tcPr>
            <w:cnfStyle w:val="001000000000"/>
            <w:tcW w:w="3731" w:type="pct"/>
            <w:noWrap/>
            <w:vAlign w:val="center"/>
            <w:hideMark/>
          </w:tcPr>
          <w:p w:rsidR="00EB4048" w:rsidRPr="00D66974" w:rsidRDefault="00EB4048" w:rsidP="0090531E">
            <w:r w:rsidRPr="00D66974">
              <w:t>betanított munkás</w:t>
            </w:r>
          </w:p>
        </w:tc>
        <w:tc>
          <w:tcPr>
            <w:tcW w:w="1269" w:type="pct"/>
            <w:noWrap/>
            <w:vAlign w:val="center"/>
            <w:hideMark/>
          </w:tcPr>
          <w:p w:rsidR="00EB4048" w:rsidRPr="00D66974" w:rsidRDefault="00EB4048" w:rsidP="0090531E">
            <w:pPr>
              <w:jc w:val="center"/>
              <w:cnfStyle w:val="000000100000"/>
            </w:pPr>
            <w:r>
              <w:t>20</w:t>
            </w:r>
          </w:p>
        </w:tc>
      </w:tr>
      <w:tr w:rsidR="00EB4048" w:rsidRPr="00D66974" w:rsidTr="00EB4048">
        <w:trPr>
          <w:trHeight w:val="402"/>
        </w:trPr>
        <w:tc>
          <w:tcPr>
            <w:cnfStyle w:val="001000000000"/>
            <w:tcW w:w="3731" w:type="pct"/>
            <w:noWrap/>
            <w:vAlign w:val="center"/>
            <w:hideMark/>
          </w:tcPr>
          <w:p w:rsidR="00EB4048" w:rsidRPr="00D66974" w:rsidRDefault="00EB4048" w:rsidP="0090531E">
            <w:r w:rsidRPr="00D66974">
              <w:t>összesen</w:t>
            </w:r>
          </w:p>
        </w:tc>
        <w:tc>
          <w:tcPr>
            <w:tcW w:w="1269" w:type="pct"/>
            <w:noWrap/>
            <w:vAlign w:val="center"/>
            <w:hideMark/>
          </w:tcPr>
          <w:p w:rsidR="00EB4048" w:rsidRPr="00D66974" w:rsidRDefault="00EB4048" w:rsidP="0090531E">
            <w:pPr>
              <w:jc w:val="center"/>
              <w:cnfStyle w:val="000000000000"/>
              <w:rPr>
                <w:b/>
              </w:rPr>
            </w:pPr>
            <w:r>
              <w:rPr>
                <w:b/>
              </w:rPr>
              <w:t>212</w:t>
            </w:r>
          </w:p>
        </w:tc>
      </w:tr>
    </w:tbl>
    <w:p w:rsidR="00A91848" w:rsidRDefault="00A91848" w:rsidP="00996DC7"/>
    <w:p w:rsidR="00B24787" w:rsidRDefault="00B24787" w:rsidP="00EB2797">
      <w:pPr>
        <w:jc w:val="center"/>
      </w:pPr>
      <w:r w:rsidRPr="00B24787">
        <w:t>Átlagos statisztikai létszám alakulása (201</w:t>
      </w:r>
      <w:r w:rsidR="00EB4048">
        <w:t>2</w:t>
      </w:r>
      <w:r w:rsidRPr="00B24787">
        <w:t>-201</w:t>
      </w:r>
      <w:r w:rsidR="00EB4048">
        <w:t>3</w:t>
      </w:r>
      <w:r w:rsidRPr="00B24787">
        <w:t>)</w:t>
      </w:r>
    </w:p>
    <w:tbl>
      <w:tblPr>
        <w:tblStyle w:val="Kzepeslista1"/>
        <w:tblW w:w="0" w:type="auto"/>
        <w:tblLook w:val="04A0"/>
      </w:tblPr>
      <w:tblGrid>
        <w:gridCol w:w="5353"/>
        <w:gridCol w:w="1928"/>
        <w:gridCol w:w="1929"/>
      </w:tblGrid>
      <w:tr w:rsidR="00EB4048" w:rsidRPr="00EB4048" w:rsidTr="0090531E">
        <w:trPr>
          <w:cnfStyle w:val="100000000000"/>
        </w:trPr>
        <w:tc>
          <w:tcPr>
            <w:cnfStyle w:val="001000000000"/>
            <w:tcW w:w="5353" w:type="dxa"/>
          </w:tcPr>
          <w:p w:rsidR="00EB4048" w:rsidRPr="00EB4048" w:rsidRDefault="00EB4048" w:rsidP="00EB4048">
            <w:pPr>
              <w:jc w:val="left"/>
            </w:pPr>
            <w:r w:rsidRPr="00EB4048">
              <w:t xml:space="preserve">Megnevezés </w:t>
            </w:r>
          </w:p>
        </w:tc>
        <w:tc>
          <w:tcPr>
            <w:tcW w:w="1928" w:type="dxa"/>
            <w:vAlign w:val="center"/>
          </w:tcPr>
          <w:p w:rsidR="00EB4048" w:rsidRPr="00EB4048" w:rsidRDefault="00EB4048" w:rsidP="00EB4048">
            <w:pPr>
              <w:jc w:val="center"/>
              <w:cnfStyle w:val="100000000000"/>
            </w:pPr>
            <w:r w:rsidRPr="00EB4048">
              <w:t>2012. évi tény</w:t>
            </w:r>
          </w:p>
        </w:tc>
        <w:tc>
          <w:tcPr>
            <w:tcW w:w="1929" w:type="dxa"/>
            <w:vAlign w:val="center"/>
          </w:tcPr>
          <w:p w:rsidR="00EB4048" w:rsidRPr="00EB4048" w:rsidRDefault="00EB4048" w:rsidP="00EB4048">
            <w:pPr>
              <w:jc w:val="center"/>
              <w:cnfStyle w:val="100000000000"/>
            </w:pPr>
            <w:r w:rsidRPr="00EB4048">
              <w:t>2013. évi tény</w:t>
            </w:r>
          </w:p>
        </w:tc>
      </w:tr>
      <w:tr w:rsidR="00EB4048" w:rsidRPr="00EB4048" w:rsidTr="0090531E">
        <w:trPr>
          <w:cnfStyle w:val="000000100000"/>
        </w:trPr>
        <w:tc>
          <w:tcPr>
            <w:cnfStyle w:val="001000000000"/>
            <w:tcW w:w="5353" w:type="dxa"/>
          </w:tcPr>
          <w:p w:rsidR="00EB4048" w:rsidRPr="00EB4048" w:rsidRDefault="00EB4048" w:rsidP="00EB4048">
            <w:pPr>
              <w:jc w:val="left"/>
            </w:pPr>
            <w:r w:rsidRPr="00EB4048">
              <w:t xml:space="preserve">Teljes munkaidőben foglalkoztatott munkavállalók </w:t>
            </w:r>
          </w:p>
        </w:tc>
        <w:tc>
          <w:tcPr>
            <w:tcW w:w="1928" w:type="dxa"/>
            <w:vAlign w:val="center"/>
          </w:tcPr>
          <w:p w:rsidR="00EB4048" w:rsidRPr="00EB4048" w:rsidRDefault="00EB4048" w:rsidP="00EB4048">
            <w:pPr>
              <w:jc w:val="center"/>
              <w:cnfStyle w:val="000000100000"/>
            </w:pPr>
            <w:r w:rsidRPr="00EB4048">
              <w:t>294 fő</w:t>
            </w:r>
          </w:p>
        </w:tc>
        <w:tc>
          <w:tcPr>
            <w:tcW w:w="1929" w:type="dxa"/>
            <w:vAlign w:val="center"/>
          </w:tcPr>
          <w:p w:rsidR="00EB4048" w:rsidRPr="00EB4048" w:rsidRDefault="00EB4048" w:rsidP="00EB4048">
            <w:pPr>
              <w:jc w:val="center"/>
              <w:cnfStyle w:val="000000100000"/>
            </w:pPr>
            <w:r w:rsidRPr="00EB4048">
              <w:t>297 fő</w:t>
            </w:r>
          </w:p>
        </w:tc>
      </w:tr>
      <w:tr w:rsidR="00EB4048" w:rsidRPr="00EB4048" w:rsidTr="0090531E">
        <w:tc>
          <w:tcPr>
            <w:cnfStyle w:val="001000000000"/>
            <w:tcW w:w="5353" w:type="dxa"/>
          </w:tcPr>
          <w:p w:rsidR="00EB4048" w:rsidRPr="00EB4048" w:rsidRDefault="00EB4048" w:rsidP="00EB4048">
            <w:pPr>
              <w:jc w:val="left"/>
            </w:pPr>
            <w:r w:rsidRPr="00EB4048">
              <w:t>Rész munkaidőben foglalkoztatott munkavállalók</w:t>
            </w:r>
          </w:p>
        </w:tc>
        <w:tc>
          <w:tcPr>
            <w:tcW w:w="1928" w:type="dxa"/>
            <w:vAlign w:val="center"/>
          </w:tcPr>
          <w:p w:rsidR="00EB4048" w:rsidRPr="00EB4048" w:rsidRDefault="00EB4048" w:rsidP="00EB4048">
            <w:pPr>
              <w:jc w:val="center"/>
              <w:cnfStyle w:val="000000000000"/>
            </w:pPr>
            <w:r w:rsidRPr="00EB4048">
              <w:t>13 fő</w:t>
            </w:r>
          </w:p>
        </w:tc>
        <w:tc>
          <w:tcPr>
            <w:tcW w:w="1929" w:type="dxa"/>
            <w:vAlign w:val="center"/>
          </w:tcPr>
          <w:p w:rsidR="00EB4048" w:rsidRPr="00EB4048" w:rsidRDefault="00EB4048" w:rsidP="00EB4048">
            <w:pPr>
              <w:jc w:val="center"/>
              <w:cnfStyle w:val="000000000000"/>
            </w:pPr>
            <w:r w:rsidRPr="00EB4048">
              <w:t>19 fő</w:t>
            </w:r>
          </w:p>
        </w:tc>
      </w:tr>
      <w:tr w:rsidR="00EB4048" w:rsidRPr="00EB4048" w:rsidTr="0090531E">
        <w:trPr>
          <w:cnfStyle w:val="000000100000"/>
        </w:trPr>
        <w:tc>
          <w:tcPr>
            <w:cnfStyle w:val="001000000000"/>
            <w:tcW w:w="5353" w:type="dxa"/>
          </w:tcPr>
          <w:p w:rsidR="00EB4048" w:rsidRPr="00EB4048" w:rsidRDefault="00EB4048" w:rsidP="00EB4048">
            <w:pPr>
              <w:jc w:val="left"/>
            </w:pPr>
            <w:r w:rsidRPr="00EB4048">
              <w:t>Összesen</w:t>
            </w:r>
          </w:p>
        </w:tc>
        <w:tc>
          <w:tcPr>
            <w:tcW w:w="1928" w:type="dxa"/>
            <w:vAlign w:val="center"/>
          </w:tcPr>
          <w:p w:rsidR="00EB4048" w:rsidRPr="00EB4048" w:rsidRDefault="00EB4048" w:rsidP="00EB4048">
            <w:pPr>
              <w:jc w:val="center"/>
              <w:cnfStyle w:val="000000100000"/>
            </w:pPr>
            <w:r w:rsidRPr="00EB4048">
              <w:t>307 fő</w:t>
            </w:r>
          </w:p>
        </w:tc>
        <w:tc>
          <w:tcPr>
            <w:tcW w:w="1929" w:type="dxa"/>
            <w:vAlign w:val="center"/>
          </w:tcPr>
          <w:p w:rsidR="00EB4048" w:rsidRPr="00EB4048" w:rsidRDefault="00EB4048" w:rsidP="00EB4048">
            <w:pPr>
              <w:jc w:val="center"/>
              <w:cnfStyle w:val="000000100000"/>
            </w:pPr>
            <w:r w:rsidRPr="00EB4048">
              <w:t>316 fő</w:t>
            </w:r>
          </w:p>
        </w:tc>
      </w:tr>
    </w:tbl>
    <w:p w:rsidR="00EB2797" w:rsidRDefault="00EB2797" w:rsidP="00A91848">
      <w:pPr>
        <w:spacing w:before="0" w:after="200"/>
        <w:jc w:val="left"/>
      </w:pPr>
    </w:p>
    <w:p w:rsidR="00A91848" w:rsidRDefault="00A91848" w:rsidP="00EB2797">
      <w:pPr>
        <w:rPr>
          <w:rFonts w:eastAsiaTheme="minorHAnsi"/>
          <w:lang w:eastAsia="en-US"/>
        </w:rPr>
      </w:pPr>
      <w:r w:rsidRPr="00B24787">
        <w:t>A szakemberképzést (kéményseprő szakmunkás) és utánpótlást továbbra is saját erőből oldottuk meg</w:t>
      </w:r>
      <w:r>
        <w:t>, mivel egyfelől nincs ilyen irányú képzés Magyarországon, másfelől a munkaerőpiacon nem található megfelelő számú és képzettségű kéményseprő-ipari szakember</w:t>
      </w:r>
      <w:r w:rsidRPr="00B24787">
        <w:t>.</w:t>
      </w:r>
      <w:r w:rsidRPr="00A91848">
        <w:t xml:space="preserve"> 2013. augusztus 28-án - 20 fő beiskolázásával - folytatódott az ÉMI Építésügyi Minőségellenőrző Innovációs Nonprofit Kft. akkreditált intézménynél az aktuális kéményseprő-ipari szakmunkásképzés. A vizsgáztatás 2014. április elsejével lezárult. </w:t>
      </w:r>
      <w:r w:rsidRPr="00A91848">
        <w:rPr>
          <w:rFonts w:eastAsiaTheme="minorHAnsi"/>
          <w:lang w:eastAsia="en-US"/>
        </w:rPr>
        <w:t xml:space="preserve">A szakmunkásvizsga követelményeit 4 fő kivételével valamennyien teljesítették. </w:t>
      </w:r>
      <w:r w:rsidRPr="00A91848">
        <w:t>Dolgozóink immár hagyományossá vált szakmai továbbképzését - különös tekintettel az MSZ 845:2012 úgynevezett kéményszabványra - a Tárgyidőszakban megtartottuk.</w:t>
      </w:r>
      <w:r w:rsidRPr="00A91848">
        <w:rPr>
          <w:rFonts w:eastAsiaTheme="minorHAnsi"/>
          <w:lang w:eastAsia="en-US"/>
        </w:rPr>
        <w:t xml:space="preserve"> A módosított Kollektív Szerződés alapján, külön betanítási pótlékot fizettünk azon mestervizsgával rendelkező munkatársaink részére, akik a gyakorlati képzésnél szakmai felügyeletet láttak el.</w:t>
      </w:r>
    </w:p>
    <w:p w:rsidR="00F9102F" w:rsidRDefault="00F9102F" w:rsidP="00EB2797">
      <w:pPr>
        <w:rPr>
          <w:rFonts w:eastAsiaTheme="minorHAnsi"/>
          <w:lang w:eastAsia="en-US"/>
        </w:rPr>
      </w:pPr>
    </w:p>
    <w:p w:rsidR="00B24787" w:rsidRDefault="00B24787" w:rsidP="00EB2797">
      <w:pPr>
        <w:jc w:val="center"/>
        <w:rPr>
          <w:rFonts w:eastAsiaTheme="minorHAnsi"/>
          <w:lang w:eastAsia="en-US"/>
        </w:rPr>
      </w:pPr>
      <w:r w:rsidRPr="00B24787">
        <w:rPr>
          <w:rFonts w:eastAsiaTheme="minorHAnsi"/>
          <w:lang w:eastAsia="en-US"/>
        </w:rPr>
        <w:t>201</w:t>
      </w:r>
      <w:r w:rsidR="00A91848">
        <w:rPr>
          <w:rFonts w:eastAsiaTheme="minorHAnsi"/>
          <w:lang w:eastAsia="en-US"/>
        </w:rPr>
        <w:t>3</w:t>
      </w:r>
      <w:r w:rsidRPr="00B24787">
        <w:rPr>
          <w:rFonts w:eastAsiaTheme="minorHAnsi"/>
          <w:lang w:eastAsia="en-US"/>
        </w:rPr>
        <w:t>-b</w:t>
      </w:r>
      <w:r w:rsidR="00A91848">
        <w:rPr>
          <w:rFonts w:eastAsiaTheme="minorHAnsi"/>
          <w:lang w:eastAsia="en-US"/>
        </w:rPr>
        <w:t>a</w:t>
      </w:r>
      <w:r w:rsidRPr="00B24787">
        <w:rPr>
          <w:rFonts w:eastAsiaTheme="minorHAnsi"/>
          <w:lang w:eastAsia="en-US"/>
        </w:rPr>
        <w:t>n az alábbi oktatásokon és képzéseken vettek részt munkavállalóink.</w:t>
      </w:r>
    </w:p>
    <w:tbl>
      <w:tblPr>
        <w:tblStyle w:val="Kzepeslista11"/>
        <w:tblW w:w="0" w:type="auto"/>
        <w:tblLook w:val="04A0"/>
      </w:tblPr>
      <w:tblGrid>
        <w:gridCol w:w="5353"/>
        <w:gridCol w:w="1418"/>
        <w:gridCol w:w="2409"/>
      </w:tblGrid>
      <w:tr w:rsidR="00A91848" w:rsidRPr="00A91848" w:rsidTr="0090531E">
        <w:trPr>
          <w:cnfStyle w:val="100000000000"/>
          <w:trHeight w:val="317"/>
        </w:trPr>
        <w:tc>
          <w:tcPr>
            <w:cnfStyle w:val="001000000000"/>
            <w:tcW w:w="5353" w:type="dxa"/>
          </w:tcPr>
          <w:p w:rsidR="00A91848" w:rsidRPr="00A91848" w:rsidRDefault="00A91848" w:rsidP="00F9102F">
            <w:pPr>
              <w:spacing w:before="60" w:after="60"/>
              <w:jc w:val="center"/>
            </w:pPr>
            <w:r w:rsidRPr="00A91848">
              <w:t>Megnevezés</w:t>
            </w:r>
          </w:p>
        </w:tc>
        <w:tc>
          <w:tcPr>
            <w:tcW w:w="1418" w:type="dxa"/>
          </w:tcPr>
          <w:p w:rsidR="00A91848" w:rsidRPr="00A91848" w:rsidRDefault="00A91848" w:rsidP="00F9102F">
            <w:pPr>
              <w:spacing w:before="60" w:after="60"/>
              <w:jc w:val="center"/>
              <w:cnfStyle w:val="100000000000"/>
              <w:rPr>
                <w:b/>
              </w:rPr>
            </w:pPr>
            <w:r w:rsidRPr="00A91848">
              <w:rPr>
                <w:b/>
              </w:rPr>
              <w:t>Létszám</w:t>
            </w:r>
          </w:p>
        </w:tc>
        <w:tc>
          <w:tcPr>
            <w:tcW w:w="2409" w:type="dxa"/>
          </w:tcPr>
          <w:p w:rsidR="00A91848" w:rsidRPr="00A91848" w:rsidRDefault="00A91848" w:rsidP="00F9102F">
            <w:pPr>
              <w:spacing w:before="60" w:after="60"/>
              <w:jc w:val="center"/>
              <w:cnfStyle w:val="100000000000"/>
              <w:rPr>
                <w:b/>
              </w:rPr>
            </w:pPr>
            <w:r w:rsidRPr="00A91848">
              <w:rPr>
                <w:b/>
              </w:rPr>
              <w:t>Képzés költsége</w:t>
            </w:r>
          </w:p>
        </w:tc>
      </w:tr>
      <w:tr w:rsidR="00A91848" w:rsidRPr="00A91848" w:rsidTr="0090531E">
        <w:trPr>
          <w:cnfStyle w:val="000000100000"/>
        </w:trPr>
        <w:tc>
          <w:tcPr>
            <w:cnfStyle w:val="001000000000"/>
            <w:tcW w:w="5353" w:type="dxa"/>
          </w:tcPr>
          <w:p w:rsidR="00A91848" w:rsidRPr="00A91848" w:rsidRDefault="00A91848" w:rsidP="00F9102F">
            <w:pPr>
              <w:spacing w:before="60" w:after="60"/>
            </w:pPr>
            <w:r w:rsidRPr="00A91848">
              <w:t>Szakmai képzés (2013-2014) áthúzódó</w:t>
            </w:r>
          </w:p>
        </w:tc>
        <w:tc>
          <w:tcPr>
            <w:tcW w:w="1418" w:type="dxa"/>
          </w:tcPr>
          <w:p w:rsidR="00A91848" w:rsidRPr="00A91848" w:rsidRDefault="00A91848" w:rsidP="00F9102F">
            <w:pPr>
              <w:spacing w:before="60" w:after="60"/>
              <w:jc w:val="center"/>
              <w:cnfStyle w:val="000000100000"/>
            </w:pPr>
            <w:r w:rsidRPr="00A91848">
              <w:t>29 fő</w:t>
            </w:r>
          </w:p>
        </w:tc>
        <w:tc>
          <w:tcPr>
            <w:tcW w:w="2409" w:type="dxa"/>
          </w:tcPr>
          <w:p w:rsidR="00A91848" w:rsidRPr="00A91848" w:rsidRDefault="00A91848" w:rsidP="00F9102F">
            <w:pPr>
              <w:spacing w:before="60" w:after="60"/>
              <w:jc w:val="center"/>
              <w:cnfStyle w:val="000000100000"/>
            </w:pPr>
            <w:r w:rsidRPr="00A91848">
              <w:t>3.740 e/Ft</w:t>
            </w:r>
          </w:p>
        </w:tc>
      </w:tr>
      <w:tr w:rsidR="00A91848" w:rsidRPr="00A91848" w:rsidTr="0090531E">
        <w:tc>
          <w:tcPr>
            <w:cnfStyle w:val="001000000000"/>
            <w:tcW w:w="5353" w:type="dxa"/>
          </w:tcPr>
          <w:p w:rsidR="00A91848" w:rsidRPr="00A91848" w:rsidRDefault="00A91848" w:rsidP="00F9102F">
            <w:pPr>
              <w:spacing w:before="60" w:after="60"/>
            </w:pPr>
            <w:r w:rsidRPr="00A91848">
              <w:t>Kötelező szakmai továbbképzés</w:t>
            </w:r>
          </w:p>
        </w:tc>
        <w:tc>
          <w:tcPr>
            <w:tcW w:w="1418" w:type="dxa"/>
          </w:tcPr>
          <w:p w:rsidR="00A91848" w:rsidRPr="00A91848" w:rsidRDefault="00A91848" w:rsidP="00F9102F">
            <w:pPr>
              <w:spacing w:before="60" w:after="60"/>
              <w:jc w:val="center"/>
              <w:cnfStyle w:val="000000000000"/>
            </w:pPr>
            <w:r w:rsidRPr="00A91848">
              <w:t>213 fő</w:t>
            </w:r>
          </w:p>
        </w:tc>
        <w:tc>
          <w:tcPr>
            <w:tcW w:w="2409" w:type="dxa"/>
          </w:tcPr>
          <w:p w:rsidR="00A91848" w:rsidRPr="00A91848" w:rsidRDefault="00A91848" w:rsidP="00F9102F">
            <w:pPr>
              <w:spacing w:before="60" w:after="60"/>
              <w:jc w:val="center"/>
              <w:cnfStyle w:val="000000000000"/>
            </w:pPr>
            <w:r w:rsidRPr="00A91848">
              <w:t>174 e/Ft</w:t>
            </w:r>
          </w:p>
        </w:tc>
      </w:tr>
      <w:tr w:rsidR="00A91848" w:rsidRPr="00A91848" w:rsidTr="0090531E">
        <w:trPr>
          <w:cnfStyle w:val="000000100000"/>
        </w:trPr>
        <w:tc>
          <w:tcPr>
            <w:cnfStyle w:val="001000000000"/>
            <w:tcW w:w="5353" w:type="dxa"/>
          </w:tcPr>
          <w:p w:rsidR="00A91848" w:rsidRPr="00A91848" w:rsidRDefault="00A91848" w:rsidP="00F9102F">
            <w:pPr>
              <w:spacing w:before="60" w:after="60"/>
            </w:pPr>
            <w:r w:rsidRPr="00A91848">
              <w:lastRenderedPageBreak/>
              <w:t xml:space="preserve">Kommunikációs tréning </w:t>
            </w:r>
          </w:p>
        </w:tc>
        <w:tc>
          <w:tcPr>
            <w:tcW w:w="1418" w:type="dxa"/>
          </w:tcPr>
          <w:p w:rsidR="00A91848" w:rsidRPr="00A91848" w:rsidRDefault="00A91848" w:rsidP="00F9102F">
            <w:pPr>
              <w:spacing w:before="60" w:after="60"/>
              <w:jc w:val="center"/>
              <w:cnfStyle w:val="000000100000"/>
            </w:pPr>
            <w:r w:rsidRPr="00A91848">
              <w:t>174 fő</w:t>
            </w:r>
          </w:p>
        </w:tc>
        <w:tc>
          <w:tcPr>
            <w:tcW w:w="2409" w:type="dxa"/>
          </w:tcPr>
          <w:p w:rsidR="00A91848" w:rsidRPr="00A91848" w:rsidRDefault="00A91848" w:rsidP="00F9102F">
            <w:pPr>
              <w:spacing w:before="60" w:after="60"/>
              <w:jc w:val="center"/>
              <w:cnfStyle w:val="000000100000"/>
            </w:pPr>
            <w:r w:rsidRPr="00A91848">
              <w:t>1.737 e/Ft</w:t>
            </w:r>
          </w:p>
        </w:tc>
      </w:tr>
      <w:tr w:rsidR="00A91848" w:rsidRPr="00A91848" w:rsidTr="0090531E">
        <w:tc>
          <w:tcPr>
            <w:cnfStyle w:val="001000000000"/>
            <w:tcW w:w="5353" w:type="dxa"/>
          </w:tcPr>
          <w:p w:rsidR="00A91848" w:rsidRPr="00A91848" w:rsidRDefault="00A91848" w:rsidP="00F9102F">
            <w:pPr>
              <w:spacing w:before="60" w:after="60"/>
            </w:pPr>
            <w:r w:rsidRPr="00A91848">
              <w:t>Krízis intervenciós tréning</w:t>
            </w:r>
          </w:p>
        </w:tc>
        <w:tc>
          <w:tcPr>
            <w:tcW w:w="1418" w:type="dxa"/>
          </w:tcPr>
          <w:p w:rsidR="00A91848" w:rsidRPr="00A91848" w:rsidRDefault="00A91848" w:rsidP="00F9102F">
            <w:pPr>
              <w:spacing w:before="60" w:after="60"/>
              <w:jc w:val="center"/>
              <w:cnfStyle w:val="000000000000"/>
            </w:pPr>
            <w:r w:rsidRPr="00A91848">
              <w:t>17 fő</w:t>
            </w:r>
          </w:p>
        </w:tc>
        <w:tc>
          <w:tcPr>
            <w:tcW w:w="2409" w:type="dxa"/>
          </w:tcPr>
          <w:p w:rsidR="00A91848" w:rsidRPr="00A91848" w:rsidRDefault="00A91848" w:rsidP="00F9102F">
            <w:pPr>
              <w:spacing w:before="60" w:after="60"/>
              <w:jc w:val="center"/>
              <w:cnfStyle w:val="000000000000"/>
            </w:pPr>
            <w:r w:rsidRPr="00A91848">
              <w:t>60 e/Ft</w:t>
            </w:r>
          </w:p>
        </w:tc>
      </w:tr>
      <w:tr w:rsidR="00A91848" w:rsidRPr="00A91848" w:rsidTr="0090531E">
        <w:trPr>
          <w:cnfStyle w:val="000000100000"/>
        </w:trPr>
        <w:tc>
          <w:tcPr>
            <w:cnfStyle w:val="001000000000"/>
            <w:tcW w:w="5353" w:type="dxa"/>
          </w:tcPr>
          <w:p w:rsidR="00A91848" w:rsidRPr="00A91848" w:rsidRDefault="00A91848" w:rsidP="00F9102F">
            <w:pPr>
              <w:spacing w:before="60" w:after="60"/>
            </w:pPr>
            <w:r w:rsidRPr="00A91848">
              <w:t>Továbbképzés, konferencia</w:t>
            </w:r>
          </w:p>
        </w:tc>
        <w:tc>
          <w:tcPr>
            <w:tcW w:w="1418" w:type="dxa"/>
          </w:tcPr>
          <w:p w:rsidR="00A91848" w:rsidRPr="00A91848" w:rsidRDefault="00A91848" w:rsidP="00F9102F">
            <w:pPr>
              <w:spacing w:before="60" w:after="60"/>
              <w:jc w:val="center"/>
              <w:cnfStyle w:val="000000100000"/>
            </w:pPr>
            <w:r w:rsidRPr="00A91848">
              <w:t xml:space="preserve">11 fő </w:t>
            </w:r>
          </w:p>
        </w:tc>
        <w:tc>
          <w:tcPr>
            <w:tcW w:w="2409" w:type="dxa"/>
          </w:tcPr>
          <w:p w:rsidR="00A91848" w:rsidRPr="00A91848" w:rsidRDefault="00A91848" w:rsidP="00F9102F">
            <w:pPr>
              <w:spacing w:before="60" w:after="60"/>
              <w:jc w:val="center"/>
              <w:cnfStyle w:val="000000100000"/>
            </w:pPr>
            <w:r w:rsidRPr="00A91848">
              <w:t>169 e/Ft</w:t>
            </w:r>
          </w:p>
        </w:tc>
      </w:tr>
      <w:tr w:rsidR="00A91848" w:rsidRPr="00A91848" w:rsidTr="0090531E">
        <w:tc>
          <w:tcPr>
            <w:cnfStyle w:val="001000000000"/>
            <w:tcW w:w="5353" w:type="dxa"/>
          </w:tcPr>
          <w:p w:rsidR="00A91848" w:rsidRPr="00A91848" w:rsidRDefault="00A91848" w:rsidP="00F9102F">
            <w:pPr>
              <w:spacing w:before="60" w:after="60"/>
            </w:pPr>
            <w:r w:rsidRPr="00A91848">
              <w:t>Vezető szakmai utánpótlás képzés (2013-2014) áthúzódó</w:t>
            </w:r>
          </w:p>
        </w:tc>
        <w:tc>
          <w:tcPr>
            <w:tcW w:w="1418" w:type="dxa"/>
          </w:tcPr>
          <w:p w:rsidR="00A91848" w:rsidRPr="00A91848" w:rsidRDefault="00A91848" w:rsidP="00F9102F">
            <w:pPr>
              <w:spacing w:before="60" w:after="60"/>
              <w:jc w:val="center"/>
              <w:cnfStyle w:val="000000000000"/>
            </w:pPr>
            <w:r w:rsidRPr="00A91848">
              <w:t>5 fő</w:t>
            </w:r>
          </w:p>
        </w:tc>
        <w:tc>
          <w:tcPr>
            <w:tcW w:w="2409" w:type="dxa"/>
          </w:tcPr>
          <w:p w:rsidR="00A91848" w:rsidRPr="00A91848" w:rsidRDefault="00A91848" w:rsidP="00F9102F">
            <w:pPr>
              <w:spacing w:before="60" w:after="60"/>
              <w:jc w:val="center"/>
              <w:cnfStyle w:val="000000000000"/>
            </w:pPr>
            <w:r w:rsidRPr="00A91848">
              <w:t>82 e/Ft</w:t>
            </w:r>
          </w:p>
        </w:tc>
      </w:tr>
    </w:tbl>
    <w:p w:rsidR="00913CC8" w:rsidRPr="00913CC8" w:rsidRDefault="00913CC8" w:rsidP="00902B08">
      <w:pPr>
        <w:pStyle w:val="Cmsor2"/>
      </w:pPr>
      <w:bookmarkStart w:id="63" w:name="_Toc389041319"/>
      <w:r w:rsidRPr="00913CC8">
        <w:t>Technikai eszköz</w:t>
      </w:r>
      <w:r>
        <w:t>ö</w:t>
      </w:r>
      <w:r w:rsidRPr="00913CC8">
        <w:t>k, felszereltség</w:t>
      </w:r>
      <w:bookmarkEnd w:id="63"/>
    </w:p>
    <w:p w:rsidR="00913CC8" w:rsidRPr="00913CC8" w:rsidRDefault="00913CC8" w:rsidP="00996DC7">
      <w:r w:rsidRPr="00913CC8">
        <w:t>Társaságunk minden évben a műszaki fejlesztési tervben rögzítettek szerint gondoskodik a mérő- és vizsgálóeszközök karbantartással egybekötött hitelesítéséről és kalibrálásáról, az elhasználódottak szükség szerinti pótlásáról új technikai eszközök beszerzésével.</w:t>
      </w:r>
    </w:p>
    <w:p w:rsidR="00913CC8" w:rsidRPr="00913CC8" w:rsidRDefault="00913CC8" w:rsidP="00996DC7">
      <w:r w:rsidRPr="00913CC8">
        <w:t>A 201</w:t>
      </w:r>
      <w:r w:rsidR="00932218">
        <w:t>3</w:t>
      </w:r>
      <w:r w:rsidRPr="00913CC8">
        <w:t>. évi tervezett eszközfejlesztéseinket Társaságunk</w:t>
      </w:r>
      <w:r>
        <w:t xml:space="preserve"> tulajdonos</w:t>
      </w:r>
      <w:r w:rsidR="003652BD">
        <w:t>ával</w:t>
      </w:r>
      <w:r>
        <w:t xml:space="preserve">, a Budapesti Városüzemeltetési Központ Holding </w:t>
      </w:r>
      <w:proofErr w:type="spellStart"/>
      <w:r>
        <w:t>Zrt-vel</w:t>
      </w:r>
      <w:proofErr w:type="spellEnd"/>
      <w:r>
        <w:t xml:space="preserve"> egyeztetve folytattuk le. </w:t>
      </w:r>
      <w:r w:rsidR="00932218">
        <w:t xml:space="preserve">A rezsicsökkentés negatív hatásainak kivédése, a folyamatos működés és likviditás biztosítása érdekében a tervezett beruházások nagy része elhalasztásra kerültek. A díjkompenzációt is tartalmazó közszolgáltatási szerződés módosítást követően Társaságunk forráshoz jutott, azonban az időben már olyan későn érkezett, mely miatt a tervezett beruházások végrehajtása lehetetlenné vált 2013 évben. A 2013 évre tervezet eszközbeszerzéseket és beruházásokat 2014 évben valósítjuk meg. </w:t>
      </w:r>
      <w:r w:rsidR="00F259BA">
        <w:t>A tervezett 54.</w:t>
      </w:r>
      <w:r w:rsidR="00F67FC6">
        <w:t xml:space="preserve">6 </w:t>
      </w:r>
      <w:proofErr w:type="spellStart"/>
      <w:r w:rsidR="00F67FC6">
        <w:t>M</w:t>
      </w:r>
      <w:r w:rsidR="00F259BA">
        <w:t>Ft-nyi</w:t>
      </w:r>
      <w:proofErr w:type="spellEnd"/>
      <w:r w:rsidR="00F259BA">
        <w:t xml:space="preserve"> műszer beszerzésből, csupán</w:t>
      </w:r>
      <w:r w:rsidR="00F67FC6">
        <w:t xml:space="preserve"> 18.8 </w:t>
      </w:r>
      <w:proofErr w:type="spellStart"/>
      <w:r w:rsidR="00F67FC6">
        <w:t>MFt</w:t>
      </w:r>
      <w:proofErr w:type="spellEnd"/>
      <w:r w:rsidR="00F67FC6">
        <w:t xml:space="preserve"> értékben sikerült elvégezni a forráshiány miatt 2013-ban.</w:t>
      </w:r>
      <w:r w:rsidR="00F259BA">
        <w:t xml:space="preserve"> </w:t>
      </w:r>
    </w:p>
    <w:p w:rsidR="00913CC8" w:rsidRPr="004D4134" w:rsidRDefault="00913CC8" w:rsidP="00996DC7">
      <w:r w:rsidRPr="004D4134">
        <w:t>Társaságunk teljes műszerállományának karbantartásáról és hitelesítéséről, valamint pótlásukról az alábbiak szerint gondoskodott:</w:t>
      </w:r>
    </w:p>
    <w:p w:rsidR="000040AD" w:rsidRPr="004D4134" w:rsidRDefault="00C77E2B" w:rsidP="00996DC7">
      <w:pPr>
        <w:pStyle w:val="Listaszerbekezds"/>
        <w:numPr>
          <w:ilvl w:val="0"/>
          <w:numId w:val="14"/>
        </w:numPr>
      </w:pPr>
      <w:r w:rsidRPr="00EB2797">
        <w:t xml:space="preserve">A rendelkezésünkre álló műszerek </w:t>
      </w:r>
      <w:r w:rsidR="00913CC8" w:rsidRPr="004D4134">
        <w:t>felülvizsgálata, javítása, kalibrálása</w:t>
      </w:r>
      <w:r w:rsidRPr="00EB2797">
        <w:t xml:space="preserve"> megtörtént</w:t>
      </w:r>
    </w:p>
    <w:p w:rsidR="00F67FC6" w:rsidRPr="00EB2797" w:rsidRDefault="00F67FC6" w:rsidP="00996DC7">
      <w:pPr>
        <w:pStyle w:val="Listaszerbekezds"/>
        <w:numPr>
          <w:ilvl w:val="0"/>
          <w:numId w:val="14"/>
        </w:numPr>
      </w:pPr>
      <w:r w:rsidRPr="00EB2797">
        <w:t xml:space="preserve">57 db WÖHLER cm 220 CO mérő műszer beszerzése megtörtént </w:t>
      </w:r>
    </w:p>
    <w:p w:rsidR="000040AD" w:rsidRPr="004D4134" w:rsidRDefault="00C77E2B" w:rsidP="00996DC7">
      <w:pPr>
        <w:pStyle w:val="Listaszerbekezds"/>
        <w:numPr>
          <w:ilvl w:val="0"/>
          <w:numId w:val="14"/>
        </w:numPr>
      </w:pPr>
      <w:r w:rsidRPr="00EB2797">
        <w:t>56</w:t>
      </w:r>
      <w:r w:rsidR="00913CC8" w:rsidRPr="004D4134">
        <w:t xml:space="preserve"> db</w:t>
      </w:r>
      <w:r w:rsidR="000040AD" w:rsidRPr="004D4134">
        <w:t xml:space="preserve"> </w:t>
      </w:r>
      <w:proofErr w:type="spellStart"/>
      <w:r w:rsidR="00F67FC6" w:rsidRPr="00EB2797">
        <w:t>Testo</w:t>
      </w:r>
      <w:proofErr w:type="spellEnd"/>
      <w:r w:rsidR="00F67FC6" w:rsidRPr="00EB2797">
        <w:t xml:space="preserve"> </w:t>
      </w:r>
      <w:r w:rsidRPr="00EB2797">
        <w:t xml:space="preserve">égéstermék elemző </w:t>
      </w:r>
      <w:r w:rsidR="00913CC8" w:rsidRPr="004D4134">
        <w:t>mérőműszer beszerzése megtörtént</w:t>
      </w:r>
      <w:r w:rsidR="000040AD" w:rsidRPr="004D4134">
        <w:t>;</w:t>
      </w:r>
    </w:p>
    <w:p w:rsidR="000040AD" w:rsidRPr="004D4134" w:rsidRDefault="00F67FC6" w:rsidP="00996DC7">
      <w:pPr>
        <w:pStyle w:val="Listaszerbekezds"/>
        <w:numPr>
          <w:ilvl w:val="0"/>
          <w:numId w:val="14"/>
        </w:numPr>
      </w:pPr>
      <w:r w:rsidRPr="00EB2797">
        <w:t>12</w:t>
      </w:r>
      <w:r w:rsidR="00913CC8" w:rsidRPr="004D4134">
        <w:t xml:space="preserve"> db</w:t>
      </w:r>
      <w:r w:rsidR="000040AD" w:rsidRPr="004D4134">
        <w:t xml:space="preserve"> </w:t>
      </w:r>
      <w:r w:rsidR="00913CC8" w:rsidRPr="004D4134">
        <w:t>WÖHLER DP 600 mérőműszer beszerzése megtörtént</w:t>
      </w:r>
      <w:r w:rsidR="000040AD" w:rsidRPr="004D4134">
        <w:t>;</w:t>
      </w:r>
    </w:p>
    <w:p w:rsidR="000040AD" w:rsidRDefault="000040AD" w:rsidP="00902B08">
      <w:pPr>
        <w:pStyle w:val="Cmsor2"/>
      </w:pPr>
      <w:bookmarkStart w:id="64" w:name="_Toc387414946"/>
      <w:bookmarkStart w:id="65" w:name="_Toc387415227"/>
      <w:bookmarkStart w:id="66" w:name="_Toc387414947"/>
      <w:bookmarkStart w:id="67" w:name="_Toc387415228"/>
      <w:bookmarkStart w:id="68" w:name="_Toc387414948"/>
      <w:bookmarkStart w:id="69" w:name="_Toc387415229"/>
      <w:bookmarkStart w:id="70" w:name="_Toc389041320"/>
      <w:bookmarkEnd w:id="64"/>
      <w:bookmarkEnd w:id="65"/>
      <w:bookmarkEnd w:id="66"/>
      <w:bookmarkEnd w:id="67"/>
      <w:bookmarkEnd w:id="68"/>
      <w:bookmarkEnd w:id="69"/>
      <w:r>
        <w:t>Ü</w:t>
      </w:r>
      <w:r w:rsidRPr="000040AD">
        <w:t>gyfélfogadás, ügyelet, tájékoztatás</w:t>
      </w:r>
      <w:bookmarkEnd w:id="70"/>
    </w:p>
    <w:p w:rsidR="00D7716B" w:rsidRDefault="00D7716B" w:rsidP="00D7716B">
      <w:r>
        <w:t>A 2012 nyara óta eltelt másfél évben jelentősen változott a fogyasztóvédelmi szabályozás, mely változások fókuszában az ügyfelek jobb kiszolgálása, érdekérvényesítésük segítése áll. A fogyasztóvédelmi törvény 2012 júliusi változása már 2012-ben szükségessé tett a Társaság ügyfélszolgálatának fejlesztését. 2013. január 1-jétől, az új, kéményseprő-ipari közszolgáltatásra vonatkozó jogszabályok hatálybalépésével további változtatások kellett végrehajtani. Ennek az ügyfélszolgálat szempontjából legfontosabb eleme, hogy amennyiben Társaságunk a két meghirdetett alkalom egyikében sem tud bejutni egy adott ingatlanba, úgy az ingatlantulajdonosnak 30 napon belül igénybe kell vennie a szolgáltatást, amiért a pótdíjon felül szolgáltatási és 2013. június 30-ig kiszállási díjat is kötelesek vagyunk/voltunk kiszámlázni. Ha a tulajdonos 30 napon belül nem rendeli meg a kéményellenőrzést, úgy azt a közszolgáltatónak át kell jelentenie a bírságolási jogkörrel rendelkező Fővárosi Katasztrófavédelmi Igazgatóság kirendeltségének.</w:t>
      </w:r>
    </w:p>
    <w:p w:rsidR="00D7716B" w:rsidRDefault="00D7716B" w:rsidP="00D7716B">
      <w:r>
        <w:t xml:space="preserve">A jogszabályi változások jelentősen megváltoztatták az ügyfelek viselkedését, hozzáállását a kötelező kéményellenőrzéshez. Az új szabályozás hatására exponenciálisan megnőtt az </w:t>
      </w:r>
      <w:r>
        <w:lastRenderedPageBreak/>
        <w:t>ügyfélmegkeresések száma, amit jól mutat, hogy míg 2012 egészében a különböző csatornákon (személyes, telefon, e-mail, postai levél, fax) beérkező ügyfélmegkeresések száma 1.142 volt, addig 2013. január 1. és február 28. között 888, míg március 1. és december 31. 18.318 megkeresés érkezett be Társaságunkhoz. (Az adatokat két időszakra bontásának oka lejjebb kifejtésre kerül.)</w:t>
      </w:r>
    </w:p>
    <w:p w:rsidR="00D7716B" w:rsidRDefault="00D7716B" w:rsidP="00D7716B">
      <w:r>
        <w:t>A növekedés hátterében több tényező áll. Egyrészt az ügyfelek a lehetséges bírságtól tartva a Társasághoz fordultak annak bizonyítása érdekében, hogy a szolgáltatás elmaradása nem nekik felróható viselkedésből ered. Másrészt az ügyfelek elismerve, hogy a szolgáltatás elmaradása nekik felróható okra vezethető vissza, meg kívánták rendelni a szolgáltatást, de nem tájékozódtak annak hivatalos módjáról, így ez minden esetben válaszlevelet vont maga után. Harmadrészt 2013 áprilisától ismételten megváltozott az értesítés rendje, illetve nem utolsó sorban 2013. július 1-jétől a kéményseprő-ipari díjcsökkentés is közrejátszott a megkeresésszám növekedésében.</w:t>
      </w:r>
    </w:p>
    <w:p w:rsidR="00D7716B" w:rsidRDefault="00D7716B" w:rsidP="00D7716B">
      <w:r>
        <w:t>A jogszabályi változások hatására már 2012 végén – készülve a várható ügyfélmegkeresés szám növekedésre – megkezdte a Társaság az ügyfélszolgálat átalakítását. 2012 decemberében kezdeményezte SZMSZ-ének módosítását, melynek eredményeként a korábbi irodát 2013. januárjában osztályszintre emelte a Társaság. Az átalakítás BVK által történő jóváhagyását követően 2013 februárjában megkezdődött az új ügyfélszolgálati rendszer kialakítása.</w:t>
      </w:r>
    </w:p>
    <w:p w:rsidR="00D7716B" w:rsidRDefault="00D7716B" w:rsidP="00D7716B">
      <w:r>
        <w:t xml:space="preserve">Első körben a Társaság „egycsatornásította” a beérkező ügyfélmegkeresések kezelését annak érdekében, hogy minden megkeresés kezelése biztosítva legyen. </w:t>
      </w:r>
    </w:p>
    <w:p w:rsidR="00D7716B" w:rsidRDefault="00D7716B" w:rsidP="00D7716B">
      <w:r>
        <w:t xml:space="preserve">A 74/1997. Főv. Kgy. </w:t>
      </w:r>
      <w:proofErr w:type="gramStart"/>
      <w:r>
        <w:t>rendeletet</w:t>
      </w:r>
      <w:proofErr w:type="gramEnd"/>
      <w:r>
        <w:t xml:space="preserve"> felváltó 14/2013. (III.18.) Főv. Kgy. </w:t>
      </w:r>
      <w:proofErr w:type="gramStart"/>
      <w:r>
        <w:t>rendelet</w:t>
      </w:r>
      <w:proofErr w:type="gramEnd"/>
      <w:r>
        <w:t xml:space="preserve"> új kötelezettséget írt elő a közszolgáltató számára, mely alapján a Társaság elkészítette az ügyfélmegkeresések kategorizálását, ezen belül pedig a panaszmegkeresések témaköreinek meghatározását. Ennek megfelelően már 2013. március 1-jétől pontos adatok állnak rendelkezésre mind az ügyfélmegkeresésekről, mind a panaszokról, mind a panasztípusokról, valamint regisztrálásra kerül minden olyan egyéb adatot (megkeresés dátuma, válaszadási kötelezettség határideje, panaszok jogossága, megkeresés csatornája stb.), amely segíti a munkaszervezést és erősíti a kontrollt. A növekvő megkeresésszám miatt 2013-ban bővítette a Társaság az Ügyfélkapcsolati és kommunikációs osztály létszámát.</w:t>
      </w:r>
    </w:p>
    <w:p w:rsidR="00D7716B" w:rsidRDefault="00D7716B" w:rsidP="00D7716B">
      <w:r>
        <w:t>Az ügyfelek könnyebb eligazodása érdekében a Társaság 2013-ban a Fővárosi Önkormányzat Városüzemeltetési Főosztályának iránymutatása mellett elkészítette új Üzletszabályzatát, amelyet a Fővárosi Közgyűlés elfogadott, és 2013. október 21-től hatályos. Az Üzletszabályzat lefektette az ü</w:t>
      </w:r>
      <w:r w:rsidRPr="00A42826">
        <w:t>gykapcsolatok általános szabályai</w:t>
      </w:r>
      <w:r>
        <w:t>t, meghatározta a szükséges fogalmakat és a panaszügyintézés módját, valamint deklarálta az ügyfélmegkeresések befogadására alkalmas ügyfélszolgálati csatornákat.</w:t>
      </w:r>
    </w:p>
    <w:p w:rsidR="00D7716B" w:rsidRDefault="00D7716B" w:rsidP="00D7716B"/>
    <w:p w:rsidR="00D7716B" w:rsidRDefault="00D7716B" w:rsidP="00D7716B">
      <w:r>
        <w:t>Személyes megkeresés:</w:t>
      </w:r>
      <w:r>
        <w:tab/>
      </w:r>
      <w:r>
        <w:tab/>
      </w:r>
      <w:r>
        <w:tab/>
        <w:t xml:space="preserve">1142 Budapest, Rákospatak utca 70-72. </w:t>
      </w:r>
    </w:p>
    <w:p w:rsidR="00D7716B" w:rsidRDefault="00D7716B" w:rsidP="00D7716B">
      <w:r>
        <w:t>Telefonos megkeresés:</w:t>
      </w:r>
      <w:r>
        <w:tab/>
      </w:r>
      <w:r>
        <w:tab/>
      </w:r>
      <w:r>
        <w:tab/>
        <w:t xml:space="preserve">+36 1 999 0664 </w:t>
      </w:r>
    </w:p>
    <w:p w:rsidR="00D7716B" w:rsidRDefault="00D7716B" w:rsidP="00D7716B">
      <w:r>
        <w:t xml:space="preserve">Postai levél útján történő megkeresés: </w:t>
      </w:r>
      <w:r>
        <w:tab/>
        <w:t xml:space="preserve">1399 Budapest, Pf. 641 </w:t>
      </w:r>
    </w:p>
    <w:p w:rsidR="00D7716B" w:rsidRDefault="00D7716B" w:rsidP="00D7716B">
      <w:r>
        <w:lastRenderedPageBreak/>
        <w:t xml:space="preserve">Fax útján történő megkeresés: </w:t>
      </w:r>
      <w:r>
        <w:tab/>
      </w:r>
      <w:r>
        <w:tab/>
        <w:t xml:space="preserve">+36 1 332 1150 </w:t>
      </w:r>
    </w:p>
    <w:p w:rsidR="00D7716B" w:rsidRDefault="00D7716B" w:rsidP="00D7716B">
      <w:pPr>
        <w:ind w:left="4245" w:hanging="4245"/>
      </w:pPr>
      <w:r>
        <w:t xml:space="preserve">Elektronikus megkeresés: </w:t>
      </w:r>
      <w:r>
        <w:tab/>
      </w:r>
      <w:r>
        <w:tab/>
        <w:t xml:space="preserve">www.kemenysepro.hu oldal üzenetküldő modulján keresztül </w:t>
      </w:r>
      <w:r>
        <w:cr/>
      </w:r>
    </w:p>
    <w:p w:rsidR="00D7716B" w:rsidRDefault="00D7716B" w:rsidP="00D7716B">
      <w:r>
        <w:t>Emellett v</w:t>
      </w:r>
      <w:r w:rsidRPr="0053755D">
        <w:t>alamennyi kirendeltségünkben tájékoztatópont működik, ahol az ügyfelek műszaki és egyéb (nem panaszjellegű) kérdéseivel kapcsolatosan tanácsadással szolgálunk.</w:t>
      </w:r>
    </w:p>
    <w:p w:rsidR="00D7716B" w:rsidRDefault="00D7716B" w:rsidP="00D7716B">
      <w:r>
        <w:t>A Társaság ügyfélszolgálatának kialakítása</w:t>
      </w:r>
      <w:r w:rsidRPr="0053755D">
        <w:t xml:space="preserve"> </w:t>
      </w:r>
      <w:r>
        <w:t xml:space="preserve">és működése minden tekintetben megfelel a </w:t>
      </w:r>
      <w:r w:rsidRPr="000040AD">
        <w:t>fogyasztóvédelemről</w:t>
      </w:r>
      <w:r>
        <w:t xml:space="preserve"> szóló </w:t>
      </w:r>
      <w:r w:rsidRPr="000040AD">
        <w:t>1997. évi CLV. törvény</w:t>
      </w:r>
      <w:r>
        <w:t xml:space="preserve"> előírásainak. </w:t>
      </w:r>
    </w:p>
    <w:p w:rsidR="007819A1" w:rsidRDefault="007819A1" w:rsidP="00D7716B"/>
    <w:p w:rsidR="00D7716B" w:rsidRDefault="00D7716B" w:rsidP="00D7716B">
      <w:pPr>
        <w:jc w:val="center"/>
      </w:pPr>
      <w:r w:rsidRPr="0053755D">
        <w:rPr>
          <w:rFonts w:eastAsia="Arial"/>
          <w:color w:val="000000"/>
          <w:szCs w:val="32"/>
        </w:rPr>
        <w:t>Összes ügyfélmegkeresés száma havi bontásban (2013. március-december)</w:t>
      </w:r>
    </w:p>
    <w:p w:rsidR="00D7716B" w:rsidRDefault="00D7716B" w:rsidP="00D7716B">
      <w:pPr>
        <w:spacing w:before="0" w:after="160" w:line="259" w:lineRule="auto"/>
        <w:jc w:val="left"/>
      </w:pPr>
      <w:r w:rsidRPr="0053755D">
        <w:rPr>
          <w:noProof/>
        </w:rPr>
        <w:drawing>
          <wp:inline distT="0" distB="0" distL="0" distR="0">
            <wp:extent cx="5760720" cy="3057754"/>
            <wp:effectExtent l="0" t="0" r="11430" b="9525"/>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2797" w:rsidRDefault="00EB2797">
      <w:pPr>
        <w:spacing w:before="0" w:after="200"/>
        <w:jc w:val="left"/>
      </w:pPr>
    </w:p>
    <w:p w:rsidR="00D7716B" w:rsidRDefault="00D7716B" w:rsidP="00D7716B">
      <w:pPr>
        <w:spacing w:before="0" w:after="160" w:line="259" w:lineRule="auto"/>
        <w:jc w:val="center"/>
      </w:pPr>
      <w:r w:rsidRPr="0053755D">
        <w:t>Összes megkeresés azok módja szerinti bontásban (2013. március-december)</w:t>
      </w:r>
    </w:p>
    <w:p w:rsidR="00D7716B" w:rsidRDefault="00D7716B" w:rsidP="00D7716B">
      <w:pPr>
        <w:spacing w:before="0" w:after="160" w:line="259" w:lineRule="auto"/>
        <w:jc w:val="left"/>
      </w:pPr>
      <w:r w:rsidRPr="0053755D">
        <w:rPr>
          <w:noProof/>
        </w:rPr>
        <w:lastRenderedPageBreak/>
        <w:drawing>
          <wp:inline distT="0" distB="0" distL="0" distR="0">
            <wp:extent cx="5760720" cy="3300730"/>
            <wp:effectExtent l="0" t="0" r="11430" b="1397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19A1" w:rsidRDefault="007819A1" w:rsidP="00D7716B">
      <w:pPr>
        <w:spacing w:before="0" w:after="160" w:line="259" w:lineRule="auto"/>
        <w:jc w:val="left"/>
      </w:pPr>
    </w:p>
    <w:p w:rsidR="00D7716B" w:rsidRDefault="00D7716B" w:rsidP="00D7716B">
      <w:pPr>
        <w:spacing w:before="0" w:after="160" w:line="259" w:lineRule="auto"/>
        <w:jc w:val="center"/>
      </w:pPr>
      <w:r w:rsidRPr="0053755D">
        <w:t>Összes ügyfélmegkeresés típus szerinti bontásban (2013. március-december)</w:t>
      </w:r>
    </w:p>
    <w:p w:rsidR="00D7716B" w:rsidRDefault="00D7716B" w:rsidP="00D7716B">
      <w:pPr>
        <w:spacing w:before="0" w:after="160" w:line="259" w:lineRule="auto"/>
        <w:jc w:val="left"/>
      </w:pPr>
      <w:r w:rsidRPr="0053755D">
        <w:rPr>
          <w:noProof/>
        </w:rPr>
        <w:drawing>
          <wp:inline distT="0" distB="0" distL="0" distR="0">
            <wp:extent cx="5760720" cy="3349625"/>
            <wp:effectExtent l="0" t="0" r="11430" b="3175"/>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2797" w:rsidRDefault="00EB2797">
      <w:pPr>
        <w:spacing w:before="0" w:after="200"/>
        <w:jc w:val="left"/>
      </w:pPr>
    </w:p>
    <w:p w:rsidR="00D7716B" w:rsidRDefault="00D7716B" w:rsidP="00D7716B">
      <w:pPr>
        <w:spacing w:before="0" w:after="160" w:line="259" w:lineRule="auto"/>
        <w:jc w:val="center"/>
      </w:pPr>
      <w:r w:rsidRPr="0053755D">
        <w:t>Összes panaszmegkeresés száma havi bontásban (2013. március-december)</w:t>
      </w:r>
    </w:p>
    <w:p w:rsidR="00D7716B" w:rsidRDefault="00D7716B" w:rsidP="00D7716B">
      <w:pPr>
        <w:spacing w:before="0" w:after="160" w:line="259" w:lineRule="auto"/>
        <w:jc w:val="left"/>
      </w:pPr>
      <w:r w:rsidRPr="0053755D">
        <w:rPr>
          <w:noProof/>
        </w:rPr>
        <w:lastRenderedPageBreak/>
        <w:drawing>
          <wp:inline distT="0" distB="0" distL="0" distR="0">
            <wp:extent cx="5760720" cy="3371215"/>
            <wp:effectExtent l="0" t="0" r="11430" b="635"/>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19A1" w:rsidRDefault="007819A1" w:rsidP="00D7716B">
      <w:pPr>
        <w:spacing w:before="0" w:after="160" w:line="259" w:lineRule="auto"/>
        <w:jc w:val="left"/>
      </w:pPr>
    </w:p>
    <w:p w:rsidR="00F9102F" w:rsidRDefault="00F9102F">
      <w:pPr>
        <w:spacing w:before="0" w:after="200"/>
        <w:jc w:val="left"/>
      </w:pPr>
      <w:r>
        <w:br w:type="page"/>
      </w:r>
    </w:p>
    <w:p w:rsidR="00D7716B" w:rsidRDefault="00D7716B" w:rsidP="00D7716B">
      <w:pPr>
        <w:spacing w:before="0" w:after="160" w:line="259" w:lineRule="auto"/>
        <w:jc w:val="center"/>
      </w:pPr>
      <w:r w:rsidRPr="0053755D">
        <w:lastRenderedPageBreak/>
        <w:t>Panaszok egyszerűsített témakör szerinti megoszlása (2013. március-december)</w:t>
      </w:r>
    </w:p>
    <w:p w:rsidR="00D7716B" w:rsidRDefault="00D7716B" w:rsidP="00D7716B">
      <w:pPr>
        <w:spacing w:before="0" w:after="160" w:line="259" w:lineRule="auto"/>
        <w:jc w:val="left"/>
      </w:pPr>
      <w:r w:rsidRPr="0053755D">
        <w:rPr>
          <w:noProof/>
        </w:rPr>
        <w:drawing>
          <wp:inline distT="0" distB="0" distL="0" distR="0">
            <wp:extent cx="5760720" cy="3300730"/>
            <wp:effectExtent l="0" t="0" r="11430" b="1397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7716B" w:rsidRDefault="00D7716B" w:rsidP="00D7716B">
      <w:pPr>
        <w:spacing w:before="0" w:after="160" w:line="259" w:lineRule="auto"/>
        <w:jc w:val="left"/>
      </w:pPr>
    </w:p>
    <w:p w:rsidR="00D7716B" w:rsidRPr="00B27443" w:rsidRDefault="00D7716B" w:rsidP="00D7716B">
      <w:r w:rsidRPr="00B27443">
        <w:t>A panaszok témakör szerinti bontása jól mutatja, hogy három nagy</w:t>
      </w:r>
      <w:r>
        <w:t>obb</w:t>
      </w:r>
      <w:r w:rsidRPr="00B27443">
        <w:t xml:space="preserve"> problémakörrel</w:t>
      </w:r>
      <w:r>
        <w:t xml:space="preserve"> </w:t>
      </w:r>
      <w:r w:rsidRPr="00B27443">
        <w:t>találkozott idén a közszolgáltató az ügyfélmegkeresések terén. Ebből kettő a közszolgáltatás rendjével, egy pedig magával a közszolgáltatóval kapcsolatos.</w:t>
      </w:r>
    </w:p>
    <w:p w:rsidR="00D7716B" w:rsidRPr="00B27443" w:rsidRDefault="00D7716B" w:rsidP="00D7716B">
      <w:r w:rsidRPr="00B27443">
        <w:t>A legtöbb panasz arra érkezett (27%), hogy a törvényben rögzített sormunka jellegű munkavégzés nem teszi lehetővé az ellenőrzés időpontjának egyéni igények szerinti megválasztását vagy módosítását.</w:t>
      </w:r>
    </w:p>
    <w:p w:rsidR="00D7716B" w:rsidRPr="00B27443" w:rsidRDefault="00D7716B" w:rsidP="00D7716B">
      <w:r w:rsidRPr="00B27443">
        <w:t>Másik közszolgáltatás rendjét érintő témakör az értesítésekkel kapcsolatos panasz (24%). Közvetetten számos panaszmegkeresést szült, hogy a családi házas övezetek értesítésének szabályozása év közben változott, illetve, hogy a plakátok kihelyezés utáni „élete” nem biztosítható a közszolgáltató által.</w:t>
      </w:r>
    </w:p>
    <w:p w:rsidR="00D7716B" w:rsidRDefault="00D7716B" w:rsidP="00D7716B">
      <w:r w:rsidRPr="00B27443">
        <w:t>A panaszok 25%-</w:t>
      </w:r>
      <w:proofErr w:type="gramStart"/>
      <w:r w:rsidRPr="00B27443">
        <w:t>a</w:t>
      </w:r>
      <w:proofErr w:type="gramEnd"/>
      <w:r w:rsidRPr="00B27443">
        <w:t xml:space="preserve"> arra vonatkozott, hogy a panaszos szerint a kéményseprő nem jelent meg elvégezni a közszolgáltatást.</w:t>
      </w:r>
    </w:p>
    <w:p w:rsidR="00D7716B" w:rsidRPr="00B27443" w:rsidRDefault="00D7716B" w:rsidP="00D7716B">
      <w:pPr>
        <w:tabs>
          <w:tab w:val="num" w:pos="720"/>
        </w:tabs>
      </w:pPr>
      <w:r w:rsidRPr="00B27443">
        <w:t>A 2013. évi összes panasz mindössze 12,5%-a volt jogosnak tekinthető.</w:t>
      </w:r>
      <w:r>
        <w:t xml:space="preserve"> </w:t>
      </w:r>
      <w:r w:rsidRPr="00B27443">
        <w:t>A három nagy panasztémakör közül a jogos panaszok aránya a számlával, számlázással kapcsolatos panaszok terén volt a legmagasabb.</w:t>
      </w:r>
      <w:r>
        <w:t xml:space="preserve"> </w:t>
      </w:r>
      <w:r w:rsidRPr="00B27443">
        <w:t>Valamivel átlag feletti volt a közszolgáltatóval kapcsolatos panaszok jogszerűsége, melynek oka, hogy több esetben nem volt minden kétséget kizáróan bizonyítható, hogy a kéményseprő megjelent elvégezni a közszolgáltatást.</w:t>
      </w:r>
      <w:r>
        <w:t xml:space="preserve"> </w:t>
      </w:r>
      <w:r w:rsidRPr="00B27443">
        <w:t>A közszolgáltatás rendjével kapcsolatos panaszokon belül átlag alatti volt a jogos panaszok aránya. En</w:t>
      </w:r>
      <w:r>
        <w:t>nek egyértelmű oka, hogy a nagy</w:t>
      </w:r>
      <w:r w:rsidRPr="00B27443">
        <w:t>számú egyéni igényekkel kapcsolatos kifogás döntő többsége nem volt jogos.</w:t>
      </w:r>
    </w:p>
    <w:p w:rsidR="00D7716B" w:rsidRDefault="00D7716B" w:rsidP="00D7716B">
      <w:pPr>
        <w:tabs>
          <w:tab w:val="num" w:pos="720"/>
        </w:tabs>
      </w:pPr>
      <w:r w:rsidRPr="00B27443">
        <w:lastRenderedPageBreak/>
        <w:t>Megvizsgálva a három legtöbb panaszt adó sp</w:t>
      </w:r>
      <w:r>
        <w:t>eciális témakört megállapítható, hogy a</w:t>
      </w:r>
      <w:r w:rsidRPr="00B27443">
        <w:t>z egyéni igényekkel kapcsolatos panaszok mindössze 4%-a volt jogos</w:t>
      </w:r>
      <w:r>
        <w:t>, a</w:t>
      </w:r>
      <w:r w:rsidRPr="00B27443">
        <w:t xml:space="preserve"> kéményseprő nem bizonyítható megjelenésével kapcsolatos jogos panaszok aránya valamivel átlag </w:t>
      </w:r>
      <w:r>
        <w:t xml:space="preserve">feletti </w:t>
      </w:r>
      <w:r w:rsidRPr="00B27443">
        <w:t>(14%)</w:t>
      </w:r>
      <w:r>
        <w:t>, míg a</w:t>
      </w:r>
      <w:r w:rsidRPr="00B27443">
        <w:t>z értesítéssel kapcsolatos jogos panaszok aránya 15% volt</w:t>
      </w:r>
      <w:r>
        <w:t>.</w:t>
      </w:r>
    </w:p>
    <w:p w:rsidR="007819A1" w:rsidRDefault="007819A1" w:rsidP="00D7716B">
      <w:pPr>
        <w:tabs>
          <w:tab w:val="num" w:pos="720"/>
        </w:tabs>
      </w:pPr>
    </w:p>
    <w:p w:rsidR="00D7716B" w:rsidRDefault="00D7716B" w:rsidP="00D7716B">
      <w:pPr>
        <w:spacing w:before="0" w:after="160" w:line="259" w:lineRule="auto"/>
        <w:jc w:val="center"/>
      </w:pPr>
      <w:r w:rsidRPr="0053755D">
        <w:t>Panaszmegkeresések jogszerűségének megoszlása (2013. március-december)</w:t>
      </w:r>
    </w:p>
    <w:p w:rsidR="00D7716B" w:rsidRDefault="00D7716B" w:rsidP="00D7716B">
      <w:pPr>
        <w:spacing w:before="0" w:after="160" w:line="259" w:lineRule="auto"/>
        <w:jc w:val="left"/>
      </w:pPr>
      <w:r w:rsidRPr="0053755D">
        <w:rPr>
          <w:noProof/>
        </w:rPr>
        <w:drawing>
          <wp:inline distT="0" distB="0" distL="0" distR="0">
            <wp:extent cx="5760720" cy="3382645"/>
            <wp:effectExtent l="0" t="0" r="11430" b="8255"/>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19A1" w:rsidRDefault="007819A1" w:rsidP="00D7716B">
      <w:pPr>
        <w:spacing w:before="0" w:after="160" w:line="259" w:lineRule="auto"/>
        <w:jc w:val="left"/>
      </w:pPr>
    </w:p>
    <w:p w:rsidR="00933940" w:rsidRPr="009B14FB" w:rsidRDefault="00933940" w:rsidP="00902B08">
      <w:pPr>
        <w:pStyle w:val="Cmsor2"/>
      </w:pPr>
      <w:bookmarkStart w:id="71" w:name="_Toc387415231"/>
      <w:bookmarkStart w:id="72" w:name="_Toc389041321"/>
      <w:bookmarkStart w:id="73" w:name="bookmark6"/>
      <w:bookmarkEnd w:id="71"/>
      <w:r w:rsidRPr="009B14FB">
        <w:t>Kiszabott bírságok</w:t>
      </w:r>
      <w:bookmarkEnd w:id="72"/>
    </w:p>
    <w:p w:rsidR="00933940" w:rsidRDefault="00933940" w:rsidP="00996DC7">
      <w:r w:rsidRPr="009B14FB">
        <w:t>201</w:t>
      </w:r>
      <w:r w:rsidR="007A2FD2">
        <w:t>3</w:t>
      </w:r>
      <w:r w:rsidRPr="009B14FB">
        <w:t>-b</w:t>
      </w:r>
      <w:r w:rsidR="007A2FD2">
        <w:t>a</w:t>
      </w:r>
      <w:r w:rsidRPr="009B14FB">
        <w:t xml:space="preserve">n a tűzvédelmi hatóság által a Közszolgáltató részére </w:t>
      </w:r>
      <w:r w:rsidR="007A2FD2">
        <w:t xml:space="preserve">jogerősen </w:t>
      </w:r>
      <w:r w:rsidRPr="009B14FB">
        <w:t>kiszabott bírság nem volt.</w:t>
      </w:r>
    </w:p>
    <w:p w:rsidR="007A2FD2" w:rsidRPr="009B14FB" w:rsidRDefault="007A2FD2" w:rsidP="00996DC7">
      <w:r>
        <w:t>A fogyasztóvédelmi hatóság által egy ízben került egy 100.000.-Ft-os bírság kiszabásra, mely 2013-ban jogerőre is emelkedett.</w:t>
      </w:r>
      <w:r w:rsidR="00563F47">
        <w:t xml:space="preserve"> A bírságot egy db ügyfélpanasz késedelmes megválaszolása miatt kapta a Társaság.</w:t>
      </w:r>
    </w:p>
    <w:p w:rsidR="00933940" w:rsidRPr="009B14FB" w:rsidRDefault="00933940" w:rsidP="00902B08">
      <w:pPr>
        <w:pStyle w:val="Cmsor2"/>
      </w:pPr>
      <w:bookmarkStart w:id="74" w:name="_Toc389041322"/>
      <w:r w:rsidRPr="009B14FB">
        <w:t>Polgári peres eljárások</w:t>
      </w:r>
      <w:bookmarkEnd w:id="74"/>
    </w:p>
    <w:p w:rsidR="00933940" w:rsidRPr="004D4134" w:rsidRDefault="00933940" w:rsidP="00996DC7">
      <w:r w:rsidRPr="004D4134">
        <w:t>Közvetlenül Társaságunk ellen nem indítottak panaszügyből származó polgári peres eljárást.</w:t>
      </w:r>
    </w:p>
    <w:p w:rsidR="00933940" w:rsidRPr="004D4134" w:rsidRDefault="00933940" w:rsidP="00996DC7">
      <w:r w:rsidRPr="004D4134">
        <w:t xml:space="preserve">Társaságunk jelenleg egy ügyben III. rendű alperes. Amennyiben jelen ügyben Társaságunk nem tudja érvényesíteni az elévülési kifogást, a pert </w:t>
      </w:r>
      <w:r w:rsidR="009B14FB" w:rsidRPr="004D4134">
        <w:t>a FŐKÉTÜS</w:t>
      </w:r>
      <w:r w:rsidR="00BA25EA" w:rsidRPr="004D4134">
        <w:t>Z</w:t>
      </w:r>
      <w:r w:rsidR="009B14FB" w:rsidRPr="004D4134">
        <w:t xml:space="preserve"> </w:t>
      </w:r>
      <w:proofErr w:type="spellStart"/>
      <w:r w:rsidR="009B14FB" w:rsidRPr="004D4134">
        <w:t>Kft-vel</w:t>
      </w:r>
      <w:proofErr w:type="spellEnd"/>
      <w:r w:rsidRPr="004D4134">
        <w:t xml:space="preserve"> szemben is közvetlenül meg fogják indítani.</w:t>
      </w:r>
      <w:r w:rsidR="004D4134">
        <w:t xml:space="preserve"> 2012 óta az ügyben változás nem állt be</w:t>
      </w:r>
      <w:proofErr w:type="gramStart"/>
      <w:r w:rsidR="004D4134">
        <w:t>,még</w:t>
      </w:r>
      <w:proofErr w:type="gramEnd"/>
      <w:r w:rsidR="004D4134">
        <w:t xml:space="preserve"> mindig folyamatban van.</w:t>
      </w:r>
    </w:p>
    <w:p w:rsidR="003C0307" w:rsidRPr="003C0307" w:rsidRDefault="003C0307" w:rsidP="00902B08">
      <w:pPr>
        <w:pStyle w:val="Cmsor2"/>
      </w:pPr>
      <w:bookmarkStart w:id="75" w:name="_Toc389041323"/>
      <w:r w:rsidRPr="003C0307">
        <w:lastRenderedPageBreak/>
        <w:t>Munkaruha, egyéni védőfelszerelések</w:t>
      </w:r>
      <w:bookmarkEnd w:id="73"/>
      <w:bookmarkEnd w:id="75"/>
    </w:p>
    <w:p w:rsidR="003C0307" w:rsidRPr="003C0307" w:rsidRDefault="003C0307" w:rsidP="00996DC7">
      <w:r w:rsidRPr="003C0307">
        <w:t>A jogszabályi előírásoknak megfelelően valamennyi kéményseprőnknek biztosítunk formaruh</w:t>
      </w:r>
      <w:r>
        <w:t>át</w:t>
      </w:r>
      <w:r w:rsidRPr="003C0307">
        <w:t>, melynek viselése a kéményseprő-ipari közszolgáltatás végzése során kötelező.</w:t>
      </w:r>
    </w:p>
    <w:p w:rsidR="003C0307" w:rsidRPr="003C0307" w:rsidRDefault="003C0307" w:rsidP="00996DC7">
      <w:r w:rsidRPr="003C0307">
        <w:t xml:space="preserve">Társaságunk </w:t>
      </w:r>
      <w:r>
        <w:t>dolgozói rendelkezne</w:t>
      </w:r>
      <w:r w:rsidRPr="003C0307">
        <w:t>k számozott fényképes igazolvánnyal, melyet az ügyfél kérésére felmutatnak.</w:t>
      </w:r>
    </w:p>
    <w:p w:rsidR="003C0307" w:rsidRPr="003C0307" w:rsidRDefault="003C0307" w:rsidP="00996DC7">
      <w:r w:rsidRPr="003C0307">
        <w:t xml:space="preserve">A szolgáltatási terület veszélyforrásainak figyelembevételével munkavédelmi szabályzatunk előírja a biztonságos munkavégzés feltételeihez szükséges védőeszközök rendelkezésre bocsátását és azok kötelező jelleggel történő használatát. Ezek meglétének és használatának ellenőrzése helyi vezetői feladat (egyéni védőeszközök megléte, használata, elhasználódottak selejtezése és pótlása, biztonságos tárolása, minősítése, stb.). Az említett kötelezettségeket a kijelölt felelősök a </w:t>
      </w:r>
      <w:r>
        <w:t>t</w:t>
      </w:r>
      <w:r w:rsidRPr="003C0307">
        <w:t>árgyidőszakban maradéktalanul teljesítették.</w:t>
      </w:r>
    </w:p>
    <w:p w:rsidR="00000D04" w:rsidRPr="005C1951" w:rsidRDefault="00000D04" w:rsidP="00902B08">
      <w:pPr>
        <w:pStyle w:val="Cmsor2"/>
      </w:pPr>
      <w:bookmarkStart w:id="76" w:name="bookmark9"/>
      <w:bookmarkStart w:id="77" w:name="_Toc389041324"/>
      <w:r w:rsidRPr="005C1951">
        <w:t>Díj</w:t>
      </w:r>
      <w:bookmarkEnd w:id="76"/>
      <w:r w:rsidR="009B14FB" w:rsidRPr="005C1951">
        <w:t>emelés indokolása</w:t>
      </w:r>
      <w:bookmarkEnd w:id="77"/>
    </w:p>
    <w:p w:rsidR="00000D04" w:rsidRPr="005C1951" w:rsidRDefault="00000D04" w:rsidP="00996DC7">
      <w:r w:rsidRPr="005C1951">
        <w:t xml:space="preserve">A kötelező kéményseprő-ipari közszolgáltatás díját </w:t>
      </w:r>
      <w:r w:rsidR="00EE503F" w:rsidRPr="00EB2797">
        <w:t xml:space="preserve">2013. március 31-ig </w:t>
      </w:r>
      <w:r w:rsidRPr="005C1951">
        <w:t xml:space="preserve">Társaságunk a Fővárosi Önkormányzat 74/1997. (XII. 30.) Főv. Kgy. </w:t>
      </w:r>
      <w:proofErr w:type="gramStart"/>
      <w:r w:rsidRPr="005C1951">
        <w:t>rendeletben</w:t>
      </w:r>
      <w:proofErr w:type="gramEnd"/>
      <w:r w:rsidRPr="005C1951">
        <w:t xml:space="preserve"> foglaltak szerint alkalmazta a </w:t>
      </w:r>
      <w:r w:rsidR="00EE503F" w:rsidRPr="00EB2797">
        <w:t>t</w:t>
      </w:r>
      <w:r w:rsidRPr="005C1951">
        <w:t>árgyidőszak folyamán</w:t>
      </w:r>
      <w:r w:rsidR="00EE503F" w:rsidRPr="00EB2797">
        <w:t>, majd az új díjrendelet hatálybalépését követően – 2013 április 01-től – a 14/2013 (III.18) Főv. Kgy</w:t>
      </w:r>
      <w:r w:rsidR="005C1951">
        <w:t>.</w:t>
      </w:r>
      <w:r w:rsidR="00EE503F" w:rsidRPr="00EB2797">
        <w:t xml:space="preserve"> </w:t>
      </w:r>
      <w:proofErr w:type="gramStart"/>
      <w:r w:rsidR="005C1951" w:rsidRPr="00EB2797">
        <w:t>rendelet</w:t>
      </w:r>
      <w:proofErr w:type="gramEnd"/>
      <w:r w:rsidR="005C1951" w:rsidRPr="00EB2797">
        <w:t xml:space="preserve"> szerinti díjakat</w:t>
      </w:r>
      <w:r w:rsidRPr="005C1951">
        <w:t>.</w:t>
      </w:r>
      <w:r w:rsidR="005C1951" w:rsidRPr="00EB2797">
        <w:t xml:space="preserve"> A rezsicsökkentés hatására az új díjrendelet módosításra került, így 2013. július 01-től már a módosításnak megfelelő díjakkal számláztuk a kéményseprő</w:t>
      </w:r>
      <w:r w:rsidR="001C0B0F">
        <w:t>-</w:t>
      </w:r>
      <w:r w:rsidR="005C1951" w:rsidRPr="00EB2797">
        <w:t>ipari közszolgáltatás díját.</w:t>
      </w:r>
    </w:p>
    <w:p w:rsidR="00C96D37" w:rsidRPr="005C1951" w:rsidRDefault="00C96D37" w:rsidP="00996DC7">
      <w:r w:rsidRPr="005C1951">
        <w:t>A közszolgáltatási díjak, ill. a megrendelés ellenében végzendő szolgáltatások díjjegyzéke kirendeltségeinkben, valamint az internetes honlapunkon (</w:t>
      </w:r>
      <w:hyperlink r:id="rId19" w:history="1">
        <w:r w:rsidRPr="005C1951">
          <w:t>www.kemenysepro.hu</w:t>
        </w:r>
      </w:hyperlink>
      <w:r w:rsidRPr="005C1951">
        <w:t xml:space="preserve">), és a </w:t>
      </w:r>
      <w:hyperlink r:id="rId20" w:history="1">
        <w:r w:rsidRPr="005C1951">
          <w:t>http://www.budapest.hu/Lapok/Kozgyules/Rendelettar.aspx</w:t>
        </w:r>
      </w:hyperlink>
      <w:r w:rsidRPr="005C1951">
        <w:t xml:space="preserve"> linken keresztül is elérhető</w:t>
      </w:r>
      <w:r w:rsidR="005C1951" w:rsidRPr="00EB2797">
        <w:t xml:space="preserve">, </w:t>
      </w:r>
      <w:r w:rsidRPr="005C1951">
        <w:t>megtekinthetők.</w:t>
      </w:r>
    </w:p>
    <w:p w:rsidR="00C96D37" w:rsidRPr="001643D7" w:rsidRDefault="00C96D37" w:rsidP="00996DC7">
      <w:r w:rsidRPr="001643D7">
        <w:t>A Fővárosi Közgyűlés által módosított rendelet szerint 2012. július 1-től bevezetésre került pótdíj számlázása azoknál a kéményeknél, ahol a Szolgáltató az előírt értesítési kötelezettségének eleget tett, de a munkát a tulajdonos felróható magatartása következtében nem tudta elvégezni. A jogszabályi változások okozta megváltozott működési környezetet Társaságunk lekövette, eljárásrendet dolgozott ki a pótdíj alkalmazásának feltételeire. A Társaság munkatársait belső oktatás keretében készítette fel a változásokra, és ezzel párhuzamosan informatikai rendszerünket is fejlesztettük, hogy az adatokat rögzíteni lehessen a rendszerben.</w:t>
      </w:r>
      <w:r w:rsidR="001643D7" w:rsidRPr="00EB2797">
        <w:t xml:space="preserve"> A pótdíjbevételek 2013 évben már teljes évben jelentkeztek, így azok 65,3 </w:t>
      </w:r>
      <w:proofErr w:type="spellStart"/>
      <w:r w:rsidR="001643D7" w:rsidRPr="00EB2797">
        <w:t>%-al</w:t>
      </w:r>
      <w:proofErr w:type="spellEnd"/>
      <w:r w:rsidR="001643D7" w:rsidRPr="00EB2797">
        <w:t xml:space="preserve"> emelkedtek.</w:t>
      </w:r>
    </w:p>
    <w:p w:rsidR="006F39A9" w:rsidRPr="00EB2797" w:rsidRDefault="006F39A9" w:rsidP="00996DC7">
      <w:r w:rsidRPr="005C1951">
        <w:t>201</w:t>
      </w:r>
      <w:r w:rsidR="005C1951" w:rsidRPr="00EB2797">
        <w:t>2</w:t>
      </w:r>
      <w:r w:rsidRPr="005C1951">
        <w:t>-hez képest 201</w:t>
      </w:r>
      <w:r w:rsidR="005C1951" w:rsidRPr="00EB2797">
        <w:t>3</w:t>
      </w:r>
      <w:r w:rsidRPr="005C1951">
        <w:t>-b</w:t>
      </w:r>
      <w:r w:rsidR="005C1951" w:rsidRPr="00EB2797">
        <w:t>a</w:t>
      </w:r>
      <w:r w:rsidRPr="005C1951">
        <w:t xml:space="preserve">n </w:t>
      </w:r>
      <w:r w:rsidR="005C1951" w:rsidRPr="00EB2797">
        <w:t>4,5</w:t>
      </w:r>
      <w:r w:rsidRPr="005C1951">
        <w:t>%-os díjemelést határozott meg</w:t>
      </w:r>
      <w:r w:rsidR="009B14FB" w:rsidRPr="005C1951">
        <w:t xml:space="preserve"> a Fővárosi Közgyűlés rendelete, mely </w:t>
      </w:r>
      <w:r w:rsidR="005C1951" w:rsidRPr="00EB2797">
        <w:t xml:space="preserve">a rezsicsökkentés következtében átlagosan 44%-al csökkent a díjrendelet módosítás 2013. július 01-el történő hatálybalépésével. A díjrendelet módosítások következtében a </w:t>
      </w:r>
      <w:r w:rsidR="009B14FB" w:rsidRPr="005C1951">
        <w:t>díjemelés</w:t>
      </w:r>
      <w:r w:rsidR="005C1951" w:rsidRPr="00EB2797">
        <w:t>, majd a jelentős mértékű díjcsökkentés</w:t>
      </w:r>
      <w:r w:rsidR="009B14FB" w:rsidRPr="005C1951">
        <w:t xml:space="preserve"> nem nyújtott fedezetet az üzemszerű működés költségeire</w:t>
      </w:r>
      <w:r w:rsidR="005C1951" w:rsidRPr="00EB2797">
        <w:t>.</w:t>
      </w:r>
      <w:r w:rsidR="00C96D37" w:rsidRPr="005C1951">
        <w:t xml:space="preserve"> </w:t>
      </w:r>
      <w:r w:rsidRPr="00C61715">
        <w:t>A kéményseprő-ipari tevékenységből származó árbevétel 201</w:t>
      </w:r>
      <w:r w:rsidR="005C1951" w:rsidRPr="00EB2797">
        <w:t>3</w:t>
      </w:r>
      <w:r w:rsidRPr="00C61715">
        <w:t>-b</w:t>
      </w:r>
      <w:r w:rsidR="005C1951" w:rsidRPr="00EB2797">
        <w:t>a</w:t>
      </w:r>
      <w:r w:rsidRPr="00C61715">
        <w:t>n 1,</w:t>
      </w:r>
      <w:r w:rsidR="005C1951" w:rsidRPr="00EB2797">
        <w:t>59</w:t>
      </w:r>
      <w:r w:rsidRPr="00C61715">
        <w:t xml:space="preserve"> milliárd Ft, amely </w:t>
      </w:r>
      <w:r w:rsidR="005C1951" w:rsidRPr="00EB2797">
        <w:t>16,</w:t>
      </w:r>
      <w:r w:rsidRPr="00C61715">
        <w:t>3%-kal (</w:t>
      </w:r>
      <w:r w:rsidR="005C1951" w:rsidRPr="00EB2797">
        <w:t>311</w:t>
      </w:r>
      <w:r w:rsidRPr="00C61715">
        <w:t xml:space="preserve"> millió Ft) csökkent az előző évihez képest. Ez</w:t>
      </w:r>
      <w:r w:rsidR="005C1951" w:rsidRPr="00EB2797">
        <w:t xml:space="preserve">t korrigálja a pótdíjbevételekből eredő egyéb bevétel növekedés, mely korrekcióval kalkulálva </w:t>
      </w:r>
      <w:r w:rsidR="005C1951" w:rsidRPr="00EB2797">
        <w:rPr>
          <w:b/>
        </w:rPr>
        <w:t xml:space="preserve">a </w:t>
      </w:r>
      <w:r w:rsidR="00C61715" w:rsidRPr="00EB2797">
        <w:rPr>
          <w:b/>
        </w:rPr>
        <w:t>kéményseprő</w:t>
      </w:r>
      <w:r w:rsidR="0041351B">
        <w:rPr>
          <w:b/>
        </w:rPr>
        <w:t>-</w:t>
      </w:r>
      <w:r w:rsidR="00C61715" w:rsidRPr="00EB2797">
        <w:rPr>
          <w:b/>
        </w:rPr>
        <w:t xml:space="preserve">ipari tevékenység </w:t>
      </w:r>
      <w:r w:rsidR="005C1951" w:rsidRPr="00EB2797">
        <w:rPr>
          <w:b/>
        </w:rPr>
        <w:t>bevétel kiesés</w:t>
      </w:r>
      <w:r w:rsidR="00C61715" w:rsidRPr="00EB2797">
        <w:rPr>
          <w:b/>
        </w:rPr>
        <w:t>e</w:t>
      </w:r>
      <w:r w:rsidR="005C1951" w:rsidRPr="00EB2797">
        <w:rPr>
          <w:b/>
        </w:rPr>
        <w:t xml:space="preserve"> 12,66%-os (-227 millió Ft).</w:t>
      </w:r>
      <w:r w:rsidRPr="00C61715">
        <w:t xml:space="preserve"> A pótdíj </w:t>
      </w:r>
      <w:r w:rsidR="005C1951" w:rsidRPr="00EB2797">
        <w:t>továbbra se</w:t>
      </w:r>
      <w:r w:rsidRPr="00C61715">
        <w:t xml:space="preserve">m munkateljesítményhez kapcsolódik, ezért a nettó árbevételben nem jelenik meg, hanem az egyéb bevételeket növeli. A sormunkánál megjelenő pótdíj bevétel </w:t>
      </w:r>
      <w:r w:rsidRPr="00C61715">
        <w:lastRenderedPageBreak/>
        <w:t xml:space="preserve">tehát nem többletbevételt jelent, csak a bevételek átrendeződését, hiszen a korábban árbevételben megjelenő zárt lakásokra elszámolt munkateljesítmény, az év második felében, mint egyéb bevétel került elszámolásra. Az összehasonlíthatóság érdekében a pótdíj bevétel nettó szolgáltatási díjjal megegyező mértékével korrigáltuk a sorseprés árbevételét az alábbi táblázatban. </w:t>
      </w:r>
    </w:p>
    <w:p w:rsidR="00EE503F" w:rsidRDefault="00EE503F" w:rsidP="00EB2797">
      <w:pPr>
        <w:rPr>
          <w:rFonts w:eastAsiaTheme="majorEastAsia"/>
        </w:rPr>
      </w:pPr>
      <w:r w:rsidRPr="00A87818">
        <w:rPr>
          <w:rFonts w:eastAsiaTheme="majorEastAsia"/>
        </w:rPr>
        <w:t xml:space="preserve">A 2013. évi jogszabályoknak megfelelően az egyes égéstermék elvezető típusok egységesítése miatt a korábbi években használt </w:t>
      </w:r>
      <w:r>
        <w:rPr>
          <w:rFonts w:eastAsiaTheme="majorEastAsia"/>
        </w:rPr>
        <w:t xml:space="preserve">kéménytípus </w:t>
      </w:r>
      <w:r w:rsidRPr="00A87818">
        <w:rPr>
          <w:rFonts w:eastAsiaTheme="majorEastAsia"/>
        </w:rPr>
        <w:t>megbontása megváltozott, így a két év pontos összehasonlítása nem biztosított. A megrendelésre történő 3. ellenőrzés bevétele a megfelelő kéményellenőrzés árbevételében szerepel, ez magyarázza a saját számlás sormunka árbevétel növekedését. A mesterséges sormunka árbevétel drasztikus csökkenésének magyarázata, hogy például az egyedi zárt égéstermék elvezető díja 2013. február 1-jétől az előző évhez képest 48 %-kal csökkent, majd a rezsicsökkentés hatására július 1-jétől további 44 %-kal csökkenés volt kimutatható a díjrendelet változásának hatására. E mellett eltörlésre került a kapcsolódó kiszállási díj is.</w:t>
      </w:r>
    </w:p>
    <w:p w:rsidR="00EE503F" w:rsidRDefault="00EE503F" w:rsidP="00EB2797">
      <w:pPr>
        <w:rPr>
          <w:rFonts w:eastAsiaTheme="majorEastAsia"/>
        </w:rPr>
      </w:pPr>
    </w:p>
    <w:p w:rsidR="00EE503F" w:rsidRPr="00EB2797" w:rsidRDefault="00EE503F" w:rsidP="00EB2797">
      <w:pPr>
        <w:jc w:val="center"/>
        <w:rPr>
          <w:rFonts w:eastAsiaTheme="majorEastAsia"/>
        </w:rPr>
      </w:pPr>
      <w:r w:rsidRPr="00EB2797">
        <w:rPr>
          <w:rFonts w:eastAsiaTheme="majorEastAsia"/>
          <w:bCs/>
          <w:szCs w:val="26"/>
        </w:rPr>
        <w:t>Értékesítés árbevétele tevékenységenkénti bontásban</w:t>
      </w:r>
    </w:p>
    <w:tbl>
      <w:tblPr>
        <w:tblW w:w="5000" w:type="pct"/>
        <w:tblCellMar>
          <w:left w:w="70" w:type="dxa"/>
          <w:right w:w="70" w:type="dxa"/>
        </w:tblCellMar>
        <w:tblLook w:val="04A0"/>
      </w:tblPr>
      <w:tblGrid>
        <w:gridCol w:w="4293"/>
        <w:gridCol w:w="1297"/>
        <w:gridCol w:w="1297"/>
        <w:gridCol w:w="1083"/>
        <w:gridCol w:w="1240"/>
      </w:tblGrid>
      <w:tr w:rsidR="00EE503F" w:rsidRPr="00EE503F" w:rsidTr="00EB2797">
        <w:trPr>
          <w:trHeight w:val="300"/>
        </w:trPr>
        <w:tc>
          <w:tcPr>
            <w:tcW w:w="2331" w:type="pct"/>
            <w:tcBorders>
              <w:top w:val="single" w:sz="8" w:space="0" w:color="000000"/>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center"/>
              <w:rPr>
                <w:rFonts w:eastAsia="Times New Roman"/>
                <w:b/>
                <w:bCs/>
                <w:color w:val="000000"/>
                <w:sz w:val="20"/>
                <w:szCs w:val="20"/>
              </w:rPr>
            </w:pPr>
            <w:r w:rsidRPr="00EE503F">
              <w:rPr>
                <w:rFonts w:eastAsia="Times New Roman"/>
                <w:b/>
                <w:bCs/>
                <w:color w:val="000000" w:themeColor="text1" w:themeShade="BF"/>
                <w:sz w:val="20"/>
                <w:szCs w:val="20"/>
              </w:rPr>
              <w:t xml:space="preserve">Megnevezés </w:t>
            </w:r>
          </w:p>
        </w:tc>
        <w:tc>
          <w:tcPr>
            <w:tcW w:w="704" w:type="pct"/>
            <w:tcBorders>
              <w:top w:val="single" w:sz="8" w:space="0" w:color="000000"/>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center"/>
              <w:rPr>
                <w:rFonts w:eastAsia="Times New Roman"/>
                <w:b/>
                <w:bCs/>
                <w:color w:val="000000"/>
                <w:sz w:val="20"/>
                <w:szCs w:val="20"/>
              </w:rPr>
            </w:pPr>
            <w:r w:rsidRPr="00EE503F">
              <w:rPr>
                <w:rFonts w:eastAsia="Times New Roman"/>
                <w:b/>
                <w:bCs/>
                <w:color w:val="000000" w:themeColor="text1" w:themeShade="BF"/>
                <w:sz w:val="20"/>
                <w:szCs w:val="20"/>
              </w:rPr>
              <w:t>2012.12.31</w:t>
            </w:r>
          </w:p>
        </w:tc>
        <w:tc>
          <w:tcPr>
            <w:tcW w:w="704" w:type="pct"/>
            <w:tcBorders>
              <w:top w:val="single" w:sz="8" w:space="0" w:color="000000"/>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center"/>
              <w:rPr>
                <w:rFonts w:eastAsia="Times New Roman"/>
                <w:b/>
                <w:bCs/>
                <w:color w:val="000000"/>
                <w:sz w:val="20"/>
                <w:szCs w:val="20"/>
              </w:rPr>
            </w:pPr>
            <w:r w:rsidRPr="00EE503F">
              <w:rPr>
                <w:rFonts w:eastAsia="Times New Roman"/>
                <w:b/>
                <w:bCs/>
                <w:color w:val="000000" w:themeColor="text1" w:themeShade="BF"/>
                <w:sz w:val="20"/>
                <w:szCs w:val="20"/>
              </w:rPr>
              <w:t>2013.12.31</w:t>
            </w:r>
          </w:p>
        </w:tc>
        <w:tc>
          <w:tcPr>
            <w:tcW w:w="588" w:type="pct"/>
            <w:tcBorders>
              <w:top w:val="single" w:sz="8" w:space="0" w:color="000000"/>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center"/>
              <w:rPr>
                <w:rFonts w:eastAsia="Times New Roman"/>
                <w:b/>
                <w:bCs/>
                <w:color w:val="000000"/>
                <w:sz w:val="20"/>
                <w:szCs w:val="20"/>
              </w:rPr>
            </w:pPr>
            <w:r w:rsidRPr="00EE503F">
              <w:rPr>
                <w:rFonts w:eastAsia="Times New Roman"/>
                <w:b/>
                <w:bCs/>
                <w:color w:val="000000" w:themeColor="text1" w:themeShade="BF"/>
                <w:sz w:val="20"/>
                <w:szCs w:val="20"/>
              </w:rPr>
              <w:t>Változás</w:t>
            </w:r>
          </w:p>
        </w:tc>
        <w:tc>
          <w:tcPr>
            <w:tcW w:w="673" w:type="pct"/>
            <w:tcBorders>
              <w:top w:val="single" w:sz="8" w:space="0" w:color="000000"/>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center"/>
              <w:rPr>
                <w:rFonts w:eastAsia="Times New Roman"/>
                <w:b/>
                <w:bCs/>
                <w:color w:val="000000"/>
                <w:sz w:val="20"/>
                <w:szCs w:val="20"/>
              </w:rPr>
            </w:pPr>
            <w:r w:rsidRPr="00EE503F">
              <w:rPr>
                <w:rFonts w:eastAsia="Times New Roman"/>
                <w:b/>
                <w:bCs/>
                <w:color w:val="000000" w:themeColor="text1" w:themeShade="BF"/>
                <w:sz w:val="20"/>
                <w:szCs w:val="20"/>
              </w:rPr>
              <w:t>Index</w:t>
            </w:r>
          </w:p>
        </w:tc>
      </w:tr>
      <w:tr w:rsidR="00EE503F" w:rsidRPr="00EE503F" w:rsidTr="00EB2797">
        <w:trPr>
          <w:trHeight w:val="288"/>
        </w:trPr>
        <w:tc>
          <w:tcPr>
            <w:tcW w:w="2331"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 xml:space="preserve">Sormunka DB </w:t>
            </w:r>
            <w:proofErr w:type="spellStart"/>
            <w:r w:rsidRPr="00EE503F">
              <w:rPr>
                <w:rFonts w:eastAsia="Times New Roman"/>
                <w:b/>
                <w:bCs/>
                <w:color w:val="000000" w:themeColor="text1" w:themeShade="BF"/>
                <w:sz w:val="20"/>
                <w:szCs w:val="20"/>
              </w:rPr>
              <w:t>Zrt</w:t>
            </w:r>
            <w:proofErr w:type="spellEnd"/>
            <w:r w:rsidRPr="00EE503F">
              <w:rPr>
                <w:rFonts w:eastAsia="Times New Roman"/>
                <w:b/>
                <w:bCs/>
                <w:color w:val="000000" w:themeColor="text1" w:themeShade="BF"/>
                <w:sz w:val="20"/>
                <w:szCs w:val="20"/>
              </w:rPr>
              <w:t xml:space="preserve"> által számlázott</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1.142.016</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952.999</w:t>
            </w:r>
          </w:p>
        </w:tc>
        <w:tc>
          <w:tcPr>
            <w:tcW w:w="588"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189.017</w:t>
            </w:r>
          </w:p>
        </w:tc>
        <w:tc>
          <w:tcPr>
            <w:tcW w:w="673"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83,50%</w:t>
            </w:r>
          </w:p>
        </w:tc>
      </w:tr>
      <w:tr w:rsidR="00EE503F" w:rsidRPr="00EE503F" w:rsidTr="00EB2797">
        <w:trPr>
          <w:trHeight w:val="288"/>
        </w:trPr>
        <w:tc>
          <w:tcPr>
            <w:tcW w:w="2331"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Sormunka saját számlás</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34.848</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54.789</w:t>
            </w:r>
          </w:p>
        </w:tc>
        <w:tc>
          <w:tcPr>
            <w:tcW w:w="588"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19.941</w:t>
            </w:r>
          </w:p>
        </w:tc>
        <w:tc>
          <w:tcPr>
            <w:tcW w:w="673"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157,20%</w:t>
            </w:r>
          </w:p>
        </w:tc>
      </w:tr>
      <w:tr w:rsidR="00EE503F" w:rsidRPr="00EE503F" w:rsidTr="00EB2797">
        <w:trPr>
          <w:trHeight w:val="288"/>
        </w:trPr>
        <w:tc>
          <w:tcPr>
            <w:tcW w:w="2331"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 xml:space="preserve">Központi kémény ellenőrzés </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149.382</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99.133</w:t>
            </w:r>
          </w:p>
        </w:tc>
        <w:tc>
          <w:tcPr>
            <w:tcW w:w="588"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-50.249</w:t>
            </w:r>
          </w:p>
        </w:tc>
        <w:tc>
          <w:tcPr>
            <w:tcW w:w="673"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66,36%</w:t>
            </w:r>
          </w:p>
        </w:tc>
      </w:tr>
      <w:tr w:rsidR="00EE503F" w:rsidRPr="00EE503F" w:rsidTr="00EB2797">
        <w:trPr>
          <w:trHeight w:val="288"/>
        </w:trPr>
        <w:tc>
          <w:tcPr>
            <w:tcW w:w="2331"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Mesterséges sormunka</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184.298</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62.370</w:t>
            </w:r>
          </w:p>
        </w:tc>
        <w:tc>
          <w:tcPr>
            <w:tcW w:w="588"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-121.928</w:t>
            </w:r>
          </w:p>
        </w:tc>
        <w:tc>
          <w:tcPr>
            <w:tcW w:w="673"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33,80%</w:t>
            </w:r>
          </w:p>
        </w:tc>
      </w:tr>
      <w:tr w:rsidR="00EE503F" w:rsidRPr="00EE503F" w:rsidTr="00EB2797">
        <w:trPr>
          <w:trHeight w:val="288"/>
        </w:trPr>
        <w:tc>
          <w:tcPr>
            <w:tcW w:w="2331"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Sormunka összesen:</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1.510.544</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1.169.291</w:t>
            </w:r>
          </w:p>
        </w:tc>
        <w:tc>
          <w:tcPr>
            <w:tcW w:w="588"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-341.253</w:t>
            </w:r>
          </w:p>
        </w:tc>
        <w:tc>
          <w:tcPr>
            <w:tcW w:w="673"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77,40%</w:t>
            </w:r>
          </w:p>
        </w:tc>
      </w:tr>
      <w:tr w:rsidR="00EE503F" w:rsidRPr="00EE503F" w:rsidTr="00EB2797">
        <w:trPr>
          <w:trHeight w:val="288"/>
        </w:trPr>
        <w:tc>
          <w:tcPr>
            <w:tcW w:w="2331"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Megrendeléses kéményvizsgálat</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387.181</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410.782</w:t>
            </w:r>
          </w:p>
        </w:tc>
        <w:tc>
          <w:tcPr>
            <w:tcW w:w="588"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23.532</w:t>
            </w:r>
          </w:p>
        </w:tc>
        <w:tc>
          <w:tcPr>
            <w:tcW w:w="673"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106,10%</w:t>
            </w:r>
          </w:p>
        </w:tc>
      </w:tr>
      <w:tr w:rsidR="00EE503F" w:rsidRPr="00EE503F" w:rsidTr="00EB2797">
        <w:trPr>
          <w:trHeight w:val="288"/>
        </w:trPr>
        <w:tc>
          <w:tcPr>
            <w:tcW w:w="2331"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Tervfelülvizsgálat</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7.106</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13.633</w:t>
            </w:r>
          </w:p>
        </w:tc>
        <w:tc>
          <w:tcPr>
            <w:tcW w:w="588"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6.597</w:t>
            </w:r>
          </w:p>
        </w:tc>
        <w:tc>
          <w:tcPr>
            <w:tcW w:w="673"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192,80%</w:t>
            </w:r>
          </w:p>
        </w:tc>
      </w:tr>
      <w:tr w:rsidR="00EE503F" w:rsidRPr="00EE503F" w:rsidTr="00EB2797">
        <w:trPr>
          <w:trHeight w:val="288"/>
        </w:trPr>
        <w:tc>
          <w:tcPr>
            <w:tcW w:w="2331" w:type="pct"/>
            <w:tcBorders>
              <w:top w:val="nil"/>
              <w:left w:val="nil"/>
              <w:bottom w:val="nil"/>
              <w:right w:val="nil"/>
            </w:tcBorders>
            <w:shd w:val="clear" w:color="auto" w:fill="auto"/>
            <w:vAlign w:val="center"/>
            <w:hideMark/>
          </w:tcPr>
          <w:p w:rsidR="00EE503F" w:rsidRPr="00EE503F" w:rsidRDefault="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Kéményseprő tev</w:t>
            </w:r>
            <w:r>
              <w:rPr>
                <w:rFonts w:eastAsia="Times New Roman"/>
                <w:b/>
                <w:bCs/>
                <w:color w:val="000000" w:themeColor="text1" w:themeShade="BF"/>
                <w:sz w:val="20"/>
                <w:szCs w:val="20"/>
              </w:rPr>
              <w:t xml:space="preserve">ékenység </w:t>
            </w:r>
            <w:r w:rsidRPr="00EE503F">
              <w:rPr>
                <w:rFonts w:eastAsia="Times New Roman"/>
                <w:b/>
                <w:bCs/>
                <w:color w:val="000000" w:themeColor="text1" w:themeShade="BF"/>
                <w:sz w:val="20"/>
                <w:szCs w:val="20"/>
              </w:rPr>
              <w:t>árbevétele</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1.904.831</w:t>
            </w:r>
          </w:p>
        </w:tc>
        <w:tc>
          <w:tcPr>
            <w:tcW w:w="704"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1.593.706</w:t>
            </w:r>
          </w:p>
        </w:tc>
        <w:tc>
          <w:tcPr>
            <w:tcW w:w="588"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-311.124</w:t>
            </w:r>
          </w:p>
        </w:tc>
        <w:tc>
          <w:tcPr>
            <w:tcW w:w="673" w:type="pct"/>
            <w:tcBorders>
              <w:top w:val="nil"/>
              <w:left w:val="nil"/>
              <w:bottom w:val="nil"/>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83,70%</w:t>
            </w:r>
          </w:p>
        </w:tc>
      </w:tr>
      <w:tr w:rsidR="00EE503F" w:rsidRPr="00EE503F" w:rsidTr="00EB2797">
        <w:trPr>
          <w:trHeight w:val="288"/>
        </w:trPr>
        <w:tc>
          <w:tcPr>
            <w:tcW w:w="2331"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Pótdíj bevétel</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128.256</w:t>
            </w:r>
          </w:p>
        </w:tc>
        <w:tc>
          <w:tcPr>
            <w:tcW w:w="704"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211.963</w:t>
            </w:r>
          </w:p>
        </w:tc>
        <w:tc>
          <w:tcPr>
            <w:tcW w:w="588"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83.707</w:t>
            </w:r>
          </w:p>
        </w:tc>
        <w:tc>
          <w:tcPr>
            <w:tcW w:w="673" w:type="pct"/>
            <w:tcBorders>
              <w:top w:val="nil"/>
              <w:left w:val="nil"/>
              <w:bottom w:val="nil"/>
              <w:right w:val="nil"/>
            </w:tcBorders>
            <w:shd w:val="clear" w:color="000000" w:fill="C0C0C0"/>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sz w:val="20"/>
                <w:szCs w:val="20"/>
              </w:rPr>
              <w:t>165,30%</w:t>
            </w:r>
          </w:p>
        </w:tc>
      </w:tr>
      <w:tr w:rsidR="00EE503F" w:rsidRPr="00EE503F" w:rsidTr="00EB2797">
        <w:trPr>
          <w:trHeight w:val="300"/>
        </w:trPr>
        <w:tc>
          <w:tcPr>
            <w:tcW w:w="2331" w:type="pct"/>
            <w:tcBorders>
              <w:top w:val="nil"/>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left"/>
              <w:rPr>
                <w:rFonts w:eastAsia="Times New Roman"/>
                <w:b/>
                <w:bCs/>
                <w:color w:val="000000"/>
                <w:sz w:val="20"/>
                <w:szCs w:val="20"/>
              </w:rPr>
            </w:pPr>
            <w:r w:rsidRPr="00EE503F">
              <w:rPr>
                <w:rFonts w:eastAsia="Times New Roman"/>
                <w:b/>
                <w:bCs/>
                <w:color w:val="000000" w:themeColor="text1" w:themeShade="BF"/>
                <w:sz w:val="20"/>
                <w:szCs w:val="20"/>
              </w:rPr>
              <w:t>Pótdíjjal korrigált árbevétel összesen:</w:t>
            </w:r>
          </w:p>
        </w:tc>
        <w:tc>
          <w:tcPr>
            <w:tcW w:w="704" w:type="pct"/>
            <w:tcBorders>
              <w:top w:val="nil"/>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sz w:val="20"/>
                <w:szCs w:val="20"/>
              </w:rPr>
              <w:t>2.033.087</w:t>
            </w:r>
          </w:p>
        </w:tc>
        <w:tc>
          <w:tcPr>
            <w:tcW w:w="704" w:type="pct"/>
            <w:tcBorders>
              <w:top w:val="nil"/>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1.775.669</w:t>
            </w:r>
          </w:p>
        </w:tc>
        <w:tc>
          <w:tcPr>
            <w:tcW w:w="588" w:type="pct"/>
            <w:tcBorders>
              <w:top w:val="nil"/>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-227.417</w:t>
            </w:r>
          </w:p>
        </w:tc>
        <w:tc>
          <w:tcPr>
            <w:tcW w:w="673" w:type="pct"/>
            <w:tcBorders>
              <w:top w:val="nil"/>
              <w:left w:val="nil"/>
              <w:bottom w:val="single" w:sz="8" w:space="0" w:color="000000"/>
              <w:right w:val="nil"/>
            </w:tcBorders>
            <w:shd w:val="clear" w:color="auto" w:fill="auto"/>
            <w:vAlign w:val="center"/>
            <w:hideMark/>
          </w:tcPr>
          <w:p w:rsidR="00EE503F" w:rsidRPr="00EE503F" w:rsidRDefault="00EE503F" w:rsidP="00EE503F">
            <w:pPr>
              <w:spacing w:before="0" w:after="0" w:line="240" w:lineRule="auto"/>
              <w:jc w:val="right"/>
              <w:rPr>
                <w:rFonts w:eastAsia="Times New Roman"/>
                <w:color w:val="000000"/>
                <w:sz w:val="20"/>
                <w:szCs w:val="20"/>
              </w:rPr>
            </w:pPr>
            <w:r w:rsidRPr="00EE503F">
              <w:rPr>
                <w:rFonts w:eastAsia="Times New Roman"/>
                <w:color w:val="000000" w:themeColor="text1" w:themeShade="BF"/>
                <w:sz w:val="20"/>
                <w:szCs w:val="20"/>
              </w:rPr>
              <w:t>87,34%</w:t>
            </w:r>
          </w:p>
        </w:tc>
      </w:tr>
    </w:tbl>
    <w:p w:rsidR="00EE503F" w:rsidRPr="00EB2797" w:rsidRDefault="00EE503F" w:rsidP="00996DC7"/>
    <w:p w:rsidR="006F39A9" w:rsidRPr="00C61715" w:rsidRDefault="006F39A9" w:rsidP="00996DC7">
      <w:r w:rsidRPr="00C61715">
        <w:t xml:space="preserve">A megrendeléses munkák árbevétele </w:t>
      </w:r>
      <w:r w:rsidR="00C61715" w:rsidRPr="00EB2797">
        <w:t>411</w:t>
      </w:r>
      <w:r w:rsidRPr="00C61715">
        <w:t xml:space="preserve"> millió Ft-ra (</w:t>
      </w:r>
      <w:r w:rsidR="00C61715" w:rsidRPr="00EB2797">
        <w:t>6,1</w:t>
      </w:r>
      <w:r w:rsidRPr="00C61715">
        <w:t xml:space="preserve">%) </w:t>
      </w:r>
      <w:r w:rsidR="00C61715" w:rsidRPr="00EB2797">
        <w:t>nőtt</w:t>
      </w:r>
      <w:r w:rsidRPr="00C61715">
        <w:t xml:space="preserve"> a 201</w:t>
      </w:r>
      <w:r w:rsidR="00C61715" w:rsidRPr="00EB2797">
        <w:t>2</w:t>
      </w:r>
      <w:r w:rsidRPr="00C61715">
        <w:t>-es szinthez képest.</w:t>
      </w:r>
    </w:p>
    <w:p w:rsidR="006F39A9" w:rsidRPr="00C61715" w:rsidRDefault="006F39A9" w:rsidP="00996DC7">
      <w:r w:rsidRPr="00C61715">
        <w:t xml:space="preserve">2012-ben még nem minősült közszolgáltatásnak, de tevékenységi körünkbe tartozik az építési tervek kéményseprő-ipari szempontú felülvizsgálata. Ezen a soron </w:t>
      </w:r>
      <w:r w:rsidR="00C61715" w:rsidRPr="00EB2797">
        <w:t>6,5</w:t>
      </w:r>
      <w:r w:rsidRPr="00C61715">
        <w:t xml:space="preserve"> millió Ft-tal </w:t>
      </w:r>
      <w:r w:rsidR="00C61715" w:rsidRPr="00EB2797">
        <w:t>több</w:t>
      </w:r>
      <w:r w:rsidRPr="00C61715">
        <w:t xml:space="preserve"> bevételt realizáltunk az előző évhez képest, mely az új építkezések számának </w:t>
      </w:r>
      <w:r w:rsidR="00C61715" w:rsidRPr="00EB2797">
        <w:t>növekedésével</w:t>
      </w:r>
      <w:r w:rsidRPr="00C61715">
        <w:t xml:space="preserve">, magyarázható, </w:t>
      </w:r>
      <w:r w:rsidR="00C61715" w:rsidRPr="00EB2797">
        <w:t xml:space="preserve">annak ellenére, </w:t>
      </w:r>
      <w:r w:rsidRPr="00C61715">
        <w:t xml:space="preserve">hogy az építési engedélyezési eljárásból kivették a kéményseprő által adott terv-felülvizsgálati szakvéleményt. 2013-tól ugyanakkor </w:t>
      </w:r>
      <w:proofErr w:type="gramStart"/>
      <w:r w:rsidRPr="00C61715">
        <w:t>ezen</w:t>
      </w:r>
      <w:proofErr w:type="gramEnd"/>
      <w:r w:rsidRPr="00C61715">
        <w:t xml:space="preserve"> tevékenység a kötelező közszolgáltatási feladatok részévé vált, így ezen, Társaságunk számára veszteséges szolgáltatás megszüntetésére nincs lehetőségünk.</w:t>
      </w:r>
    </w:p>
    <w:p w:rsidR="00826405" w:rsidRPr="001643D7" w:rsidRDefault="00826405" w:rsidP="00996DC7">
      <w:r w:rsidRPr="001643D7">
        <w:t>A Társaság 201</w:t>
      </w:r>
      <w:r w:rsidR="001643D7" w:rsidRPr="00EB2797">
        <w:t>3</w:t>
      </w:r>
      <w:r w:rsidRPr="001643D7">
        <w:t>. évi mérleg szerinti eredménye 2</w:t>
      </w:r>
      <w:r w:rsidR="001643D7" w:rsidRPr="00EB2797">
        <w:t>02</w:t>
      </w:r>
      <w:r w:rsidRPr="001643D7">
        <w:t>.</w:t>
      </w:r>
      <w:r w:rsidR="001643D7" w:rsidRPr="00EB2797">
        <w:t>248</w:t>
      </w:r>
      <w:r w:rsidRPr="001643D7">
        <w:t xml:space="preserve">. </w:t>
      </w:r>
      <w:proofErr w:type="spellStart"/>
      <w:r w:rsidRPr="001643D7">
        <w:t>e</w:t>
      </w:r>
      <w:r w:rsidR="001643D7" w:rsidRPr="00EB2797">
        <w:t>Ft</w:t>
      </w:r>
      <w:proofErr w:type="spellEnd"/>
      <w:r w:rsidRPr="001643D7">
        <w:t xml:space="preserve"> nyereség. Ez azonban jelentős mértékben nem a közszolgáltatási tevékenység ellátásából ered. A közszolgáltatási tevé</w:t>
      </w:r>
      <w:r w:rsidR="008A49BD" w:rsidRPr="001643D7">
        <w:t xml:space="preserve">kenység üzemi szintű eredménye </w:t>
      </w:r>
      <w:r w:rsidRPr="001643D7">
        <w:t>-</w:t>
      </w:r>
      <w:r w:rsidR="001643D7" w:rsidRPr="00EB2797">
        <w:t>535</w:t>
      </w:r>
      <w:r w:rsidRPr="001643D7">
        <w:t>.</w:t>
      </w:r>
      <w:r w:rsidR="001643D7" w:rsidRPr="00EB2797">
        <w:t>889</w:t>
      </w:r>
      <w:r w:rsidRPr="001643D7">
        <w:t xml:space="preserve"> </w:t>
      </w:r>
      <w:proofErr w:type="spellStart"/>
      <w:r w:rsidRPr="001643D7">
        <w:t>e</w:t>
      </w:r>
      <w:r w:rsidR="001643D7" w:rsidRPr="00EB2797">
        <w:t>Ft</w:t>
      </w:r>
      <w:proofErr w:type="spellEnd"/>
      <w:r w:rsidR="001643D7" w:rsidRPr="00EB2797">
        <w:t xml:space="preserve"> veszteség</w:t>
      </w:r>
      <w:r w:rsidRPr="001643D7">
        <w:t xml:space="preserve">. Amennyiben ezt a számviteli törvény szerint egyéb bevételként elszámolt – és a közszolgáltatáshoz kapcsolódó – </w:t>
      </w:r>
      <w:r w:rsidRPr="001643D7">
        <w:lastRenderedPageBreak/>
        <w:t>pótdíjbevétellel (</w:t>
      </w:r>
      <w:r w:rsidR="001643D7" w:rsidRPr="00EB2797">
        <w:t>211</w:t>
      </w:r>
      <w:r w:rsidRPr="001643D7">
        <w:t>.</w:t>
      </w:r>
      <w:r w:rsidR="001643D7" w:rsidRPr="00EB2797">
        <w:t>963</w:t>
      </w:r>
      <w:r w:rsidRPr="001643D7">
        <w:t xml:space="preserve"> </w:t>
      </w:r>
      <w:proofErr w:type="spellStart"/>
      <w:r w:rsidR="001643D7" w:rsidRPr="00EB2797">
        <w:t>eFt</w:t>
      </w:r>
      <w:proofErr w:type="spellEnd"/>
      <w:r w:rsidRPr="001643D7">
        <w:t xml:space="preserve">) korrigáljuk, akkor közszolgáltatási tevékenységünk </w:t>
      </w:r>
      <w:r w:rsidR="001643D7" w:rsidRPr="00EB2797">
        <w:t>-323.926eFt veszteséget mutat</w:t>
      </w:r>
      <w:r w:rsidRPr="001643D7">
        <w:t xml:space="preserve">. </w:t>
      </w:r>
    </w:p>
    <w:p w:rsidR="00826405" w:rsidRPr="001643D7" w:rsidRDefault="00826405" w:rsidP="00996DC7">
      <w:r w:rsidRPr="001643D7">
        <w:t>A mérleg szerinti eredmény döntő része a</w:t>
      </w:r>
      <w:r w:rsidR="00E334F1" w:rsidRPr="00EB2797">
        <w:t xml:space="preserve">bból fakad, hogy a Társaság számos beruházását, eszközbeszerzését elhalasztotta, továbbá a rezsicsökkentés negatív hatásának kivédése érdekében a menedzsment olyan költségracionalizáló intézkedéseket tett, melyek a tervekhez képest 80 </w:t>
      </w:r>
      <w:proofErr w:type="spellStart"/>
      <w:r w:rsidR="00E334F1" w:rsidRPr="00EB2797">
        <w:t>MFt</w:t>
      </w:r>
      <w:proofErr w:type="spellEnd"/>
      <w:r w:rsidR="00E334F1" w:rsidRPr="00EB2797">
        <w:t xml:space="preserve"> megtakarítást okoztak. </w:t>
      </w:r>
    </w:p>
    <w:p w:rsidR="00826405" w:rsidRDefault="00826405" w:rsidP="00996DC7">
      <w:r w:rsidRPr="001643D7">
        <w:t>Eredménynövelő hatású az a tény is, hogy a</w:t>
      </w:r>
      <w:r w:rsidR="00E334F1" w:rsidRPr="00EB2797">
        <w:t xml:space="preserve"> díjkompenzáció </w:t>
      </w:r>
      <w:r w:rsidR="009E7BFB" w:rsidRPr="00EB2797">
        <w:t xml:space="preserve">kései folyósítása </w:t>
      </w:r>
      <w:r w:rsidRPr="001643D7">
        <w:t xml:space="preserve">miatt egyes költségelemeknél a kiadások áthúzódtak a következő </w:t>
      </w:r>
      <w:r w:rsidR="009E7BFB" w:rsidRPr="00EB2797">
        <w:t xml:space="preserve">2014-es </w:t>
      </w:r>
      <w:r w:rsidRPr="001643D7">
        <w:t>gazdálkodási évre, s így az anyag</w:t>
      </w:r>
      <w:r w:rsidR="009E7BFB" w:rsidRPr="00EB2797">
        <w:t xml:space="preserve">-, valamint a személyi </w:t>
      </w:r>
      <w:r w:rsidRPr="001643D7">
        <w:t xml:space="preserve">jellegű </w:t>
      </w:r>
      <w:r w:rsidR="009E7BFB" w:rsidRPr="00EB2797">
        <w:t>ráfordítások és az elszá</w:t>
      </w:r>
      <w:r w:rsidR="001643D7" w:rsidRPr="00EB2797">
        <w:t>m</w:t>
      </w:r>
      <w:r w:rsidR="009E7BFB" w:rsidRPr="00EB2797">
        <w:t>olt</w:t>
      </w:r>
      <w:r w:rsidR="001643D7" w:rsidRPr="00EB2797">
        <w:t xml:space="preserve"> </w:t>
      </w:r>
      <w:r w:rsidR="009E7BFB" w:rsidRPr="00EB2797">
        <w:t>ér</w:t>
      </w:r>
      <w:r w:rsidR="001643D7" w:rsidRPr="00EB2797">
        <w:t>t</w:t>
      </w:r>
      <w:r w:rsidR="009E7BFB" w:rsidRPr="00EB2797">
        <w:t xml:space="preserve">ékcsökkenés </w:t>
      </w:r>
      <w:r w:rsidR="001643D7">
        <w:t>mér</w:t>
      </w:r>
      <w:r w:rsidR="001643D7" w:rsidRPr="00EB2797">
        <w:t>t</w:t>
      </w:r>
      <w:r w:rsidR="001643D7">
        <w:t>é</w:t>
      </w:r>
      <w:r w:rsidR="001643D7" w:rsidRPr="00EB2797">
        <w:t>ke</w:t>
      </w:r>
      <w:r w:rsidRPr="001643D7">
        <w:t xml:space="preserve"> a tervezett szint alatt maradtak.</w:t>
      </w:r>
    </w:p>
    <w:tbl>
      <w:tblPr>
        <w:tblW w:w="5077" w:type="pct"/>
        <w:jc w:val="center"/>
        <w:tblLayout w:type="fixed"/>
        <w:tblCellMar>
          <w:left w:w="70" w:type="dxa"/>
          <w:right w:w="70" w:type="dxa"/>
        </w:tblCellMar>
        <w:tblLook w:val="04A0"/>
      </w:tblPr>
      <w:tblGrid>
        <w:gridCol w:w="3098"/>
        <w:gridCol w:w="1347"/>
        <w:gridCol w:w="1347"/>
        <w:gridCol w:w="812"/>
        <w:gridCol w:w="1083"/>
        <w:gridCol w:w="1665"/>
      </w:tblGrid>
      <w:tr w:rsidR="00C25317" w:rsidRPr="00C25317" w:rsidTr="00C25317">
        <w:trPr>
          <w:trHeight w:val="264"/>
          <w:jc w:val="center"/>
        </w:trPr>
        <w:tc>
          <w:tcPr>
            <w:tcW w:w="5000" w:type="pct"/>
            <w:gridSpan w:val="6"/>
            <w:tcBorders>
              <w:top w:val="nil"/>
              <w:left w:val="nil"/>
              <w:bottom w:val="single" w:sz="4" w:space="0" w:color="auto"/>
              <w:right w:val="nil"/>
            </w:tcBorders>
            <w:shd w:val="clear" w:color="auto" w:fill="auto"/>
            <w:noWrap/>
            <w:vAlign w:val="center"/>
            <w:hideMark/>
          </w:tcPr>
          <w:p w:rsidR="00C25317" w:rsidRPr="00C25317" w:rsidRDefault="009E6271" w:rsidP="00C25317">
            <w:pPr>
              <w:spacing w:before="0" w:after="0" w:line="240" w:lineRule="auto"/>
              <w:jc w:val="center"/>
              <w:rPr>
                <w:rFonts w:eastAsia="Times New Roman"/>
              </w:rPr>
            </w:pPr>
            <w:r w:rsidRPr="009E6271">
              <w:rPr>
                <w:rFonts w:eastAsia="Times New Roman"/>
              </w:rPr>
              <w:t>Eredmény megoszlása közszolgáltató és egyéb tevékenységek között</w:t>
            </w:r>
          </w:p>
        </w:tc>
      </w:tr>
      <w:tr w:rsidR="00C25317" w:rsidRPr="00C25317" w:rsidTr="00C25317">
        <w:trPr>
          <w:trHeight w:val="402"/>
          <w:jc w:val="center"/>
        </w:trPr>
        <w:tc>
          <w:tcPr>
            <w:tcW w:w="1657" w:type="pct"/>
            <w:vMerge w:val="restart"/>
            <w:tcBorders>
              <w:top w:val="nil"/>
              <w:left w:val="single" w:sz="4" w:space="0" w:color="auto"/>
              <w:bottom w:val="double" w:sz="6" w:space="0" w:color="000000"/>
              <w:right w:val="single" w:sz="4" w:space="0" w:color="auto"/>
            </w:tcBorders>
            <w:shd w:val="clear" w:color="auto" w:fill="auto"/>
            <w:noWrap/>
            <w:vAlign w:val="center"/>
            <w:hideMark/>
          </w:tcPr>
          <w:p w:rsidR="00C25317" w:rsidRPr="00C25317" w:rsidRDefault="009E6271" w:rsidP="00C25317">
            <w:pPr>
              <w:spacing w:before="0" w:after="0" w:line="240" w:lineRule="auto"/>
              <w:jc w:val="center"/>
              <w:rPr>
                <w:rFonts w:eastAsia="Times New Roman"/>
              </w:rPr>
            </w:pPr>
            <w:r w:rsidRPr="009E6271">
              <w:rPr>
                <w:rFonts w:eastAsia="Times New Roman"/>
              </w:rPr>
              <w:t>Megnevezés</w:t>
            </w:r>
          </w:p>
        </w:tc>
        <w:tc>
          <w:tcPr>
            <w:tcW w:w="720" w:type="pct"/>
            <w:vMerge w:val="restart"/>
            <w:tcBorders>
              <w:top w:val="nil"/>
              <w:left w:val="single" w:sz="4" w:space="0" w:color="auto"/>
              <w:bottom w:val="single" w:sz="4"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Közszolgált. tevékenység</w:t>
            </w:r>
          </w:p>
        </w:tc>
        <w:tc>
          <w:tcPr>
            <w:tcW w:w="1733" w:type="pct"/>
            <w:gridSpan w:val="3"/>
            <w:tcBorders>
              <w:top w:val="single" w:sz="4" w:space="0" w:color="auto"/>
              <w:left w:val="nil"/>
              <w:bottom w:val="single" w:sz="4"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Egyéb nem közszolgáltatási tevékenység</w:t>
            </w:r>
          </w:p>
        </w:tc>
        <w:tc>
          <w:tcPr>
            <w:tcW w:w="890" w:type="pct"/>
            <w:vMerge w:val="restart"/>
            <w:tcBorders>
              <w:top w:val="nil"/>
              <w:left w:val="single" w:sz="4" w:space="0" w:color="auto"/>
              <w:bottom w:val="single" w:sz="4"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Mindösszesen</w:t>
            </w:r>
          </w:p>
        </w:tc>
      </w:tr>
      <w:tr w:rsidR="00C25317" w:rsidRPr="00C25317" w:rsidTr="00C25317">
        <w:trPr>
          <w:trHeight w:val="402"/>
          <w:jc w:val="center"/>
        </w:trPr>
        <w:tc>
          <w:tcPr>
            <w:tcW w:w="1657" w:type="pct"/>
            <w:vMerge/>
            <w:tcBorders>
              <w:top w:val="nil"/>
              <w:left w:val="single" w:sz="4" w:space="0" w:color="auto"/>
              <w:bottom w:val="double" w:sz="6" w:space="0" w:color="000000"/>
              <w:right w:val="single" w:sz="4" w:space="0" w:color="auto"/>
            </w:tcBorders>
            <w:vAlign w:val="center"/>
            <w:hideMark/>
          </w:tcPr>
          <w:p w:rsidR="00C25317" w:rsidRPr="00C25317" w:rsidRDefault="00C25317" w:rsidP="00C25317">
            <w:pPr>
              <w:spacing w:before="0" w:after="0" w:line="240" w:lineRule="auto"/>
              <w:jc w:val="left"/>
              <w:rPr>
                <w:rFonts w:eastAsia="Times New Roman"/>
              </w:rPr>
            </w:pPr>
          </w:p>
        </w:tc>
        <w:tc>
          <w:tcPr>
            <w:tcW w:w="720" w:type="pct"/>
            <w:vMerge/>
            <w:tcBorders>
              <w:top w:val="nil"/>
              <w:left w:val="single" w:sz="4" w:space="0" w:color="auto"/>
              <w:bottom w:val="single" w:sz="4" w:space="0" w:color="auto"/>
              <w:right w:val="single" w:sz="4" w:space="0" w:color="auto"/>
            </w:tcBorders>
            <w:vAlign w:val="center"/>
            <w:hideMark/>
          </w:tcPr>
          <w:p w:rsidR="00C25317" w:rsidRPr="00C25317" w:rsidRDefault="00C25317" w:rsidP="00C25317">
            <w:pPr>
              <w:spacing w:before="0" w:after="0" w:line="240" w:lineRule="auto"/>
              <w:jc w:val="left"/>
              <w:rPr>
                <w:rFonts w:eastAsia="Times New Roman"/>
                <w:b/>
                <w:bCs/>
              </w:rPr>
            </w:pPr>
          </w:p>
        </w:tc>
        <w:tc>
          <w:tcPr>
            <w:tcW w:w="720" w:type="pct"/>
            <w:vMerge w:val="restart"/>
            <w:tcBorders>
              <w:top w:val="nil"/>
              <w:left w:val="single" w:sz="4" w:space="0" w:color="auto"/>
              <w:bottom w:val="nil"/>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Bérbeadási tevékenység</w:t>
            </w:r>
          </w:p>
        </w:tc>
        <w:tc>
          <w:tcPr>
            <w:tcW w:w="434" w:type="pct"/>
            <w:vMerge w:val="restart"/>
            <w:tcBorders>
              <w:top w:val="nil"/>
              <w:left w:val="single" w:sz="4" w:space="0" w:color="auto"/>
              <w:bottom w:val="nil"/>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Üdülés</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Összesen</w:t>
            </w:r>
          </w:p>
        </w:tc>
        <w:tc>
          <w:tcPr>
            <w:tcW w:w="890" w:type="pct"/>
            <w:vMerge/>
            <w:tcBorders>
              <w:top w:val="nil"/>
              <w:left w:val="single" w:sz="4" w:space="0" w:color="auto"/>
              <w:bottom w:val="single" w:sz="4" w:space="0" w:color="auto"/>
              <w:right w:val="single" w:sz="4" w:space="0" w:color="auto"/>
            </w:tcBorders>
            <w:vAlign w:val="center"/>
            <w:hideMark/>
          </w:tcPr>
          <w:p w:rsidR="00C25317" w:rsidRPr="00C25317" w:rsidRDefault="00C25317" w:rsidP="00C25317">
            <w:pPr>
              <w:spacing w:before="0" w:after="0" w:line="240" w:lineRule="auto"/>
              <w:jc w:val="left"/>
              <w:rPr>
                <w:rFonts w:eastAsia="Times New Roman"/>
                <w:b/>
                <w:bCs/>
              </w:rPr>
            </w:pPr>
          </w:p>
        </w:tc>
      </w:tr>
      <w:tr w:rsidR="00C25317" w:rsidRPr="00C25317" w:rsidTr="00C25317">
        <w:trPr>
          <w:trHeight w:val="402"/>
          <w:jc w:val="center"/>
        </w:trPr>
        <w:tc>
          <w:tcPr>
            <w:tcW w:w="1657" w:type="pct"/>
            <w:vMerge/>
            <w:tcBorders>
              <w:top w:val="nil"/>
              <w:left w:val="single" w:sz="4" w:space="0" w:color="auto"/>
              <w:bottom w:val="double" w:sz="6" w:space="0" w:color="000000"/>
              <w:right w:val="single" w:sz="4" w:space="0" w:color="auto"/>
            </w:tcBorders>
            <w:vAlign w:val="center"/>
            <w:hideMark/>
          </w:tcPr>
          <w:p w:rsidR="00C25317" w:rsidRPr="00C25317" w:rsidRDefault="00C25317" w:rsidP="00C25317">
            <w:pPr>
              <w:spacing w:before="0" w:after="0" w:line="240" w:lineRule="auto"/>
              <w:jc w:val="left"/>
              <w:rPr>
                <w:rFonts w:eastAsia="Times New Roman"/>
              </w:rPr>
            </w:pPr>
          </w:p>
        </w:tc>
        <w:tc>
          <w:tcPr>
            <w:tcW w:w="720" w:type="pct"/>
            <w:vMerge/>
            <w:tcBorders>
              <w:top w:val="nil"/>
              <w:left w:val="single" w:sz="4" w:space="0" w:color="auto"/>
              <w:bottom w:val="single" w:sz="4" w:space="0" w:color="auto"/>
              <w:right w:val="single" w:sz="4" w:space="0" w:color="auto"/>
            </w:tcBorders>
            <w:vAlign w:val="center"/>
            <w:hideMark/>
          </w:tcPr>
          <w:p w:rsidR="00C25317" w:rsidRPr="00C25317" w:rsidRDefault="00C25317" w:rsidP="00C25317">
            <w:pPr>
              <w:spacing w:before="0" w:after="0" w:line="240" w:lineRule="auto"/>
              <w:jc w:val="left"/>
              <w:rPr>
                <w:rFonts w:eastAsia="Times New Roman"/>
                <w:b/>
                <w:bCs/>
              </w:rPr>
            </w:pPr>
          </w:p>
        </w:tc>
        <w:tc>
          <w:tcPr>
            <w:tcW w:w="720" w:type="pct"/>
            <w:vMerge/>
            <w:tcBorders>
              <w:top w:val="nil"/>
              <w:left w:val="single" w:sz="4" w:space="0" w:color="auto"/>
              <w:bottom w:val="nil"/>
              <w:right w:val="single" w:sz="4" w:space="0" w:color="auto"/>
            </w:tcBorders>
            <w:vAlign w:val="center"/>
            <w:hideMark/>
          </w:tcPr>
          <w:p w:rsidR="00C25317" w:rsidRPr="00C25317" w:rsidRDefault="00C25317" w:rsidP="00C25317">
            <w:pPr>
              <w:spacing w:before="0" w:after="0" w:line="240" w:lineRule="auto"/>
              <w:jc w:val="left"/>
              <w:rPr>
                <w:rFonts w:eastAsia="Times New Roman"/>
                <w:b/>
                <w:bCs/>
              </w:rPr>
            </w:pPr>
          </w:p>
        </w:tc>
        <w:tc>
          <w:tcPr>
            <w:tcW w:w="434" w:type="pct"/>
            <w:vMerge/>
            <w:tcBorders>
              <w:top w:val="nil"/>
              <w:left w:val="single" w:sz="4" w:space="0" w:color="auto"/>
              <w:bottom w:val="nil"/>
              <w:right w:val="single" w:sz="4" w:space="0" w:color="auto"/>
            </w:tcBorders>
            <w:vAlign w:val="center"/>
            <w:hideMark/>
          </w:tcPr>
          <w:p w:rsidR="00C25317" w:rsidRPr="00C25317" w:rsidRDefault="00C25317" w:rsidP="00C25317">
            <w:pPr>
              <w:spacing w:before="0" w:after="0" w:line="240" w:lineRule="auto"/>
              <w:jc w:val="left"/>
              <w:rPr>
                <w:rFonts w:eastAsia="Times New Roman"/>
                <w:b/>
                <w:bCs/>
              </w:rPr>
            </w:pPr>
          </w:p>
        </w:tc>
        <w:tc>
          <w:tcPr>
            <w:tcW w:w="578" w:type="pct"/>
            <w:vMerge/>
            <w:tcBorders>
              <w:top w:val="nil"/>
              <w:left w:val="single" w:sz="4" w:space="0" w:color="auto"/>
              <w:bottom w:val="single" w:sz="4" w:space="0" w:color="auto"/>
              <w:right w:val="single" w:sz="4" w:space="0" w:color="auto"/>
            </w:tcBorders>
            <w:vAlign w:val="center"/>
            <w:hideMark/>
          </w:tcPr>
          <w:p w:rsidR="00C25317" w:rsidRPr="00C25317" w:rsidRDefault="00C25317" w:rsidP="00C25317">
            <w:pPr>
              <w:spacing w:before="0" w:after="0" w:line="240" w:lineRule="auto"/>
              <w:jc w:val="left"/>
              <w:rPr>
                <w:rFonts w:eastAsia="Times New Roman"/>
                <w:b/>
                <w:bCs/>
              </w:rPr>
            </w:pPr>
          </w:p>
        </w:tc>
        <w:tc>
          <w:tcPr>
            <w:tcW w:w="890" w:type="pct"/>
            <w:vMerge/>
            <w:tcBorders>
              <w:top w:val="nil"/>
              <w:left w:val="single" w:sz="4" w:space="0" w:color="auto"/>
              <w:bottom w:val="single" w:sz="4" w:space="0" w:color="auto"/>
              <w:right w:val="single" w:sz="4" w:space="0" w:color="auto"/>
            </w:tcBorders>
            <w:vAlign w:val="center"/>
            <w:hideMark/>
          </w:tcPr>
          <w:p w:rsidR="00C25317" w:rsidRPr="00C25317" w:rsidRDefault="00C25317" w:rsidP="00C25317">
            <w:pPr>
              <w:spacing w:before="0" w:after="0" w:line="240" w:lineRule="auto"/>
              <w:jc w:val="left"/>
              <w:rPr>
                <w:rFonts w:eastAsia="Times New Roman"/>
                <w:b/>
                <w:bCs/>
              </w:rPr>
            </w:pPr>
          </w:p>
        </w:tc>
      </w:tr>
      <w:tr w:rsidR="00C25317" w:rsidRPr="00C25317" w:rsidTr="00C25317">
        <w:trPr>
          <w:trHeight w:val="402"/>
          <w:jc w:val="center"/>
        </w:trPr>
        <w:tc>
          <w:tcPr>
            <w:tcW w:w="1657" w:type="pct"/>
            <w:vMerge/>
            <w:tcBorders>
              <w:top w:val="nil"/>
              <w:left w:val="single" w:sz="4" w:space="0" w:color="auto"/>
              <w:bottom w:val="double" w:sz="6" w:space="0" w:color="000000"/>
              <w:right w:val="single" w:sz="4" w:space="0" w:color="auto"/>
            </w:tcBorders>
            <w:vAlign w:val="center"/>
            <w:hideMark/>
          </w:tcPr>
          <w:p w:rsidR="00C25317" w:rsidRPr="00C25317" w:rsidRDefault="00C25317" w:rsidP="00C25317">
            <w:pPr>
              <w:spacing w:before="0" w:after="0" w:line="240" w:lineRule="auto"/>
              <w:jc w:val="left"/>
              <w:rPr>
                <w:rFonts w:eastAsia="Times New Roman"/>
              </w:rPr>
            </w:pPr>
          </w:p>
        </w:tc>
        <w:tc>
          <w:tcPr>
            <w:tcW w:w="720" w:type="pct"/>
            <w:tcBorders>
              <w:top w:val="nil"/>
              <w:left w:val="nil"/>
              <w:bottom w:val="double" w:sz="6"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1</w:t>
            </w:r>
          </w:p>
        </w:tc>
        <w:tc>
          <w:tcPr>
            <w:tcW w:w="720" w:type="pct"/>
            <w:tcBorders>
              <w:top w:val="nil"/>
              <w:left w:val="nil"/>
              <w:bottom w:val="double" w:sz="6"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2</w:t>
            </w:r>
          </w:p>
        </w:tc>
        <w:tc>
          <w:tcPr>
            <w:tcW w:w="434" w:type="pct"/>
            <w:tcBorders>
              <w:top w:val="nil"/>
              <w:left w:val="nil"/>
              <w:bottom w:val="double" w:sz="6"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3</w:t>
            </w:r>
          </w:p>
        </w:tc>
        <w:tc>
          <w:tcPr>
            <w:tcW w:w="578" w:type="pct"/>
            <w:tcBorders>
              <w:top w:val="nil"/>
              <w:left w:val="nil"/>
              <w:bottom w:val="double" w:sz="6"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2 + 3</w:t>
            </w:r>
          </w:p>
        </w:tc>
        <w:tc>
          <w:tcPr>
            <w:tcW w:w="890" w:type="pct"/>
            <w:tcBorders>
              <w:top w:val="nil"/>
              <w:left w:val="nil"/>
              <w:bottom w:val="double" w:sz="6" w:space="0" w:color="auto"/>
              <w:right w:val="single" w:sz="4" w:space="0" w:color="auto"/>
            </w:tcBorders>
            <w:shd w:val="clear" w:color="auto" w:fill="auto"/>
            <w:vAlign w:val="center"/>
            <w:hideMark/>
          </w:tcPr>
          <w:p w:rsidR="00C25317" w:rsidRPr="00C25317" w:rsidRDefault="009E6271" w:rsidP="00C25317">
            <w:pPr>
              <w:spacing w:before="0" w:after="0" w:line="240" w:lineRule="auto"/>
              <w:jc w:val="center"/>
              <w:rPr>
                <w:rFonts w:eastAsia="Times New Roman"/>
                <w:b/>
                <w:bCs/>
              </w:rPr>
            </w:pPr>
            <w:r w:rsidRPr="009E6271">
              <w:rPr>
                <w:rFonts w:eastAsia="Times New Roman"/>
                <w:b/>
                <w:bCs/>
              </w:rPr>
              <w:t>1 + 2 + 3</w:t>
            </w:r>
          </w:p>
        </w:tc>
      </w:tr>
      <w:tr w:rsidR="00C25317" w:rsidRPr="00C25317" w:rsidTr="00C25317">
        <w:trPr>
          <w:trHeight w:val="291"/>
          <w:jc w:val="center"/>
        </w:trPr>
        <w:tc>
          <w:tcPr>
            <w:tcW w:w="1657" w:type="pct"/>
            <w:tcBorders>
              <w:top w:val="nil"/>
              <w:left w:val="single" w:sz="4" w:space="0" w:color="auto"/>
              <w:bottom w:val="single" w:sz="4" w:space="0" w:color="auto"/>
              <w:right w:val="nil"/>
            </w:tcBorders>
            <w:shd w:val="clear" w:color="auto" w:fill="auto"/>
            <w:noWrap/>
            <w:vAlign w:val="center"/>
            <w:hideMark/>
          </w:tcPr>
          <w:p w:rsidR="00C25317" w:rsidRPr="00C25317" w:rsidRDefault="009E6271" w:rsidP="00C25317">
            <w:pPr>
              <w:spacing w:before="0" w:after="0" w:line="240" w:lineRule="auto"/>
              <w:jc w:val="left"/>
              <w:rPr>
                <w:rFonts w:eastAsia="Times New Roman"/>
                <w:b/>
                <w:bCs/>
              </w:rPr>
            </w:pPr>
            <w:r w:rsidRPr="009E6271">
              <w:rPr>
                <w:rFonts w:eastAsia="Times New Roman"/>
                <w:b/>
                <w:bCs/>
              </w:rPr>
              <w:t>Árbevétel</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1 593 706</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37 382</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1 585</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38 967</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1 632 673</w:t>
            </w:r>
          </w:p>
        </w:tc>
      </w:tr>
      <w:tr w:rsidR="00C25317" w:rsidRPr="00C25317" w:rsidTr="00C25317">
        <w:trPr>
          <w:trHeight w:val="291"/>
          <w:jc w:val="center"/>
        </w:trPr>
        <w:tc>
          <w:tcPr>
            <w:tcW w:w="1657" w:type="pct"/>
            <w:tcBorders>
              <w:top w:val="nil"/>
              <w:left w:val="single" w:sz="4" w:space="0" w:color="auto"/>
              <w:bottom w:val="nil"/>
              <w:right w:val="nil"/>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Anyagköltség</w:t>
            </w:r>
          </w:p>
        </w:tc>
        <w:tc>
          <w:tcPr>
            <w:tcW w:w="720" w:type="pct"/>
            <w:tcBorders>
              <w:top w:val="nil"/>
              <w:left w:val="single" w:sz="4" w:space="0" w:color="auto"/>
              <w:bottom w:val="nil"/>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49 490</w:t>
            </w:r>
          </w:p>
        </w:tc>
        <w:tc>
          <w:tcPr>
            <w:tcW w:w="720" w:type="pct"/>
            <w:tcBorders>
              <w:top w:val="nil"/>
              <w:left w:val="nil"/>
              <w:bottom w:val="nil"/>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3 608</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465</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4 073</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53 563</w:t>
            </w:r>
          </w:p>
        </w:tc>
      </w:tr>
      <w:tr w:rsidR="00C25317" w:rsidRPr="00C25317" w:rsidTr="00C25317">
        <w:trPr>
          <w:trHeight w:val="291"/>
          <w:jc w:val="center"/>
        </w:trPr>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xml:space="preserve">Igénybe vett </w:t>
            </w:r>
            <w:proofErr w:type="spellStart"/>
            <w:r w:rsidRPr="009E6271">
              <w:rPr>
                <w:rFonts w:eastAsia="Times New Roman"/>
              </w:rPr>
              <w:t>szolg</w:t>
            </w:r>
            <w:proofErr w:type="spellEnd"/>
            <w:r w:rsidRPr="009E6271">
              <w:rPr>
                <w:rFonts w:eastAsia="Times New Roman"/>
              </w:rPr>
              <w:t>.</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161 101</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7 134</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437</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7 571</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168 672</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xml:space="preserve">Személyi </w:t>
            </w:r>
            <w:proofErr w:type="spellStart"/>
            <w:r w:rsidRPr="009E6271">
              <w:rPr>
                <w:rFonts w:eastAsia="Times New Roman"/>
              </w:rPr>
              <w:t>jell</w:t>
            </w:r>
            <w:proofErr w:type="spellEnd"/>
            <w:r w:rsidRPr="009E6271">
              <w:rPr>
                <w:rFonts w:eastAsia="Times New Roman"/>
              </w:rPr>
              <w:t xml:space="preserve">. </w:t>
            </w:r>
            <w:proofErr w:type="spellStart"/>
            <w:r w:rsidRPr="009E6271">
              <w:rPr>
                <w:rFonts w:eastAsia="Times New Roman"/>
              </w:rPr>
              <w:t>ráford</w:t>
            </w:r>
            <w:proofErr w:type="spellEnd"/>
            <w:r w:rsidRPr="009E6271">
              <w:rPr>
                <w:rFonts w:eastAsia="Times New Roman"/>
              </w:rPr>
              <w:t>.</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1 012 954</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1 737</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1 737</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1 014 691</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xml:space="preserve">Ért. </w:t>
            </w:r>
            <w:proofErr w:type="spellStart"/>
            <w:r w:rsidRPr="009E6271">
              <w:rPr>
                <w:rFonts w:eastAsia="Times New Roman"/>
              </w:rPr>
              <w:t>csökk</w:t>
            </w:r>
            <w:proofErr w:type="spellEnd"/>
            <w:r w:rsidRPr="009E6271">
              <w:rPr>
                <w:rFonts w:eastAsia="Times New Roman"/>
              </w:rPr>
              <w:t>. leírás</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16 680</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911</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803</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1 714</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18 394</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xml:space="preserve">Egyéb közvetlenül </w:t>
            </w:r>
            <w:proofErr w:type="spellStart"/>
            <w:r w:rsidRPr="009E6271">
              <w:rPr>
                <w:rFonts w:eastAsia="Times New Roman"/>
              </w:rPr>
              <w:t>elsz</w:t>
            </w:r>
            <w:proofErr w:type="spellEnd"/>
            <w:r w:rsidRPr="009E6271">
              <w:rPr>
                <w:rFonts w:eastAsia="Times New Roman"/>
              </w:rPr>
              <w:t>. anyag</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0</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0</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proofErr w:type="spellStart"/>
            <w:r w:rsidRPr="009E6271">
              <w:rPr>
                <w:rFonts w:eastAsia="Times New Roman"/>
              </w:rPr>
              <w:t>Faktorálási</w:t>
            </w:r>
            <w:proofErr w:type="spellEnd"/>
            <w:r w:rsidRPr="009E6271">
              <w:rPr>
                <w:rFonts w:eastAsia="Times New Roman"/>
              </w:rPr>
              <w:t xml:space="preserve"> különbözet</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68 440</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0</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68 440</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b/>
                <w:bCs/>
              </w:rPr>
            </w:pPr>
            <w:r w:rsidRPr="009E6271">
              <w:rPr>
                <w:rFonts w:eastAsia="Times New Roman"/>
                <w:b/>
                <w:bCs/>
              </w:rPr>
              <w:t xml:space="preserve">Közvetlenül </w:t>
            </w:r>
            <w:proofErr w:type="spellStart"/>
            <w:r w:rsidRPr="009E6271">
              <w:rPr>
                <w:rFonts w:eastAsia="Times New Roman"/>
                <w:b/>
                <w:bCs/>
              </w:rPr>
              <w:t>elsz</w:t>
            </w:r>
            <w:proofErr w:type="spellEnd"/>
            <w:r w:rsidRPr="009E6271">
              <w:rPr>
                <w:rFonts w:eastAsia="Times New Roman"/>
                <w:b/>
                <w:bCs/>
              </w:rPr>
              <w:t xml:space="preserve">. </w:t>
            </w:r>
            <w:proofErr w:type="spellStart"/>
            <w:r w:rsidRPr="009E6271">
              <w:rPr>
                <w:rFonts w:eastAsia="Times New Roman"/>
                <w:b/>
                <w:bCs/>
              </w:rPr>
              <w:t>össz</w:t>
            </w:r>
            <w:proofErr w:type="spellEnd"/>
            <w:proofErr w:type="gramStart"/>
            <w:r w:rsidRPr="009E6271">
              <w:rPr>
                <w:rFonts w:eastAsia="Times New Roman"/>
                <w:b/>
                <w:bCs/>
              </w:rPr>
              <w:t>.:</w:t>
            </w:r>
            <w:proofErr w:type="gramEnd"/>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1 308 665</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11 653</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3 442</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15 095</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1 323 760</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Fedezeti összeg I.</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285 041</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25 729</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-1 857</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23 872</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308 913</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xml:space="preserve">Üzemi ált. </w:t>
            </w:r>
            <w:proofErr w:type="spellStart"/>
            <w:r w:rsidRPr="009E6271">
              <w:rPr>
                <w:rFonts w:eastAsia="Times New Roman"/>
              </w:rPr>
              <w:t>ktg</w:t>
            </w:r>
            <w:proofErr w:type="spellEnd"/>
            <w:r w:rsidRPr="009E6271">
              <w:rPr>
                <w:rFonts w:eastAsia="Times New Roman"/>
              </w:rPr>
              <w:t>.</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93 294</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831</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245</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1 076</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94 370</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b/>
                <w:bCs/>
              </w:rPr>
            </w:pPr>
            <w:r w:rsidRPr="009E6271">
              <w:rPr>
                <w:rFonts w:eastAsia="Times New Roman"/>
                <w:b/>
                <w:bCs/>
              </w:rPr>
              <w:t>Szűkített önköltség</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1 401 959</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12 484</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3 687</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16 171</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1 418 130</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Fedezeti összeg II.</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191 747</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24 898</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-2 102</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22 796</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214 543</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proofErr w:type="spellStart"/>
            <w:r w:rsidRPr="009E6271">
              <w:rPr>
                <w:rFonts w:eastAsia="Times New Roman"/>
              </w:rPr>
              <w:t>Közp</w:t>
            </w:r>
            <w:proofErr w:type="spellEnd"/>
            <w:r w:rsidRPr="009E6271">
              <w:rPr>
                <w:rFonts w:eastAsia="Times New Roman"/>
              </w:rPr>
              <w:t xml:space="preserve">. </w:t>
            </w:r>
            <w:proofErr w:type="spellStart"/>
            <w:r w:rsidRPr="009E6271">
              <w:rPr>
                <w:rFonts w:eastAsia="Times New Roman"/>
              </w:rPr>
              <w:t>ir</w:t>
            </w:r>
            <w:proofErr w:type="spellEnd"/>
            <w:r w:rsidRPr="009E6271">
              <w:rPr>
                <w:rFonts w:eastAsia="Times New Roman"/>
              </w:rPr>
              <w:t xml:space="preserve">. ált. </w:t>
            </w:r>
            <w:proofErr w:type="spellStart"/>
            <w:r w:rsidRPr="009E6271">
              <w:rPr>
                <w:rFonts w:eastAsia="Times New Roman"/>
              </w:rPr>
              <w:t>ktg</w:t>
            </w:r>
            <w:proofErr w:type="spellEnd"/>
            <w:r w:rsidRPr="009E6271">
              <w:rPr>
                <w:rFonts w:eastAsia="Times New Roman"/>
              </w:rPr>
              <w:t>.</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569 015</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5 067</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1 497</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6 563</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575 578</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b/>
                <w:bCs/>
              </w:rPr>
            </w:pPr>
            <w:r w:rsidRPr="009E6271">
              <w:rPr>
                <w:rFonts w:eastAsia="Times New Roman"/>
                <w:b/>
                <w:bCs/>
              </w:rPr>
              <w:t>Teljes önköltség</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1 970 973</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17 551</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5 184</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22 735</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1 993 708</w:t>
            </w:r>
          </w:p>
        </w:tc>
      </w:tr>
      <w:tr w:rsidR="00C25317" w:rsidRPr="00C25317" w:rsidTr="00C25317">
        <w:trPr>
          <w:trHeight w:val="291"/>
          <w:jc w:val="center"/>
        </w:trPr>
        <w:tc>
          <w:tcPr>
            <w:tcW w:w="1657"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Egyéb és rendkívüli ráfordítások</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169 114</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1 506</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445</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1 951</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171 065</w:t>
            </w:r>
          </w:p>
        </w:tc>
      </w:tr>
      <w:tr w:rsidR="00C25317" w:rsidRPr="00C25317" w:rsidTr="00C25317">
        <w:trPr>
          <w:trHeight w:val="291"/>
          <w:jc w:val="center"/>
        </w:trPr>
        <w:tc>
          <w:tcPr>
            <w:tcW w:w="1657" w:type="pct"/>
            <w:tcBorders>
              <w:top w:val="nil"/>
              <w:left w:val="single" w:sz="4" w:space="0" w:color="auto"/>
              <w:bottom w:val="single" w:sz="4" w:space="0" w:color="auto"/>
              <w:right w:val="nil"/>
            </w:tcBorders>
            <w:shd w:val="clear" w:color="auto" w:fill="auto"/>
            <w:noWrap/>
            <w:vAlign w:val="center"/>
            <w:hideMark/>
          </w:tcPr>
          <w:p w:rsidR="00C25317" w:rsidRPr="00C25317" w:rsidRDefault="009E6271" w:rsidP="00C25317">
            <w:pPr>
              <w:spacing w:before="0" w:after="0" w:line="240" w:lineRule="auto"/>
              <w:jc w:val="left"/>
              <w:rPr>
                <w:rFonts w:eastAsia="Times New Roman"/>
                <w:b/>
                <w:bCs/>
              </w:rPr>
            </w:pPr>
            <w:proofErr w:type="spellStart"/>
            <w:r w:rsidRPr="009E6271">
              <w:rPr>
                <w:rFonts w:eastAsia="Times New Roman"/>
                <w:b/>
                <w:bCs/>
              </w:rPr>
              <w:t>Ktg</w:t>
            </w:r>
            <w:proofErr w:type="spellEnd"/>
            <w:r w:rsidRPr="009E6271">
              <w:rPr>
                <w:rFonts w:eastAsia="Times New Roman"/>
                <w:b/>
                <w:bCs/>
              </w:rPr>
              <w:t xml:space="preserve">. és egyéb </w:t>
            </w:r>
            <w:proofErr w:type="spellStart"/>
            <w:r w:rsidRPr="009E6271">
              <w:rPr>
                <w:rFonts w:eastAsia="Times New Roman"/>
                <w:b/>
                <w:bCs/>
              </w:rPr>
              <w:t>ráford</w:t>
            </w:r>
            <w:proofErr w:type="spellEnd"/>
            <w:r w:rsidRPr="009E6271">
              <w:rPr>
                <w:rFonts w:eastAsia="Times New Roman"/>
                <w:b/>
                <w:bCs/>
              </w:rPr>
              <w:t>. összesen</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2 140 088</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19 056</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5 629</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24 685</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2 164 773</w:t>
            </w:r>
          </w:p>
        </w:tc>
      </w:tr>
      <w:tr w:rsidR="00C25317" w:rsidRPr="00C25317" w:rsidTr="00C25317">
        <w:trPr>
          <w:trHeight w:val="291"/>
          <w:jc w:val="center"/>
        </w:trPr>
        <w:tc>
          <w:tcPr>
            <w:tcW w:w="1657" w:type="pct"/>
            <w:tcBorders>
              <w:top w:val="nil"/>
              <w:left w:val="single" w:sz="4" w:space="0" w:color="auto"/>
              <w:bottom w:val="single" w:sz="4" w:space="0" w:color="auto"/>
              <w:right w:val="nil"/>
            </w:tcBorders>
            <w:shd w:val="clear" w:color="auto" w:fill="auto"/>
            <w:noWrap/>
            <w:vAlign w:val="center"/>
            <w:hideMark/>
          </w:tcPr>
          <w:p w:rsidR="00C25317" w:rsidRPr="00C25317" w:rsidRDefault="009E6271" w:rsidP="00C25317">
            <w:pPr>
              <w:spacing w:before="0" w:after="0" w:line="240" w:lineRule="auto"/>
              <w:jc w:val="left"/>
              <w:rPr>
                <w:rFonts w:eastAsia="Times New Roman"/>
                <w:b/>
                <w:bCs/>
              </w:rPr>
            </w:pPr>
            <w:r w:rsidRPr="009E6271">
              <w:rPr>
                <w:rFonts w:eastAsia="Times New Roman"/>
                <w:b/>
                <w:bCs/>
              </w:rPr>
              <w:t>Üzemi eredmény</w:t>
            </w:r>
          </w:p>
        </w:tc>
        <w:tc>
          <w:tcPr>
            <w:tcW w:w="720" w:type="pct"/>
            <w:tcBorders>
              <w:top w:val="nil"/>
              <w:left w:val="single" w:sz="4" w:space="0" w:color="auto"/>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-546 382</w:t>
            </w:r>
          </w:p>
        </w:tc>
        <w:tc>
          <w:tcPr>
            <w:tcW w:w="72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18 326</w:t>
            </w:r>
          </w:p>
        </w:tc>
        <w:tc>
          <w:tcPr>
            <w:tcW w:w="434"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-4 044</w:t>
            </w:r>
          </w:p>
        </w:tc>
        <w:tc>
          <w:tcPr>
            <w:tcW w:w="578"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14 282</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-532 100</w:t>
            </w:r>
          </w:p>
        </w:tc>
      </w:tr>
      <w:tr w:rsidR="00C25317" w:rsidRPr="00C25317" w:rsidTr="00C25317">
        <w:trPr>
          <w:trHeight w:val="291"/>
          <w:jc w:val="center"/>
        </w:trPr>
        <w:tc>
          <w:tcPr>
            <w:tcW w:w="1657" w:type="pct"/>
            <w:tcBorders>
              <w:top w:val="nil"/>
              <w:left w:val="single" w:sz="4" w:space="0" w:color="auto"/>
              <w:bottom w:val="double" w:sz="6" w:space="0" w:color="auto"/>
              <w:right w:val="nil"/>
            </w:tcBorders>
            <w:shd w:val="clear" w:color="auto" w:fill="auto"/>
            <w:noWrap/>
            <w:vAlign w:val="center"/>
            <w:hideMark/>
          </w:tcPr>
          <w:p w:rsidR="00C25317" w:rsidRPr="00C25317" w:rsidRDefault="009E6271" w:rsidP="00C25317">
            <w:pPr>
              <w:spacing w:before="0" w:after="0" w:line="240" w:lineRule="auto"/>
              <w:jc w:val="left"/>
              <w:rPr>
                <w:rFonts w:eastAsia="Times New Roman"/>
              </w:rPr>
            </w:pPr>
            <w:r w:rsidRPr="009E6271">
              <w:rPr>
                <w:rFonts w:eastAsia="Times New Roman"/>
              </w:rPr>
              <w:t xml:space="preserve">Egyéb és </w:t>
            </w:r>
            <w:proofErr w:type="spellStart"/>
            <w:r w:rsidRPr="009E6271">
              <w:rPr>
                <w:rFonts w:eastAsia="Times New Roman"/>
              </w:rPr>
              <w:t>pü</w:t>
            </w:r>
            <w:proofErr w:type="spellEnd"/>
            <w:r w:rsidRPr="009E6271">
              <w:rPr>
                <w:rFonts w:eastAsia="Times New Roman"/>
              </w:rPr>
              <w:t xml:space="preserve">. </w:t>
            </w:r>
            <w:proofErr w:type="spellStart"/>
            <w:r w:rsidRPr="009E6271">
              <w:rPr>
                <w:rFonts w:eastAsia="Times New Roman"/>
              </w:rPr>
              <w:t>műv</w:t>
            </w:r>
            <w:proofErr w:type="spellEnd"/>
            <w:r w:rsidRPr="009E6271">
              <w:rPr>
                <w:rFonts w:eastAsia="Times New Roman"/>
              </w:rPr>
              <w:t>. bevételek</w:t>
            </w:r>
          </w:p>
        </w:tc>
        <w:tc>
          <w:tcPr>
            <w:tcW w:w="720" w:type="pct"/>
            <w:tcBorders>
              <w:top w:val="nil"/>
              <w:left w:val="single" w:sz="4" w:space="0" w:color="auto"/>
              <w:bottom w:val="double" w:sz="6"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752 016</w:t>
            </w:r>
          </w:p>
        </w:tc>
        <w:tc>
          <w:tcPr>
            <w:tcW w:w="720" w:type="pct"/>
            <w:tcBorders>
              <w:top w:val="nil"/>
              <w:left w:val="nil"/>
              <w:bottom w:val="double" w:sz="6"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6 696</w:t>
            </w:r>
          </w:p>
        </w:tc>
        <w:tc>
          <w:tcPr>
            <w:tcW w:w="434" w:type="pct"/>
            <w:tcBorders>
              <w:top w:val="nil"/>
              <w:left w:val="nil"/>
              <w:bottom w:val="double" w:sz="6"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rPr>
            </w:pPr>
            <w:r w:rsidRPr="009E6271">
              <w:rPr>
                <w:rFonts w:eastAsia="Times New Roman"/>
              </w:rPr>
              <w:t>1 978</w:t>
            </w:r>
          </w:p>
        </w:tc>
        <w:tc>
          <w:tcPr>
            <w:tcW w:w="578" w:type="pct"/>
            <w:tcBorders>
              <w:top w:val="nil"/>
              <w:left w:val="nil"/>
              <w:bottom w:val="double" w:sz="6"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8 674</w:t>
            </w:r>
          </w:p>
        </w:tc>
        <w:tc>
          <w:tcPr>
            <w:tcW w:w="890" w:type="pct"/>
            <w:tcBorders>
              <w:top w:val="nil"/>
              <w:left w:val="nil"/>
              <w:bottom w:val="double" w:sz="6"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760 690</w:t>
            </w:r>
          </w:p>
        </w:tc>
      </w:tr>
      <w:tr w:rsidR="00C25317" w:rsidRPr="00C25317" w:rsidTr="00C25317">
        <w:trPr>
          <w:trHeight w:val="291"/>
          <w:jc w:val="center"/>
        </w:trPr>
        <w:tc>
          <w:tcPr>
            <w:tcW w:w="4110" w:type="pct"/>
            <w:gridSpan w:val="5"/>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C25317" w:rsidRPr="00C25317" w:rsidRDefault="009E6271" w:rsidP="00C25317">
            <w:pPr>
              <w:spacing w:before="0" w:after="0" w:line="240" w:lineRule="auto"/>
              <w:jc w:val="left"/>
              <w:rPr>
                <w:rFonts w:eastAsia="Times New Roman"/>
                <w:b/>
                <w:bCs/>
              </w:rPr>
            </w:pPr>
            <w:r w:rsidRPr="009E6271">
              <w:rPr>
                <w:rFonts w:eastAsia="Times New Roman"/>
                <w:b/>
                <w:bCs/>
              </w:rPr>
              <w:t>Adózás előtti eredmény</w:t>
            </w:r>
          </w:p>
        </w:tc>
        <w:tc>
          <w:tcPr>
            <w:tcW w:w="890" w:type="pct"/>
            <w:tcBorders>
              <w:top w:val="nil"/>
              <w:left w:val="nil"/>
              <w:bottom w:val="single" w:sz="4" w:space="0" w:color="auto"/>
              <w:right w:val="single" w:sz="4" w:space="0" w:color="auto"/>
            </w:tcBorders>
            <w:shd w:val="clear" w:color="auto" w:fill="auto"/>
            <w:noWrap/>
            <w:vAlign w:val="center"/>
            <w:hideMark/>
          </w:tcPr>
          <w:p w:rsidR="00C25317" w:rsidRPr="00C25317" w:rsidRDefault="009E6271" w:rsidP="00C25317">
            <w:pPr>
              <w:spacing w:before="0" w:after="0" w:line="240" w:lineRule="auto"/>
              <w:jc w:val="right"/>
              <w:rPr>
                <w:rFonts w:eastAsia="Times New Roman"/>
                <w:b/>
                <w:bCs/>
              </w:rPr>
            </w:pPr>
            <w:r w:rsidRPr="009E6271">
              <w:rPr>
                <w:rFonts w:eastAsia="Times New Roman"/>
                <w:b/>
                <w:bCs/>
              </w:rPr>
              <w:t>228 590</w:t>
            </w:r>
          </w:p>
        </w:tc>
      </w:tr>
    </w:tbl>
    <w:p w:rsidR="00B123E4" w:rsidRDefault="00B123E4" w:rsidP="00996DC7"/>
    <w:p w:rsidR="00C96D37" w:rsidRDefault="00C96D37" w:rsidP="00996DC7"/>
    <w:p w:rsidR="00D7716B" w:rsidRDefault="00D7716B" w:rsidP="00EB2797">
      <w:pPr>
        <w:pStyle w:val="Cmsor2"/>
        <w:rPr>
          <w:rFonts w:eastAsia="Times New Roman"/>
        </w:rPr>
      </w:pPr>
      <w:bookmarkStart w:id="78" w:name="_Toc387414954"/>
      <w:bookmarkStart w:id="79" w:name="_Toc387415236"/>
      <w:bookmarkStart w:id="80" w:name="_Toc389041325"/>
      <w:bookmarkEnd w:id="78"/>
      <w:bookmarkEnd w:id="79"/>
      <w:r>
        <w:rPr>
          <w:rFonts w:eastAsia="Times New Roman"/>
        </w:rPr>
        <w:lastRenderedPageBreak/>
        <w:t>Díjkompenzációval való elszámolás</w:t>
      </w:r>
      <w:bookmarkEnd w:id="80"/>
    </w:p>
    <w:p w:rsidR="00D7716B" w:rsidRDefault="00D7716B" w:rsidP="00D7716B">
      <w:pPr>
        <w:rPr>
          <w:rFonts w:ascii="Calibri" w:hAnsi="Calibri" w:cs="Times New Roman"/>
        </w:rPr>
      </w:pPr>
      <w:r>
        <w:t xml:space="preserve">A Fővárosi Közgyűlés megalkotta a kéményseprő-ipari közszolgáltatásról szóló 14/2013. (III. 18.) Főv. Kgy. </w:t>
      </w:r>
      <w:proofErr w:type="gramStart"/>
      <w:r>
        <w:t>rendeletét</w:t>
      </w:r>
      <w:proofErr w:type="gramEnd"/>
      <w:r>
        <w:t>, mely rendezte a közszolgáltatás ellátásának kereteit, beleértve a közszolgáltatás díjait is.</w:t>
      </w:r>
    </w:p>
    <w:p w:rsidR="00D7716B" w:rsidRDefault="00D7716B" w:rsidP="00D7716B">
      <w:r>
        <w:t xml:space="preserve">2013. július 1-jén a 347/2012 (XII.11) kormányrendelet módosulásával az egységnyi munkaráfordítás maximális összege 4000 Ft-ról 2000 Ft-ra csökkent. Az egységnyi munkaráfordítás díját a 2013. április 1-jével hatályba lépő a kéményseprő-ipari közszolgáltatásról szóló 14/2013. (III. 18.) Főv. Kgy. </w:t>
      </w:r>
      <w:proofErr w:type="gramStart"/>
      <w:r>
        <w:t>rendelet</w:t>
      </w:r>
      <w:proofErr w:type="gramEnd"/>
      <w:r>
        <w:t xml:space="preserve"> 3564 Ft-ban állapította meg. Az Önkormányzat 2013. július 1-jével hatályba lépő rendeletmódosításával az egységnyi munkaráfordítás összegét a kormányrendeletben meghatározott 2000 Ft-ra csökkentette. A közszolgáltatási díj csökkentése a Társaság számára a közszolgáltatási szerződés 1. számú módosítása szerinti kalkulációk szerint </w:t>
      </w:r>
      <w:r>
        <w:rPr>
          <w:b/>
          <w:bCs/>
        </w:rPr>
        <w:t>390 millió Forint</w:t>
      </w:r>
      <w:r>
        <w:t xml:space="preserve"> kiesést okozna 2013. évben.</w:t>
      </w:r>
    </w:p>
    <w:p w:rsidR="00B123E4" w:rsidRDefault="00B123E4" w:rsidP="00B123E4">
      <w:r>
        <w:t xml:space="preserve">Mindezek miatt a Fővárosi közgyűlés a közszolgáltatási szerződés 1. számú módosításával összesen 390 </w:t>
      </w:r>
      <w:proofErr w:type="spellStart"/>
      <w:r>
        <w:t>MFt</w:t>
      </w:r>
      <w:proofErr w:type="spellEnd"/>
      <w:r>
        <w:t xml:space="preserve"> Díjkompenzációt nyújtott a Társaságnak utólagos elszámolással.</w:t>
      </w:r>
    </w:p>
    <w:p w:rsidR="00B123E4" w:rsidRDefault="00B123E4" w:rsidP="00B123E4">
      <w:r>
        <w:t>Társaságunk a 2013 évi beszámoló elkészítése során külön mellékletben részletezte a Díjkompenzáció és a Kompenzáció felhasználást és az azzal történő elszámolását, mely jelen jelentés 1. számú mellékletét képezi.</w:t>
      </w:r>
    </w:p>
    <w:p w:rsidR="00B123E4" w:rsidRDefault="00B123E4" w:rsidP="00B123E4">
      <w:r>
        <w:t xml:space="preserve">Az elszámolásban megállapításra került, hogy Díjkompenzáció tekintetében a sormunka árbevételénél az árbevétel kiesés 10.234 </w:t>
      </w:r>
      <w:proofErr w:type="spellStart"/>
      <w:r>
        <w:t>eFt-tal</w:t>
      </w:r>
      <w:proofErr w:type="spellEnd"/>
      <w:r>
        <w:t xml:space="preserve"> alacsonyabb volt a kalkuláltnál, illetőleg a Társaság vezetése a beruházások elhalasztásával és a költségek racionalizálásával hitelfelvétel nélkül tudta biztosítani a közszolgáltatási feladatok ellátását, így a pénzügyi műveletek eredménye sem csökkent 8 </w:t>
      </w:r>
      <w:proofErr w:type="spellStart"/>
      <w:r>
        <w:t>MFt-tal</w:t>
      </w:r>
      <w:proofErr w:type="spellEnd"/>
      <w:r>
        <w:t>.</w:t>
      </w:r>
    </w:p>
    <w:p w:rsidR="00B123E4" w:rsidRDefault="00B123E4" w:rsidP="00B123E4">
      <w:r>
        <w:t xml:space="preserve">Fentiek miatt a Társaságnak 18.234 </w:t>
      </w:r>
      <w:proofErr w:type="spellStart"/>
      <w:r>
        <w:t>eFt</w:t>
      </w:r>
      <w:proofErr w:type="spellEnd"/>
      <w:r>
        <w:t xml:space="preserve"> visszafizetési kötelezettsége keletkezett Díjkompenzáció jogcímén, mely összeget a 2013 évi beszámolóban már elhatároltuk.</w:t>
      </w:r>
    </w:p>
    <w:p w:rsidR="00B123E4" w:rsidRDefault="00B123E4" w:rsidP="00B123E4">
      <w:pPr>
        <w:pStyle w:val="Cmsor2"/>
        <w:rPr>
          <w:rFonts w:eastAsia="Times New Roman"/>
        </w:rPr>
      </w:pPr>
      <w:bookmarkStart w:id="81" w:name="_Toc389041326"/>
      <w:r>
        <w:rPr>
          <w:rFonts w:eastAsia="Times New Roman"/>
        </w:rPr>
        <w:t>Kompenzációval való elszámolás</w:t>
      </w:r>
      <w:bookmarkEnd w:id="81"/>
    </w:p>
    <w:p w:rsidR="00D7716B" w:rsidRDefault="00B123E4" w:rsidP="00D7716B">
      <w:r>
        <w:t xml:space="preserve">A díjváltozás </w:t>
      </w:r>
      <w:r w:rsidR="00D7716B">
        <w:t>mellett a megjelenő új kéményseprő-ipari közszolgáltatásról szóló 2012 évi XC törvény és a kéményseprő-ipari közszolgáltatás ellátásának szakmai szabályairól szóló 63/2012. (XII.11.) BM rendelet olyan többletfeladatok ellátását írták elő a közszolgáltatás teljesítéséhez, amelyek miatt 2013. évben 150 millió Forint többletkiadás jelentkezik az előző évekhez képest a Társaság számára.</w:t>
      </w:r>
    </w:p>
    <w:p w:rsidR="00D7716B" w:rsidRDefault="00D7716B" w:rsidP="00D7716B">
      <w:r>
        <w:t xml:space="preserve">Mindezek miatt a Fővárosi közgyűlés a közszolgáltatási szerződés 1. számú módosításával összesen </w:t>
      </w:r>
      <w:r w:rsidR="00B123E4">
        <w:t>150</w:t>
      </w:r>
      <w:r>
        <w:t xml:space="preserve"> </w:t>
      </w:r>
      <w:proofErr w:type="spellStart"/>
      <w:r>
        <w:t>MFt</w:t>
      </w:r>
      <w:proofErr w:type="spellEnd"/>
      <w:r>
        <w:t xml:space="preserve"> Kompenzációt nyújtott a Társaságnak utólagos elszámolással.</w:t>
      </w:r>
    </w:p>
    <w:p w:rsidR="00D7716B" w:rsidRDefault="00D7716B" w:rsidP="00D7716B">
      <w:r>
        <w:t>Társaságunk a 2013 évi beszámoló elkészítése során külön mellékletben részletezte a Díjkompenzáció és a Kompenzáció felhasználást és az azzal történő elszámolását, mely jelen jelentés 1. számú mellékletét képezi.</w:t>
      </w:r>
    </w:p>
    <w:p w:rsidR="00D7716B" w:rsidRDefault="00D7716B" w:rsidP="00D7716B">
      <w:r>
        <w:t xml:space="preserve">Kompenzáció jogcímén kapott 150 </w:t>
      </w:r>
      <w:proofErr w:type="spellStart"/>
      <w:r>
        <w:t>MFt-ból</w:t>
      </w:r>
      <w:proofErr w:type="spellEnd"/>
      <w:r>
        <w:t xml:space="preserve"> 28,8 </w:t>
      </w:r>
      <w:proofErr w:type="spellStart"/>
      <w:r>
        <w:t>MFt</w:t>
      </w:r>
      <w:proofErr w:type="spellEnd"/>
      <w:r>
        <w:t xml:space="preserve"> nem került felhasználásra a táblázatban szereplő elszámolás szerint. E mellett fontos megemlíteni, hogy a felhasznált összegből 41.230 </w:t>
      </w:r>
      <w:proofErr w:type="spellStart"/>
      <w:r>
        <w:t>eFt-t</w:t>
      </w:r>
      <w:proofErr w:type="spellEnd"/>
      <w:r>
        <w:t xml:space="preserve"> elköltött ugyan a társaság, de annak költségként történő elszámolására csak </w:t>
      </w:r>
      <w:r>
        <w:lastRenderedPageBreak/>
        <w:t xml:space="preserve">2014-ben lesz lehetőség. A beszerzett eszközök, nyomtatványok, munkaruhák a kiadás időpontjában kerülnek </w:t>
      </w:r>
      <w:proofErr w:type="spellStart"/>
      <w:r>
        <w:t>költségnemre</w:t>
      </w:r>
      <w:proofErr w:type="spellEnd"/>
      <w:r>
        <w:t xml:space="preserve"> elszámolásra, kiadásukig a készletek között mutatjuk ki.</w:t>
      </w:r>
    </w:p>
    <w:p w:rsidR="00D7716B" w:rsidRDefault="00D7716B" w:rsidP="00D7716B">
      <w:r>
        <w:t xml:space="preserve">A 28,8 </w:t>
      </w:r>
      <w:proofErr w:type="spellStart"/>
      <w:r>
        <w:t>MFt</w:t>
      </w:r>
      <w:proofErr w:type="spellEnd"/>
      <w:r>
        <w:t xml:space="preserve"> visszafizetési kötelezettség a füstpatron beszerzésének elmaradásából, illetőleg a 42 fő kéményseprő felvételének alacsonyabb szintű teljesítéséből fakadó bérmegtakarításból adódik.</w:t>
      </w:r>
    </w:p>
    <w:p w:rsidR="00D7716B" w:rsidRDefault="00D7716B" w:rsidP="00D7716B">
      <w:r>
        <w:t xml:space="preserve">Fentiek miatt a Társaságnak 28.800 </w:t>
      </w:r>
      <w:proofErr w:type="spellStart"/>
      <w:r>
        <w:t>eFt</w:t>
      </w:r>
      <w:proofErr w:type="spellEnd"/>
      <w:r>
        <w:t xml:space="preserve"> visszafizetési kötelezettsége keletkezett Kompenzáció jogcímén, mely összeget a 2013 évi beszámolóban már elhatároltuk.</w:t>
      </w:r>
    </w:p>
    <w:p w:rsidR="00000D04" w:rsidRPr="00000D04" w:rsidRDefault="00000D04" w:rsidP="00902B08">
      <w:pPr>
        <w:pStyle w:val="Cmsor2"/>
      </w:pPr>
      <w:bookmarkStart w:id="82" w:name="_Toc389041327"/>
      <w:bookmarkStart w:id="83" w:name="_Toc389041328"/>
      <w:bookmarkEnd w:id="82"/>
      <w:r w:rsidRPr="00000D04">
        <w:t>Szakmai, szolgáltatói kapcsolat</w:t>
      </w:r>
      <w:bookmarkEnd w:id="83"/>
    </w:p>
    <w:p w:rsidR="00000D04" w:rsidRPr="00FC07FC" w:rsidRDefault="00000D04" w:rsidP="00996DC7">
      <w:r w:rsidRPr="00FC07FC">
        <w:t xml:space="preserve">Közszolgáltatási kötelezettségeink ellátása során társaságunk a Közszolgáltatási Szerződés 5. pontjában foglaltak szerint rendszeres szakmai, szolgáltatói kapcsolatot tart fenn és szorosan együttműködik a FŐGÁZ Földgázelosztási </w:t>
      </w:r>
      <w:proofErr w:type="spellStart"/>
      <w:r w:rsidRPr="00FC07FC">
        <w:t>Kft.-vel</w:t>
      </w:r>
      <w:proofErr w:type="spellEnd"/>
      <w:r w:rsidRPr="00FC07FC">
        <w:t xml:space="preserve"> (jogszabályi kötelezettségek, szolgáltatásaink kapcsolódásai révén). Együttműködésünk mintegy 15 éves múltra tekint vissza, melyet Együttműködési Megállapodás keretében végzünk. </w:t>
      </w:r>
    </w:p>
    <w:p w:rsidR="00000D04" w:rsidRPr="00FC07FC" w:rsidRDefault="00000D04" w:rsidP="00996DC7">
      <w:r w:rsidRPr="00FC07FC">
        <w:t>Társaságaink az ügyfeleink hatékonyabb kiszolgálása céljából, műszaki és egyéb szakmai kérdésekben folyamatosan egyeztetéseket tartanak.</w:t>
      </w:r>
    </w:p>
    <w:p w:rsidR="00000D04" w:rsidRPr="00FC07FC" w:rsidRDefault="00000D04" w:rsidP="00996DC7">
      <w:r w:rsidRPr="00FC07FC">
        <w:t>Tárgyidőszakban a folyamatos kapcsolattartás mellett az együttműködés sikeres volt.</w:t>
      </w:r>
    </w:p>
    <w:p w:rsidR="00000D04" w:rsidRPr="00000D04" w:rsidRDefault="00000D04" w:rsidP="00902B08">
      <w:pPr>
        <w:pStyle w:val="Cmsor2"/>
      </w:pPr>
      <w:bookmarkStart w:id="84" w:name="_Toc389041329"/>
      <w:r w:rsidRPr="00000D04">
        <w:t>Önkormányzat tájékoztatása</w:t>
      </w:r>
      <w:bookmarkEnd w:id="84"/>
    </w:p>
    <w:p w:rsidR="00000D04" w:rsidRPr="00FC07FC" w:rsidRDefault="00000D04" w:rsidP="00996DC7">
      <w:r w:rsidRPr="00FC07FC">
        <w:t>Társaságunk a kéményseprő-ipari közszolgáltatással kapcsolatos tájékoztatásokat az érintett Önkormányzatok felé a Tárgyidőszakban is megtette.</w:t>
      </w:r>
    </w:p>
    <w:p w:rsidR="00000D04" w:rsidRPr="00000D04" w:rsidRDefault="00000D04" w:rsidP="00902B08">
      <w:pPr>
        <w:pStyle w:val="Cmsor2"/>
      </w:pPr>
      <w:bookmarkStart w:id="85" w:name="_Toc389041330"/>
      <w:r w:rsidRPr="00000D04">
        <w:t>Összeférhetetlen tevékenység</w:t>
      </w:r>
      <w:bookmarkEnd w:id="85"/>
    </w:p>
    <w:p w:rsidR="00000D04" w:rsidRPr="00FC07FC" w:rsidRDefault="00000D04" w:rsidP="00996DC7">
      <w:r w:rsidRPr="00FC07FC">
        <w:t>Társaságunk a működési területén, a vonatkozó jogszabályban összeférhetetlennek minősített kémény-kivitelezési tevékenységet a Tárgyidőszakban sem végzett.</w:t>
      </w:r>
      <w:r w:rsidR="00FC07FC">
        <w:t xml:space="preserve"> A jogszabályi előírásokon túlmenően 2012-ben Társaságunk összeférhetetlenségi nyilatkozatot, illetve további munkaviszonyról, egyéb jogviszonyról és vezetői tisztségviselői funkcióról szóló nyilatkozatot dolgozott ki munkavállalói részére, amelyet 2013-ban a munkavállalók aláírtak.</w:t>
      </w:r>
      <w:r w:rsidR="00BC2014">
        <w:t xml:space="preserve"> E mellett 2013-ban a Társaság vezet</w:t>
      </w:r>
      <w:r w:rsidR="00BE0025">
        <w:t>őinek kötelező jelleggel előírásra került a vagyonnyilatkozat tételre vonatkozó köztelezettség.</w:t>
      </w:r>
    </w:p>
    <w:p w:rsidR="00000D04" w:rsidRDefault="003B5E72" w:rsidP="00902B08">
      <w:pPr>
        <w:pStyle w:val="Cmsor2"/>
      </w:pPr>
      <w:bookmarkStart w:id="86" w:name="_Toc389041331"/>
      <w:r>
        <w:t>Felelősségbiztosítás</w:t>
      </w:r>
      <w:bookmarkEnd w:id="86"/>
    </w:p>
    <w:p w:rsidR="003B5E72" w:rsidRDefault="003B5E72" w:rsidP="00996DC7">
      <w:r w:rsidRPr="003B5E72">
        <w:t>Társaságunk a kéményseprő-ipari közszolgáltatási tevékenységének ellátásához folyamatos szakmai felelősségbiztosítással rendelkezik.</w:t>
      </w:r>
    </w:p>
    <w:p w:rsidR="00000D04" w:rsidRPr="00000D04" w:rsidRDefault="00000D04" w:rsidP="00902B08">
      <w:pPr>
        <w:pStyle w:val="Cmsor1"/>
      </w:pPr>
      <w:bookmarkStart w:id="87" w:name="_Toc387415242"/>
      <w:bookmarkStart w:id="88" w:name="_Toc389041332"/>
      <w:bookmarkEnd w:id="87"/>
      <w:r w:rsidRPr="00000D04">
        <w:lastRenderedPageBreak/>
        <w:t>Egyebek</w:t>
      </w:r>
      <w:bookmarkEnd w:id="88"/>
    </w:p>
    <w:p w:rsidR="00000D04" w:rsidRPr="00000D04" w:rsidRDefault="00000D04" w:rsidP="00902B08">
      <w:pPr>
        <w:pStyle w:val="Cmsor2"/>
      </w:pPr>
      <w:bookmarkStart w:id="89" w:name="_Toc389041333"/>
      <w:r w:rsidRPr="00000D04">
        <w:t>Műszaki előírások, szabványok</w:t>
      </w:r>
      <w:bookmarkEnd w:id="89"/>
    </w:p>
    <w:p w:rsidR="00000D04" w:rsidRPr="00FC07FC" w:rsidRDefault="00000D04" w:rsidP="00996DC7">
      <w:r w:rsidRPr="00FC07FC">
        <w:t>Társaságunk rendkívül nagy hangsúlyt fektet</w:t>
      </w:r>
      <w:r w:rsidR="002D2D0C">
        <w:t xml:space="preserve"> arra</w:t>
      </w:r>
      <w:r w:rsidRPr="00FC07FC">
        <w:t>, hogy folyamatosan rendelkezésünkre álljanak az EU-s kéményszabványok, ill. a közszolgáltatást érintő és nemzeti szabvánnyá nyilvánított magyar szabványok.</w:t>
      </w:r>
    </w:p>
    <w:p w:rsidR="00000D04" w:rsidRPr="00FC07FC" w:rsidRDefault="00000D04" w:rsidP="00996DC7">
      <w:r w:rsidRPr="00FC07FC">
        <w:t>Ezek forrása az MSZT (Magyar Szabványügyi Testület) folyóirata, melyet, mint a testület tagja, on-line hozzáféréssel rendeltünk meg. Egyébként a kéményekkel (égéstermék-elvezetőkkel) kapcsolatos valamennyi érvényes szabvány Társaságunknál megtalálható.</w:t>
      </w:r>
    </w:p>
    <w:p w:rsidR="00000D04" w:rsidRPr="00FC07FC" w:rsidRDefault="00000D04" w:rsidP="00996DC7">
      <w:r w:rsidRPr="00FC07FC">
        <w:t xml:space="preserve">Az MSZ 845:2012 Égéstermék-elvezető berendezések című szabvány </w:t>
      </w:r>
      <w:r w:rsidR="00BE0025">
        <w:t xml:space="preserve">2012 évi </w:t>
      </w:r>
      <w:r w:rsidRPr="00FC07FC">
        <w:t xml:space="preserve">átdolgozásában társaságunk szakemberei </w:t>
      </w:r>
      <w:r w:rsidR="00BE0025">
        <w:t>j</w:t>
      </w:r>
      <w:r w:rsidRPr="00FC07FC">
        <w:t>elentős szerepet vállaltak.</w:t>
      </w:r>
    </w:p>
    <w:p w:rsidR="00000D04" w:rsidRPr="00000D04" w:rsidRDefault="00000D04" w:rsidP="00902B08">
      <w:pPr>
        <w:pStyle w:val="Cmsor2"/>
      </w:pPr>
      <w:bookmarkStart w:id="90" w:name="_Toc389041334"/>
      <w:r w:rsidRPr="00000D04">
        <w:t>Szolgáltatási segédlet</w:t>
      </w:r>
      <w:bookmarkEnd w:id="90"/>
    </w:p>
    <w:p w:rsidR="00000D04" w:rsidRPr="00FC07FC" w:rsidRDefault="00000D04" w:rsidP="00996DC7">
      <w:r w:rsidRPr="00FC07FC">
        <w:t xml:space="preserve">A vonatkozó műszaki és jogi előírások figyelembevételével 2010. évben szolgáltatási segédletet készítettünk, ami az építésügyi hatósági eljárásokhoz kapcsolódó égéstermék-elvezető berendezések vizsgálatához nyújt hasznos ismereteket szakembereinknek. </w:t>
      </w:r>
      <w:r w:rsidR="00BE0025">
        <w:t xml:space="preserve">A 2012-ben megjelenő új jogszabályok hatására a segédlet felülvizsgálatra, átdolgozásra került. Egyebekben a </w:t>
      </w:r>
      <w:r w:rsidRPr="00FC07FC">
        <w:t xml:space="preserve">segédlet alkalmazása </w:t>
      </w:r>
      <w:r w:rsidR="00BE0025">
        <w:t>a t</w:t>
      </w:r>
      <w:r w:rsidRPr="00FC07FC">
        <w:t>árgyidőszakban folyamatos volt.</w:t>
      </w:r>
    </w:p>
    <w:p w:rsidR="00000D04" w:rsidRPr="00000D04" w:rsidRDefault="00000D04" w:rsidP="00902B08">
      <w:pPr>
        <w:pStyle w:val="Cmsor2"/>
      </w:pPr>
      <w:bookmarkStart w:id="91" w:name="_Toc389041335"/>
      <w:r w:rsidRPr="00000D04">
        <w:t>Minőség- és környezetirányítási rendszerünk</w:t>
      </w:r>
      <w:bookmarkEnd w:id="91"/>
    </w:p>
    <w:p w:rsidR="00000D04" w:rsidRPr="00FC07FC" w:rsidRDefault="00FC07FC" w:rsidP="00996DC7">
      <w:r w:rsidRPr="00FC07FC">
        <w:t>A társadalmi</w:t>
      </w:r>
      <w:r w:rsidR="00000D04" w:rsidRPr="00FC07FC">
        <w:t xml:space="preserve"> és a munkavállalói elvárások, a gazdasági szempontok, valamint a hatékony működés közötti összhang megteremtése, ill. folyamatos fenntartása, továbbá a környezeti tevékenységek színvonalának emelése Társaságunk mindenkori törekvései közé tartozott.</w:t>
      </w:r>
    </w:p>
    <w:p w:rsidR="00000D04" w:rsidRPr="00FC07FC" w:rsidRDefault="00000D04" w:rsidP="00996DC7">
      <w:r w:rsidRPr="00FC07FC">
        <w:t>E cél érdekében 1999-től folyamatosan működtetjük minőségügyi, minőségirányítási rendszerünket. Kezdetben az ISO 9002 szabvány szerinti rendszert alakítottuk ki, melyet 2003-tól Integrált Minőség- és Környezet Irányítási Rendszerré (IMKIR) fejlesztettünk.</w:t>
      </w:r>
      <w:r w:rsidRPr="00FC07FC">
        <w:cr/>
        <w:t>E munka eredményeként Társaságunk IMK</w:t>
      </w:r>
      <w:r w:rsidR="00F9102F">
        <w:t>I</w:t>
      </w:r>
      <w:r w:rsidRPr="00FC07FC">
        <w:t>R rendszere megfelel az ISO 9001:2008 és az ISO 14001:2004 szabványok által támasztott követelményeknek.</w:t>
      </w:r>
    </w:p>
    <w:p w:rsidR="00000D04" w:rsidRDefault="00000D04" w:rsidP="00996DC7">
      <w:r w:rsidRPr="00FC07FC">
        <w:t>A tanúsítványokat kiállító társaság évente rendszerfelügyeleti audit keretében felülvizsgálja működésünket. Tanúsítványainkat három évenként megújítjuk az érvényben lévő előírásoknak megfelelően.</w:t>
      </w:r>
      <w:r w:rsidR="00FC07FC">
        <w:t xml:space="preserve"> </w:t>
      </w:r>
      <w:r w:rsidRPr="00FC07FC">
        <w:t>Tárgyidőszakra vonatkozóan az aktuális külső és belső auditok megtörténtek, tanúsítványunk érvényessége folyamatos.</w:t>
      </w:r>
    </w:p>
    <w:p w:rsidR="00FC07FC" w:rsidRPr="00FC07FC" w:rsidRDefault="00FC07FC" w:rsidP="00996DC7">
      <w:r w:rsidRPr="00FC07FC">
        <w:t>Társaságunk által végzett, fentebb részletezett tevékenységek nem okoznak környezet-szennyezést és ellátásuk nem jár környezetterheléssel. A FŐKÉTÜSZ KFT telephelyein nem végzünk olyan tevékenységet, mely akkumulátorok, és egyéb veszélyes hulladékok gyűjtését, vagy tárolását tenné szükségessé. Kisebb mennyiségű hulladék keletkezik a cég telephelyein (elsősorban papír hulladék), melyeket feljogosított vállalkozóknak adunk át. A keletkezett hulladékokról évente jelentést készít</w:t>
      </w:r>
      <w:r w:rsidR="002D2D0C">
        <w:t>ünk</w:t>
      </w:r>
      <w:r w:rsidRPr="00FC07FC">
        <w:t xml:space="preserve"> az illetékes hatóság részére.</w:t>
      </w:r>
    </w:p>
    <w:p w:rsidR="00FC07FC" w:rsidRPr="00FC07FC" w:rsidRDefault="00FC07FC" w:rsidP="00996DC7">
      <w:r w:rsidRPr="00FC07FC">
        <w:t xml:space="preserve">A Rákospatak utcai telephelyen a kazánok légszennyező anyag kibocsátását rendszeresen vizsgáltatjuk. A kibocsátási értékeket összevetve a hatóság által megadott határértékkel </w:t>
      </w:r>
      <w:r w:rsidRPr="00FC07FC">
        <w:lastRenderedPageBreak/>
        <w:t>megállapítható, hogy a telephelyen működő kazánok nem okoznak légszennyezést, emisszió csökkentésre vonatkozó hatósági kötelezettség nem áll fenn.</w:t>
      </w:r>
    </w:p>
    <w:p w:rsidR="00FC07FC" w:rsidRDefault="00FC07FC" w:rsidP="00902B08">
      <w:pPr>
        <w:pStyle w:val="Cmsor1"/>
      </w:pPr>
      <w:bookmarkStart w:id="92" w:name="_Toc387415247"/>
      <w:bookmarkStart w:id="93" w:name="_Toc389041336"/>
      <w:bookmarkEnd w:id="92"/>
      <w:r>
        <w:t>Kitekintés</w:t>
      </w:r>
      <w:bookmarkEnd w:id="93"/>
    </w:p>
    <w:p w:rsidR="0090531E" w:rsidRDefault="00BE0025" w:rsidP="00996DC7">
      <w:r>
        <w:t xml:space="preserve">Az elmúlt időszakban a folyamatosan változó jogszabályi környezet folytán Társaságunk jelentős erőforrásokat allokált a változásból fakadó kötelezettségeinek teljesítésére, az üzleti tervek és a munkaszervezés módosítására. E mellett a likviditás fenntarthatóságát is biztosítani kellett, úgy, hogy a jogszabályi előírások és a Fővárosi Önkormányzattal kötött szerződés szerinti közszolgáltatási feladatokat maradéktalanul el kellett látni. A hatékonyabb közszolgáltatási feladatok ellátása érdekében a közszolgáltatási szerződésünk módosításával a likviditási helyzetet sikerült stabilizálni. A stabilizáció eredményeként megteremtődött a lehetőség, hogy 2014 évben végrehajtásra kerüljön a kirendeltségek összevonása, elkészüljön az iparág specifikus, kéményseprő-ipari szolgáltatásra adaptált informatikai rendszerünk, egységesítésre kerüljön a számlázási rendszerünk, felkészüljünk és megfeleljünk a 2015 évi jogszabályi előírásoknak megfelelő feladatok elvégzésére. Mindezt csak megfelelő finanszírozás mellett lehetséges, stabil jogszabályi környezetben. A rezsicsökkentés következtében 2014-2015 években jelentős eredménnyel Társaságunk már nem számol. Hosszabb távon fenntartható működést, csak szigorú, az előzetes működési tervekhez igazodó feladatellátás és rendszeres díjkompenzációból származó forrás rendelkezésre állása mellett lehet csak garantálni. </w:t>
      </w:r>
    </w:p>
    <w:p w:rsidR="0090531E" w:rsidRDefault="0090531E" w:rsidP="0090531E">
      <w:pPr>
        <w:spacing w:before="240"/>
      </w:pPr>
      <w:r>
        <w:t>A Társaság kockázatkezelési rendszerének kialakítására és vállalati döntési kultúra általános részévé tételére 2014 év folyamán kerül sor. Ennek során olyan új, úgynevezett védelmi vonalak kiépítését és működtetését tűzi ki célul a Társaság, amelyek elősegítik:</w:t>
      </w:r>
    </w:p>
    <w:p w:rsidR="0090531E" w:rsidRDefault="0090531E" w:rsidP="0090531E">
      <w:pPr>
        <w:pStyle w:val="Listaszerbekezds"/>
        <w:numPr>
          <w:ilvl w:val="0"/>
          <w:numId w:val="36"/>
        </w:numPr>
        <w:jc w:val="left"/>
      </w:pPr>
      <w:r>
        <w:t xml:space="preserve">a szervezet </w:t>
      </w:r>
      <w:proofErr w:type="spellStart"/>
      <w:r>
        <w:t>prudens</w:t>
      </w:r>
      <w:proofErr w:type="spellEnd"/>
      <w:r>
        <w:t>, megbízható és hatékony, a jogszabályoknak és belső szabályzatoknak megfelelő működését,</w:t>
      </w:r>
    </w:p>
    <w:p w:rsidR="0090531E" w:rsidRDefault="0090531E" w:rsidP="0090531E">
      <w:pPr>
        <w:pStyle w:val="Listaszerbekezds"/>
        <w:numPr>
          <w:ilvl w:val="0"/>
          <w:numId w:val="36"/>
        </w:numPr>
        <w:jc w:val="left"/>
      </w:pPr>
      <w:r>
        <w:t>a szervezet eszközeinek, az ügyfelek és a tulajdonos gazdasági érdekeinek, valamint társadalmi céljainak védelmét,</w:t>
      </w:r>
    </w:p>
    <w:p w:rsidR="0090531E" w:rsidRDefault="0090531E" w:rsidP="0090531E">
      <w:pPr>
        <w:pStyle w:val="Listaszerbekezds"/>
        <w:numPr>
          <w:ilvl w:val="0"/>
          <w:numId w:val="36"/>
        </w:numPr>
        <w:jc w:val="left"/>
      </w:pPr>
      <w:r>
        <w:t>és mindezekkel a szervezet zavartalan és eredményes működését, az intézménnyel szembeni bizalom fenntartását.</w:t>
      </w:r>
    </w:p>
    <w:p w:rsidR="00D7716B" w:rsidRDefault="00D7716B" w:rsidP="00996DC7">
      <w:bookmarkStart w:id="94" w:name="_Toc387414965"/>
      <w:bookmarkStart w:id="95" w:name="_Toc387415249"/>
      <w:bookmarkStart w:id="96" w:name="_Toc387414966"/>
      <w:bookmarkStart w:id="97" w:name="_Toc387415250"/>
      <w:bookmarkEnd w:id="94"/>
      <w:bookmarkEnd w:id="95"/>
      <w:bookmarkEnd w:id="96"/>
      <w:bookmarkEnd w:id="97"/>
    </w:p>
    <w:p w:rsidR="00D7716B" w:rsidRDefault="00D7716B" w:rsidP="00996DC7">
      <w:r>
        <w:t>1</w:t>
      </w:r>
      <w:proofErr w:type="gramStart"/>
      <w:r>
        <w:t>.sz.</w:t>
      </w:r>
      <w:proofErr w:type="gramEnd"/>
      <w:r>
        <w:t xml:space="preserve"> melléklet: Díjkompenzáció elszámolás</w:t>
      </w:r>
    </w:p>
    <w:p w:rsidR="00FC07FC" w:rsidRDefault="00B477AA" w:rsidP="00996DC7">
      <w:r>
        <w:rPr>
          <w:noProof/>
        </w:rPr>
        <w:pict>
          <v:shapetype id="_x0000_t202" coordsize="21600,21600" o:spt="202" path="m,l,21600r21600,l21600,xe">
            <v:stroke joinstyle="miter"/>
            <v:path gradientshapeok="t" o:connecttype="rect"/>
          </v:shapetype>
          <v:shape id="Szövegdoboz 2" o:spid="_x0000_s1026" type="#_x0000_t202" style="position:absolute;left:0;text-align:left;margin-left:225.15pt;margin-top:12.95pt;width:233.25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" stroked="f">
            <v:textbox>
              <w:txbxContent>
                <w:p w:rsidR="00B123E4" w:rsidRPr="00F85FDD" w:rsidRDefault="00B123E4" w:rsidP="00F9102F">
                  <w:pPr>
                    <w:contextualSpacing/>
                    <w:jc w:val="center"/>
                  </w:pPr>
                  <w:r w:rsidRPr="00F85FDD">
                    <w:t>Kovács Balázs</w:t>
                  </w:r>
                </w:p>
                <w:p w:rsidR="00B123E4" w:rsidRDefault="00B123E4" w:rsidP="00F9102F">
                  <w:pPr>
                    <w:contextualSpacing/>
                    <w:jc w:val="center"/>
                  </w:pPr>
                  <w:proofErr w:type="gramStart"/>
                  <w:r w:rsidRPr="00F85FDD">
                    <w:t>ügyvezető</w:t>
                  </w:r>
                  <w:proofErr w:type="gramEnd"/>
                </w:p>
                <w:p w:rsidR="00B123E4" w:rsidRPr="00F85FDD" w:rsidRDefault="00B123E4" w:rsidP="00F9102F">
                  <w:pPr>
                    <w:contextualSpacing/>
                    <w:jc w:val="center"/>
                  </w:pPr>
                  <w:r>
                    <w:t>FŐKÉTÜSZ Fővárosi Kéményseprőipari Kft.</w:t>
                  </w:r>
                </w:p>
              </w:txbxContent>
            </v:textbox>
          </v:shape>
        </w:pict>
      </w:r>
    </w:p>
    <w:p w:rsidR="00AC70C3" w:rsidRPr="006A64D2" w:rsidRDefault="00AC70C3"/>
    <w:sectPr w:rsidR="00AC70C3" w:rsidRPr="006A64D2" w:rsidSect="00992947">
      <w:headerReference w:type="first" r:id="rId21"/>
      <w:type w:val="continuous"/>
      <w:pgSz w:w="11906" w:h="16838"/>
      <w:pgMar w:top="2127" w:right="1418" w:bottom="1560" w:left="1418" w:header="0" w:footer="11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E4" w:rsidRDefault="00B123E4" w:rsidP="00996DC7">
      <w:r>
        <w:separator/>
      </w:r>
    </w:p>
  </w:endnote>
  <w:endnote w:type="continuationSeparator" w:id="0">
    <w:p w:rsidR="00B123E4" w:rsidRDefault="00B123E4" w:rsidP="00996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E4" w:rsidRDefault="00B477AA" w:rsidP="00996DC7">
    <w:pPr>
      <w:pStyle w:val="llb"/>
    </w:pPr>
    <w:r>
      <w:rPr>
        <w:noProof/>
      </w:rPr>
      <w:pict>
        <v:shapetype id="_x0000_t202" coordsize="21600,21600" o:spt="202" path="m,l,21600r21600,l21600,xe">
          <v:stroke joinstyle="miter"/>
          <v:path gradientshapeok="t" o:connecttype="rect"/>
        </v:shapetype>
        <v:shape id="_x0000_s8202" type="#_x0000_t202" style="position:absolute;left:0;text-align:left;margin-left:70.9pt;margin-top:772.8pt;width:154.75pt;height:20.4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" filled="f" stroked="f">
          <v:textbox inset="0,0,0,0">
            <w:txbxContent>
              <w:p w:rsidR="00B123E4" w:rsidRPr="00996DC7" w:rsidRDefault="00B123E4" w:rsidP="00996DC7">
                <w:pPr>
                  <w:spacing w:before="0" w:after="0" w:line="240" w:lineRule="auto"/>
                  <w:rPr>
                    <w:sz w:val="16"/>
                  </w:rPr>
                </w:pPr>
                <w:r w:rsidRPr="00996DC7">
                  <w:rPr>
                    <w:sz w:val="16"/>
                  </w:rPr>
                  <w:t>DÁTUM:</w:t>
                </w:r>
              </w:p>
              <w:p w:rsidR="00B123E4" w:rsidRPr="00996DC7" w:rsidRDefault="00B477AA" w:rsidP="00996DC7">
                <w:pPr>
                  <w:spacing w:before="0" w:after="0" w:line="240" w:lineRule="auto"/>
                  <w:rPr>
                    <w:sz w:val="16"/>
                  </w:rPr>
                </w:pPr>
                <w:r w:rsidRPr="00996DC7">
                  <w:rPr>
                    <w:sz w:val="16"/>
                  </w:rPr>
                  <w:fldChar w:fldCharType="begin"/>
                </w:r>
                <w:r w:rsidR="00B123E4" w:rsidRPr="00996DC7">
                  <w:rPr>
                    <w:sz w:val="16"/>
                  </w:rPr>
                  <w:instrText xml:space="preserve"> TIME \@ "yyyy. MMMM d." </w:instrText>
                </w:r>
                <w:r w:rsidRPr="00996DC7">
                  <w:rPr>
                    <w:sz w:val="16"/>
                  </w:rPr>
                  <w:fldChar w:fldCharType="separate"/>
                </w:r>
                <w:r w:rsidR="008A5098">
                  <w:rPr>
                    <w:noProof/>
                    <w:sz w:val="16"/>
                  </w:rPr>
                  <w:t>2014. november 26.</w:t>
                </w:r>
                <w:r w:rsidRPr="00996DC7">
                  <w:rPr>
                    <w:sz w:val="16"/>
                  </w:rPr>
                  <w:fldChar w:fldCharType="end"/>
                </w:r>
              </w:p>
            </w:txbxContent>
          </v:textbox>
          <w10:wrap anchorx="page" anchory="page"/>
        </v:shape>
      </w:pict>
    </w:r>
    <w:r>
      <w:rPr>
        <w:noProof/>
      </w:rPr>
      <w:pict>
        <v:shape id="_x0000_s8201" type="#_x0000_t202" style="position:absolute;left:0;text-align:left;margin-left:70.9pt;margin-top:800.05pt;width:154.75pt;height:20.4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" filled="f" stroked="f">
          <v:textbox inset="0,0,0,0">
            <w:txbxContent>
              <w:p w:rsidR="00B123E4" w:rsidRPr="00996DC7" w:rsidRDefault="00B123E4" w:rsidP="00996DC7">
                <w:pPr>
                  <w:spacing w:before="0" w:after="0" w:line="240" w:lineRule="auto"/>
                  <w:rPr>
                    <w:sz w:val="16"/>
                  </w:rPr>
                </w:pPr>
                <w:r w:rsidRPr="00996DC7">
                  <w:rPr>
                    <w:sz w:val="16"/>
                  </w:rPr>
                  <w:t>OLDALSZÁM:</w:t>
                </w:r>
              </w:p>
              <w:p w:rsidR="00B123E4" w:rsidRPr="00996DC7" w:rsidRDefault="00B477AA" w:rsidP="00996DC7">
                <w:pPr>
                  <w:spacing w:before="0" w:after="0" w:line="240" w:lineRule="auto"/>
                  <w:rPr>
                    <w:sz w:val="16"/>
                  </w:rPr>
                </w:pPr>
                <w:r w:rsidRPr="00996DC7">
                  <w:rPr>
                    <w:sz w:val="16"/>
                  </w:rPr>
                  <w:fldChar w:fldCharType="begin"/>
                </w:r>
                <w:r w:rsidR="00B123E4" w:rsidRPr="00996DC7">
                  <w:rPr>
                    <w:sz w:val="16"/>
                  </w:rPr>
                  <w:instrText>PAGE  \* Arabic  \* MERGEFORMAT</w:instrText>
                </w:r>
                <w:r w:rsidRPr="00996DC7">
                  <w:rPr>
                    <w:sz w:val="16"/>
                  </w:rPr>
                  <w:fldChar w:fldCharType="separate"/>
                </w:r>
                <w:r w:rsidR="008A5098">
                  <w:rPr>
                    <w:noProof/>
                    <w:sz w:val="16"/>
                  </w:rPr>
                  <w:t>4</w:t>
                </w:r>
                <w:r w:rsidRPr="00996DC7">
                  <w:rPr>
                    <w:sz w:val="16"/>
                  </w:rPr>
                  <w:fldChar w:fldCharType="end"/>
                </w:r>
                <w:r w:rsidR="00B123E4" w:rsidRPr="00996DC7">
                  <w:rPr>
                    <w:sz w:val="16"/>
                  </w:rPr>
                  <w:t xml:space="preserve"> / </w:t>
                </w:r>
                <w:fldSimple w:instr="NUMPAGES  \* Arabic  \* MERGEFORMAT">
                  <w:r w:rsidR="008A5098" w:rsidRPr="008A5098">
                    <w:rPr>
                      <w:noProof/>
                      <w:sz w:val="16"/>
                    </w:rPr>
                    <w:t>23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E4" w:rsidRPr="0082712A" w:rsidRDefault="00B477AA" w:rsidP="00996DC7">
    <w:pPr>
      <w:pStyle w:val="llb"/>
      <w:rPr>
        <w:sz w:val="16"/>
      </w:rPr>
    </w:pPr>
    <w:r w:rsidRPr="00B477AA">
      <w:rPr>
        <w:noProof/>
      </w:rPr>
      <w:pict>
        <v:shapetype id="_x0000_t202" coordsize="21600,21600" o:spt="202" path="m,l,21600r21600,l21600,xe">
          <v:stroke joinstyle="miter"/>
          <v:path gradientshapeok="t" o:connecttype="rect"/>
        </v:shapetype>
        <v:shape id="_x0000_s8197" type="#_x0000_t202" style="position:absolute;left:0;text-align:left;margin-left:70.9pt;margin-top:772.85pt;width:154.75pt;height:20.4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" filled="f" stroked="f">
          <v:textbox inset="0,0,0,0">
            <w:txbxContent>
              <w:p w:rsidR="00B123E4" w:rsidRPr="00996DC7" w:rsidRDefault="00B123E4" w:rsidP="00996DC7">
                <w:pPr>
                  <w:spacing w:before="0" w:after="0" w:line="240" w:lineRule="auto"/>
                  <w:rPr>
                    <w:sz w:val="16"/>
                    <w:szCs w:val="16"/>
                  </w:rPr>
                </w:pPr>
                <w:r w:rsidRPr="00996DC7">
                  <w:rPr>
                    <w:sz w:val="16"/>
                    <w:szCs w:val="16"/>
                  </w:rPr>
                  <w:t>DÁTUM:</w:t>
                </w:r>
              </w:p>
              <w:p w:rsidR="00B123E4" w:rsidRPr="00996DC7" w:rsidRDefault="00B477AA" w:rsidP="00996DC7">
                <w:pPr>
                  <w:spacing w:before="0" w:after="0" w:line="240" w:lineRule="auto"/>
                  <w:rPr>
                    <w:sz w:val="16"/>
                    <w:szCs w:val="16"/>
                  </w:rPr>
                </w:pPr>
                <w:r w:rsidRPr="00996DC7">
                  <w:rPr>
                    <w:sz w:val="16"/>
                    <w:szCs w:val="16"/>
                  </w:rPr>
                  <w:fldChar w:fldCharType="begin"/>
                </w:r>
                <w:r w:rsidR="00B123E4" w:rsidRPr="00996DC7">
                  <w:rPr>
                    <w:sz w:val="16"/>
                    <w:szCs w:val="16"/>
                  </w:rPr>
                  <w:instrText xml:space="preserve"> TIME \@ "yyyy. MMMM d." </w:instrText>
                </w:r>
                <w:r w:rsidRPr="00996DC7">
                  <w:rPr>
                    <w:sz w:val="16"/>
                    <w:szCs w:val="16"/>
                  </w:rPr>
                  <w:fldChar w:fldCharType="separate"/>
                </w:r>
                <w:r w:rsidR="008A5098">
                  <w:rPr>
                    <w:noProof/>
                    <w:sz w:val="16"/>
                    <w:szCs w:val="16"/>
                  </w:rPr>
                  <w:t>2014. november 26.</w:t>
                </w:r>
                <w:r w:rsidRPr="00996DC7">
                  <w:rPr>
                    <w:sz w:val="16"/>
                    <w:szCs w:val="16"/>
                  </w:rPr>
                  <w:fldChar w:fldCharType="end"/>
                </w:r>
              </w:p>
            </w:txbxContent>
          </v:textbox>
          <w10:wrap anchorx="page" anchory="page"/>
        </v:shape>
      </w:pict>
    </w:r>
    <w:r w:rsidRPr="00B477AA">
      <w:rPr>
        <w:noProof/>
      </w:rPr>
      <w:pict>
        <v:shape id="_x0000_s8196" type="#_x0000_t202" style="position:absolute;left:0;text-align:left;margin-left:70.9pt;margin-top:800.05pt;width:154.75pt;height:20.4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" filled="f" stroked="f">
          <v:textbox inset="0,0,0,0">
            <w:txbxContent>
              <w:p w:rsidR="00B123E4" w:rsidRPr="00996DC7" w:rsidRDefault="00B123E4" w:rsidP="00996DC7">
                <w:pPr>
                  <w:spacing w:before="0" w:after="0" w:line="240" w:lineRule="auto"/>
                  <w:rPr>
                    <w:sz w:val="16"/>
                    <w:szCs w:val="16"/>
                  </w:rPr>
                </w:pPr>
                <w:r w:rsidRPr="00996DC7">
                  <w:rPr>
                    <w:sz w:val="16"/>
                    <w:szCs w:val="16"/>
                  </w:rPr>
                  <w:t>OLDALSZÁM:</w:t>
                </w:r>
              </w:p>
              <w:p w:rsidR="00B123E4" w:rsidRPr="00996DC7" w:rsidRDefault="00B477AA" w:rsidP="00996DC7">
                <w:pPr>
                  <w:spacing w:before="0" w:after="0" w:line="240" w:lineRule="auto"/>
                  <w:rPr>
                    <w:sz w:val="16"/>
                    <w:szCs w:val="16"/>
                  </w:rPr>
                </w:pPr>
                <w:r w:rsidRPr="00996DC7">
                  <w:rPr>
                    <w:sz w:val="16"/>
                    <w:szCs w:val="16"/>
                  </w:rPr>
                  <w:fldChar w:fldCharType="begin"/>
                </w:r>
                <w:r w:rsidR="00B123E4" w:rsidRPr="00996DC7">
                  <w:rPr>
                    <w:sz w:val="16"/>
                    <w:szCs w:val="16"/>
                  </w:rPr>
                  <w:instrText>PAGE  \* Arabic  \* MERGEFORMAT</w:instrText>
                </w:r>
                <w:r w:rsidRPr="00996DC7">
                  <w:rPr>
                    <w:sz w:val="16"/>
                    <w:szCs w:val="16"/>
                  </w:rPr>
                  <w:fldChar w:fldCharType="separate"/>
                </w:r>
                <w:r w:rsidR="008A5098">
                  <w:rPr>
                    <w:noProof/>
                    <w:sz w:val="16"/>
                    <w:szCs w:val="16"/>
                  </w:rPr>
                  <w:t>1</w:t>
                </w:r>
                <w:r w:rsidRPr="00996DC7">
                  <w:rPr>
                    <w:sz w:val="16"/>
                    <w:szCs w:val="16"/>
                  </w:rPr>
                  <w:fldChar w:fldCharType="end"/>
                </w:r>
                <w:r w:rsidR="00B123E4" w:rsidRPr="00996DC7">
                  <w:rPr>
                    <w:sz w:val="16"/>
                    <w:szCs w:val="16"/>
                  </w:rPr>
                  <w:t xml:space="preserve"> / </w:t>
                </w:r>
                <w:fldSimple w:instr="NUMPAGES  \* Arabic  \* MERGEFORMAT">
                  <w:r w:rsidR="008A5098" w:rsidRPr="008A5098">
                    <w:rPr>
                      <w:noProof/>
                      <w:sz w:val="16"/>
                      <w:szCs w:val="16"/>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E4" w:rsidRDefault="00B123E4" w:rsidP="00996DC7">
      <w:r>
        <w:separator/>
      </w:r>
    </w:p>
  </w:footnote>
  <w:footnote w:type="continuationSeparator" w:id="0">
    <w:p w:rsidR="00B123E4" w:rsidRDefault="00B123E4" w:rsidP="00996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E4" w:rsidRDefault="00B477AA" w:rsidP="00996DC7">
    <w:pPr>
      <w:pStyle w:val="lfej"/>
    </w:pPr>
    <w:r>
      <w:rPr>
        <w:noProof/>
      </w:rPr>
      <w:pict>
        <v:shapetype id="_x0000_t202" coordsize="21600,21600" o:spt="202" path="m,l,21600r21600,l21600,xe">
          <v:stroke joinstyle="miter"/>
          <v:path gradientshapeok="t" o:connecttype="rect"/>
        </v:shapetype>
        <v:shape id="_x0000_s8207" type="#_x0000_t202" style="position:absolute;left:0;text-align:left;margin-left:70.75pt;margin-top:80.75pt;width:306.8pt;height:13.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" filled="f" stroked="f">
          <v:textbox inset="0,0,0,0">
            <w:txbxContent>
              <w:p w:rsidR="00B123E4" w:rsidRPr="00996DC7" w:rsidRDefault="00B123E4" w:rsidP="00996DC7">
                <w:pPr>
                  <w:spacing w:before="0" w:after="0" w:line="240" w:lineRule="auto"/>
                  <w:jc w:val="left"/>
                  <w:rPr>
                    <w:noProof/>
                    <w:sz w:val="16"/>
                  </w:rPr>
                </w:pPr>
                <w:r w:rsidRPr="00996DC7">
                  <w:rPr>
                    <w:noProof/>
                    <w:sz w:val="16"/>
                  </w:rPr>
                  <w:t>BESZÁMOLÓ A KÖZSZOLGÁLTATÁSI SZERZŐDÉS 2013. ÉVI TELJESÍTÉSÉRŐL</w:t>
                </w:r>
              </w:p>
            </w:txbxContent>
          </v:textbox>
          <w10:wrap anchorx="page" anchory="page"/>
        </v:shape>
      </w:pict>
    </w:r>
    <w:r>
      <w:rPr>
        <w:noProof/>
      </w:rPr>
      <w:pict>
        <v:line id="Egyenes összekötő 3" o:spid="_x0000_s8206" style="position:absolute;left:0;text-align:left;flip:x;z-index:-2515845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70.6pt,93.35pt" to="524.7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" strokecolor="#5e6167" strokeweight=".5pt">
          <v:stroke dashstyle="dash"/>
          <o:lock v:ext="edit" shapetype="f"/>
          <w10:wrap anchorx="page" anchory="page"/>
        </v:line>
      </w:pict>
    </w:r>
    <w:r>
      <w:rPr>
        <w:noProof/>
      </w:rPr>
      <w:pict>
        <v:line id="Egyenes összekötő 26" o:spid="_x0000_s8205" style="position:absolute;left:0;text-align:left;z-index:-25159270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margin" from="381.6pt,18.45pt" to="381.6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" strokecolor="#5e6167" strokeweight=".5pt">
          <v:stroke dashstyle="dash"/>
          <o:lock v:ext="edit" shapetype="f"/>
          <w10:wrap anchorx="page" anchory="page"/>
        </v:line>
      </w:pict>
    </w:r>
    <w:r>
      <w:rPr>
        <w:noProof/>
      </w:rPr>
      <w:pict>
        <v:line id="Egyenes összekötő 27" o:spid="_x0000_s8204" style="position:absolute;left:0;text-align:left;flip:x;z-index:-251591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70.6pt,79.1pt" to="524.7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" strokecolor="#5e6167" strokeweight=".5pt">
          <v:stroke dashstyle="dash"/>
          <o:lock v:ext="edit" shapetype="f"/>
          <w10:wrap anchorx="page" anchory="page"/>
        </v:line>
      </w:pict>
    </w:r>
    <w:r w:rsidR="00B123E4" w:rsidRPr="004D5757">
      <w:rPr>
        <w:noProof/>
      </w:rPr>
      <w:drawing>
        <wp:anchor distT="0" distB="0" distL="114300" distR="114300" simplePos="0" relativeHeight="251725824" behindDoc="1" locked="0" layoutInCell="1" allowOverlap="1">
          <wp:simplePos x="0" y="0"/>
          <wp:positionH relativeFrom="page">
            <wp:posOffset>900430</wp:posOffset>
          </wp:positionH>
          <wp:positionV relativeFrom="page">
            <wp:posOffset>360045</wp:posOffset>
          </wp:positionV>
          <wp:extent cx="3286800" cy="525600"/>
          <wp:effectExtent l="0" t="0" r="0" b="825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Kép 336"/>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6800" cy="525600"/>
                  </a:xfrm>
                  <a:prstGeom prst="rect">
                    <a:avLst/>
                  </a:prstGeom>
                </pic:spPr>
              </pic:pic>
            </a:graphicData>
          </a:graphic>
        </wp:anchor>
      </w:drawing>
    </w:r>
    <w:r>
      <w:rPr>
        <w:noProof/>
      </w:rPr>
      <w:pict>
        <v:shape id="_x0000_s8203" type="#_x0000_t202" style="position:absolute;left:0;text-align:left;margin-left:406.25pt;margin-top:28.35pt;width:118.5pt;height:41.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" stroked="f">
          <v:textbox inset="0,0,0,0">
            <w:txbxContent>
              <w:p w:rsidR="00B123E4" w:rsidRPr="00996DC7" w:rsidRDefault="00B123E4" w:rsidP="00996DC7">
                <w:pPr>
                  <w:spacing w:before="0" w:after="0" w:line="240" w:lineRule="auto"/>
                  <w:rPr>
                    <w:noProof/>
                    <w:sz w:val="14"/>
                  </w:rPr>
                </w:pPr>
                <w:r w:rsidRPr="00996DC7">
                  <w:rPr>
                    <w:noProof/>
                    <w:color w:val="5E6167"/>
                    <w:sz w:val="14"/>
                  </w:rPr>
                  <w:t>CÍM:</w:t>
                </w:r>
                <w:r w:rsidRPr="00996DC7">
                  <w:rPr>
                    <w:noProof/>
                    <w:sz w:val="14"/>
                  </w:rPr>
                  <w:t xml:space="preserve"> 1067 Budapest, Eötvös u. 21.</w:t>
                </w:r>
              </w:p>
              <w:p w:rsidR="00B123E4" w:rsidRPr="00996DC7" w:rsidRDefault="00B123E4" w:rsidP="00996DC7">
                <w:pPr>
                  <w:spacing w:before="0" w:after="0" w:line="240" w:lineRule="auto"/>
                  <w:rPr>
                    <w:noProof/>
                    <w:sz w:val="14"/>
                  </w:rPr>
                </w:pPr>
                <w:r w:rsidRPr="00996DC7">
                  <w:rPr>
                    <w:noProof/>
                    <w:color w:val="5E6167"/>
                    <w:sz w:val="14"/>
                  </w:rPr>
                  <w:t>TEL.:</w:t>
                </w:r>
                <w:r w:rsidRPr="00996DC7">
                  <w:rPr>
                    <w:noProof/>
                    <w:sz w:val="14"/>
                  </w:rPr>
                  <w:t xml:space="preserve"> +36 1 474 7000</w:t>
                </w:r>
              </w:p>
              <w:p w:rsidR="00B123E4" w:rsidRPr="00996DC7" w:rsidRDefault="00B123E4" w:rsidP="00996DC7">
                <w:pPr>
                  <w:spacing w:before="0" w:after="0" w:line="240" w:lineRule="auto"/>
                  <w:rPr>
                    <w:noProof/>
                    <w:sz w:val="14"/>
                  </w:rPr>
                </w:pPr>
                <w:r w:rsidRPr="00996DC7">
                  <w:rPr>
                    <w:noProof/>
                    <w:color w:val="5E6167"/>
                    <w:sz w:val="14"/>
                  </w:rPr>
                  <w:t>FAX:</w:t>
                </w:r>
                <w:r w:rsidRPr="00996DC7">
                  <w:rPr>
                    <w:noProof/>
                    <w:sz w:val="14"/>
                  </w:rPr>
                  <w:t xml:space="preserve"> +36 1 332 1150</w:t>
                </w:r>
              </w:p>
              <w:p w:rsidR="00B123E4" w:rsidRPr="00996DC7" w:rsidRDefault="00B123E4" w:rsidP="00996DC7">
                <w:pPr>
                  <w:spacing w:before="0" w:after="0" w:line="240" w:lineRule="auto"/>
                  <w:rPr>
                    <w:noProof/>
                    <w:sz w:val="14"/>
                  </w:rPr>
                </w:pPr>
                <w:r w:rsidRPr="00996DC7">
                  <w:rPr>
                    <w:noProof/>
                    <w:color w:val="5E6167"/>
                    <w:sz w:val="14"/>
                  </w:rPr>
                  <w:t>WEB:</w:t>
                </w:r>
                <w:r w:rsidRPr="00996DC7">
                  <w:rPr>
                    <w:noProof/>
                    <w:sz w:val="14"/>
                  </w:rPr>
                  <w:t xml:space="preserve"> www.kemenysepro.hu</w:t>
                </w:r>
              </w:p>
              <w:p w:rsidR="00B123E4" w:rsidRPr="00996DC7" w:rsidRDefault="00B123E4" w:rsidP="00996DC7">
                <w:pPr>
                  <w:spacing w:before="0" w:after="0" w:line="240" w:lineRule="auto"/>
                  <w:rPr>
                    <w:noProof/>
                    <w:sz w:val="14"/>
                  </w:rPr>
                </w:pPr>
                <w:r w:rsidRPr="00996DC7">
                  <w:rPr>
                    <w:noProof/>
                    <w:color w:val="5E6167"/>
                    <w:sz w:val="14"/>
                  </w:rPr>
                  <w:t>E-MAIL:</w:t>
                </w:r>
                <w:r w:rsidRPr="00996DC7">
                  <w:rPr>
                    <w:noProof/>
                    <w:sz w:val="14"/>
                  </w:rPr>
                  <w:t xml:space="preserve"> info@kemenysepro.hu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E4" w:rsidRDefault="00B477AA" w:rsidP="00996DC7">
    <w:pPr>
      <w:pStyle w:val="lfej"/>
    </w:pPr>
    <w:r>
      <w:rPr>
        <w:noProof/>
      </w:rPr>
      <w:pict>
        <v:line id="Egyenes összekötő 6" o:spid="_x0000_s8200" style="position:absolute;left:0;text-align:left;z-index:-2516080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margin" from="381.7pt,18.45pt" to="381.7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" strokecolor="#5e6167" strokeweight=".5pt">
          <v:stroke dashstyle="dash"/>
          <o:lock v:ext="edit" shapetype="f"/>
          <w10:wrap anchorx="page" anchory="page"/>
        </v:line>
      </w:pict>
    </w:r>
    <w:r>
      <w:rPr>
        <w:noProof/>
      </w:rPr>
      <w:pict>
        <v:line id="Egyenes összekötő 7" o:spid="_x0000_s8199" style="position:absolute;left:0;text-align:left;flip:x;z-index:-251607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70.65pt,79.05pt" to="524.7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" strokecolor="#5e6167" strokeweight=".5pt">
          <v:stroke dashstyle="dash"/>
          <o:lock v:ext="edit" shapetype="f"/>
          <w10:wrap anchorx="page" anchory="page"/>
        </v:line>
      </w:pict>
    </w:r>
    <w:r w:rsidR="00B123E4">
      <w:rPr>
        <w:noProof/>
      </w:rPr>
      <w:drawing>
        <wp:anchor distT="0" distB="0" distL="114300" distR="114300" simplePos="0" relativeHeight="251711488" behindDoc="1" locked="0" layoutInCell="1" allowOverlap="1">
          <wp:simplePos x="0" y="0"/>
          <wp:positionH relativeFrom="page">
            <wp:posOffset>900430</wp:posOffset>
          </wp:positionH>
          <wp:positionV relativeFrom="page">
            <wp:posOffset>360045</wp:posOffset>
          </wp:positionV>
          <wp:extent cx="3286800" cy="525600"/>
          <wp:effectExtent l="0" t="0" r="0" b="825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Kép 336"/>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6800" cy="52560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8198" type="#_x0000_t202" style="position:absolute;left:0;text-align:left;margin-left:406.25pt;margin-top:28.35pt;width:118.5pt;height:41.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" stroked="f">
          <v:textbox inset="0,0,0,0">
            <w:txbxContent>
              <w:p w:rsidR="00B123E4" w:rsidRPr="00996DC7" w:rsidRDefault="00B123E4" w:rsidP="00996DC7">
                <w:pPr>
                  <w:spacing w:before="0" w:after="0" w:line="240" w:lineRule="auto"/>
                  <w:rPr>
                    <w:noProof/>
                    <w:sz w:val="14"/>
                  </w:rPr>
                </w:pPr>
                <w:r w:rsidRPr="00996DC7">
                  <w:rPr>
                    <w:noProof/>
                    <w:color w:val="5E6167"/>
                    <w:sz w:val="14"/>
                  </w:rPr>
                  <w:t>CÍM:</w:t>
                </w:r>
                <w:r w:rsidRPr="00996DC7">
                  <w:rPr>
                    <w:noProof/>
                    <w:sz w:val="14"/>
                  </w:rPr>
                  <w:t xml:space="preserve"> 1067 Budapest, Eötvös u. 21.</w:t>
                </w:r>
              </w:p>
              <w:p w:rsidR="00B123E4" w:rsidRPr="00996DC7" w:rsidRDefault="00B123E4" w:rsidP="00996DC7">
                <w:pPr>
                  <w:spacing w:before="0" w:after="0" w:line="240" w:lineRule="auto"/>
                  <w:rPr>
                    <w:noProof/>
                    <w:sz w:val="14"/>
                  </w:rPr>
                </w:pPr>
                <w:r w:rsidRPr="00996DC7">
                  <w:rPr>
                    <w:noProof/>
                    <w:color w:val="5E6167"/>
                    <w:sz w:val="14"/>
                  </w:rPr>
                  <w:t>TEL.:</w:t>
                </w:r>
                <w:r w:rsidRPr="00996DC7">
                  <w:rPr>
                    <w:noProof/>
                    <w:sz w:val="14"/>
                  </w:rPr>
                  <w:t xml:space="preserve"> +36 1 474 7000</w:t>
                </w:r>
              </w:p>
              <w:p w:rsidR="00B123E4" w:rsidRPr="00996DC7" w:rsidRDefault="00B123E4" w:rsidP="00996DC7">
                <w:pPr>
                  <w:spacing w:before="0" w:after="0" w:line="240" w:lineRule="auto"/>
                  <w:rPr>
                    <w:noProof/>
                    <w:sz w:val="14"/>
                  </w:rPr>
                </w:pPr>
                <w:r w:rsidRPr="00996DC7">
                  <w:rPr>
                    <w:noProof/>
                    <w:color w:val="5E6167"/>
                    <w:sz w:val="14"/>
                  </w:rPr>
                  <w:t>FAX:</w:t>
                </w:r>
                <w:r w:rsidRPr="00996DC7">
                  <w:rPr>
                    <w:noProof/>
                    <w:sz w:val="14"/>
                  </w:rPr>
                  <w:t xml:space="preserve"> +36 1 332 1150</w:t>
                </w:r>
              </w:p>
              <w:p w:rsidR="00B123E4" w:rsidRPr="00996DC7" w:rsidRDefault="00B123E4" w:rsidP="00996DC7">
                <w:pPr>
                  <w:spacing w:before="0" w:after="0" w:line="240" w:lineRule="auto"/>
                  <w:rPr>
                    <w:noProof/>
                    <w:sz w:val="14"/>
                  </w:rPr>
                </w:pPr>
                <w:r w:rsidRPr="00996DC7">
                  <w:rPr>
                    <w:noProof/>
                    <w:color w:val="5E6167"/>
                    <w:sz w:val="14"/>
                  </w:rPr>
                  <w:t>WEB:</w:t>
                </w:r>
                <w:r w:rsidRPr="00996DC7">
                  <w:rPr>
                    <w:noProof/>
                    <w:sz w:val="14"/>
                  </w:rPr>
                  <w:t xml:space="preserve"> www.kemenysepro.hu</w:t>
                </w:r>
              </w:p>
              <w:p w:rsidR="00B123E4" w:rsidRPr="00996DC7" w:rsidRDefault="00B123E4" w:rsidP="00996DC7">
                <w:pPr>
                  <w:spacing w:before="0" w:after="0" w:line="240" w:lineRule="auto"/>
                  <w:rPr>
                    <w:noProof/>
                    <w:sz w:val="14"/>
                  </w:rPr>
                </w:pPr>
                <w:r w:rsidRPr="00996DC7">
                  <w:rPr>
                    <w:noProof/>
                    <w:color w:val="5E6167"/>
                    <w:sz w:val="14"/>
                  </w:rPr>
                  <w:t>E-MAIL:</w:t>
                </w:r>
                <w:r w:rsidRPr="00996DC7">
                  <w:rPr>
                    <w:noProof/>
                    <w:sz w:val="14"/>
                  </w:rPr>
                  <w:t xml:space="preserve"> info@kemenysepro.hu</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E4" w:rsidRDefault="00B477AA" w:rsidP="00996DC7">
    <w:pPr>
      <w:pStyle w:val="lfej"/>
    </w:pPr>
    <w:r>
      <w:rPr>
        <w:noProof/>
      </w:rPr>
      <w:pict>
        <v:line id="Egyenes összekötő 320" o:spid="_x0000_s8195" style="position:absolute;left:0;text-align:left;z-index:-25161728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margin" from="381.6pt,18.45pt" to="381.6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" strokecolor="#5e6167" strokeweight=".5pt">
          <v:stroke dashstyle="dash"/>
          <o:lock v:ext="edit" shapetype="f"/>
          <w10:wrap anchorx="page" anchory="page"/>
        </v:line>
      </w:pict>
    </w:r>
    <w:r>
      <w:rPr>
        <w:noProof/>
      </w:rPr>
      <w:pict>
        <v:shapetype id="_x0000_t202" coordsize="21600,21600" o:spt="202" path="m,l,21600r21600,l21600,xe">
          <v:stroke joinstyle="miter"/>
          <v:path gradientshapeok="t" o:connecttype="rect"/>
        </v:shapetype>
        <v:shape id="_x0000_s8194" type="#_x0000_t202" style="position:absolute;left:0;text-align:left;margin-left:406.25pt;margin-top:35.45pt;width:141.75pt;height:41.1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" stroked="f">
          <v:textbox inset="0,0,0,0">
            <w:txbxContent>
              <w:p w:rsidR="00B123E4" w:rsidRPr="007636BC" w:rsidRDefault="00B123E4" w:rsidP="00996DC7">
                <w:pPr>
                  <w:rPr>
                    <w:noProof/>
                  </w:rPr>
                </w:pPr>
                <w:r w:rsidRPr="007636BC">
                  <w:rPr>
                    <w:noProof/>
                    <w:color w:val="5E6167"/>
                  </w:rPr>
                  <w:t>CÍM:</w:t>
                </w:r>
                <w:r w:rsidRPr="007636BC">
                  <w:rPr>
                    <w:noProof/>
                  </w:rPr>
                  <w:t xml:space="preserve"> 1067 Budapest, Eötvös u. 21.</w:t>
                </w:r>
              </w:p>
              <w:p w:rsidR="00B123E4" w:rsidRPr="007636BC" w:rsidRDefault="00B123E4" w:rsidP="00996DC7">
                <w:pPr>
                  <w:rPr>
                    <w:noProof/>
                  </w:rPr>
                </w:pPr>
                <w:r w:rsidRPr="007636BC">
                  <w:rPr>
                    <w:noProof/>
                    <w:color w:val="5E6167"/>
                  </w:rPr>
                  <w:t>TEL.:</w:t>
                </w:r>
                <w:r w:rsidRPr="007636BC">
                  <w:rPr>
                    <w:noProof/>
                  </w:rPr>
                  <w:t xml:space="preserve"> +36 1 474 7000</w:t>
                </w:r>
              </w:p>
              <w:p w:rsidR="00B123E4" w:rsidRPr="007636BC" w:rsidRDefault="00B123E4" w:rsidP="00996DC7">
                <w:pPr>
                  <w:rPr>
                    <w:noProof/>
                  </w:rPr>
                </w:pPr>
                <w:r w:rsidRPr="007636BC">
                  <w:rPr>
                    <w:noProof/>
                    <w:color w:val="5E6167"/>
                  </w:rPr>
                  <w:t>FAX:</w:t>
                </w:r>
                <w:r w:rsidRPr="007636BC">
                  <w:rPr>
                    <w:noProof/>
                  </w:rPr>
                  <w:t xml:space="preserve"> +36 1 332 1150</w:t>
                </w:r>
              </w:p>
              <w:p w:rsidR="00B123E4" w:rsidRPr="007636BC" w:rsidRDefault="00B123E4" w:rsidP="00996DC7">
                <w:pPr>
                  <w:rPr>
                    <w:noProof/>
                  </w:rPr>
                </w:pPr>
                <w:r w:rsidRPr="007636BC">
                  <w:rPr>
                    <w:noProof/>
                    <w:color w:val="5E6167"/>
                  </w:rPr>
                  <w:t>WEB:</w:t>
                </w:r>
                <w:r w:rsidRPr="007636BC">
                  <w:rPr>
                    <w:noProof/>
                  </w:rPr>
                  <w:t xml:space="preserve"> www.kemenysepro.hu</w:t>
                </w:r>
              </w:p>
              <w:p w:rsidR="00B123E4" w:rsidRPr="007636BC" w:rsidRDefault="00B123E4" w:rsidP="00996DC7">
                <w:pPr>
                  <w:rPr>
                    <w:noProof/>
                  </w:rPr>
                </w:pPr>
                <w:r w:rsidRPr="007636BC">
                  <w:rPr>
                    <w:noProof/>
                    <w:color w:val="5E6167"/>
                  </w:rPr>
                  <w:t>E-MAIL:</w:t>
                </w:r>
                <w:r w:rsidRPr="007636BC">
                  <w:rPr>
                    <w:noProof/>
                  </w:rPr>
                  <w:t xml:space="preserve"> info@kemenysepro.hu</w:t>
                </w:r>
              </w:p>
            </w:txbxContent>
          </v:textbox>
          <w10:wrap anchorx="page" anchory="page"/>
        </v:shape>
      </w:pict>
    </w:r>
    <w:r>
      <w:rPr>
        <w:noProof/>
      </w:rPr>
      <w:pict>
        <v:line id="Egyenes összekötő 329" o:spid="_x0000_s8193" style="position:absolute;left:0;text-align:left;flip:x;z-index:-2516162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70.8pt,93pt" to="524.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" strokecolor="#5e6167" strokeweight=".5pt">
          <v:stroke dashstyle="dash"/>
          <o:lock v:ext="edit" shapetype="f"/>
          <w10:wrap anchorx="page" anchory="page"/>
        </v:line>
      </w:pict>
    </w:r>
    <w:r w:rsidR="00B123E4">
      <w:rPr>
        <w:noProof/>
      </w:rPr>
      <w:drawing>
        <wp:anchor distT="0" distB="0" distL="114300" distR="114300" simplePos="0" relativeHeight="251702272" behindDoc="1" locked="0" layoutInCell="1" allowOverlap="1">
          <wp:simplePos x="0" y="0"/>
          <wp:positionH relativeFrom="page">
            <wp:posOffset>900430</wp:posOffset>
          </wp:positionH>
          <wp:positionV relativeFrom="page">
            <wp:posOffset>457200</wp:posOffset>
          </wp:positionV>
          <wp:extent cx="3290400" cy="525600"/>
          <wp:effectExtent l="0" t="0" r="5715" b="8255"/>
          <wp:wrapNone/>
          <wp:docPr id="293" name="Kép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Kép 294"/>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90400" cy="525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85378C4"/>
    <w:multiLevelType w:val="hybridMultilevel"/>
    <w:tmpl w:val="02D8622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0DD3CEE"/>
    <w:multiLevelType w:val="multilevel"/>
    <w:tmpl w:val="3B246358"/>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
    <w:nsid w:val="326634E8"/>
    <w:multiLevelType w:val="hybridMultilevel"/>
    <w:tmpl w:val="C79085E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3E493BB3"/>
    <w:multiLevelType w:val="hybridMultilevel"/>
    <w:tmpl w:val="FE14CFC8"/>
    <w:lvl w:ilvl="0" w:tplc="8D54694C">
      <w:start w:val="6"/>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13D108A"/>
    <w:multiLevelType w:val="multilevel"/>
    <w:tmpl w:val="F86AC344"/>
    <w:lvl w:ilvl="0">
      <w:start w:val="1"/>
      <w:numFmt w:val="decimal"/>
      <w:lvlText w:val="%1."/>
      <w:lvlJc w:val="left"/>
      <w:pPr>
        <w:ind w:left="397" w:hanging="397"/>
      </w:pPr>
      <w:rPr>
        <w:rFonts w:ascii="Arial" w:hAnsi="Arial" w:hint="default"/>
        <w:b/>
        <w:i w:val="0"/>
        <w:sz w:val="24"/>
      </w:rPr>
    </w:lvl>
    <w:lvl w:ilvl="1">
      <w:start w:val="1"/>
      <w:numFmt w:val="decimal"/>
      <w:lvlText w:val="1.%2"/>
      <w:lvlJc w:val="left"/>
      <w:pPr>
        <w:ind w:left="624" w:hanging="624"/>
      </w:pPr>
      <w:rPr>
        <w:rFonts w:ascii="Arial" w:hAnsi="Arial" w:hint="default"/>
        <w:sz w:val="24"/>
      </w:rPr>
    </w:lvl>
    <w:lvl w:ilvl="2">
      <w:start w:val="1"/>
      <w:numFmt w:val="decimal"/>
      <w:lvlText w:val="1.%3.1"/>
      <w:lvlJc w:val="left"/>
      <w:pPr>
        <w:ind w:left="1021" w:hanging="1021"/>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2E22B96"/>
    <w:multiLevelType w:val="hybridMultilevel"/>
    <w:tmpl w:val="D95AECE8"/>
    <w:lvl w:ilvl="0" w:tplc="8E1C47CC">
      <w:start w:val="201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6A13F66"/>
    <w:multiLevelType w:val="hybridMultilevel"/>
    <w:tmpl w:val="F9A86060"/>
    <w:lvl w:ilvl="0" w:tplc="2D22FBA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4E751B3D"/>
    <w:multiLevelType w:val="hybridMultilevel"/>
    <w:tmpl w:val="43C2D6D6"/>
    <w:lvl w:ilvl="0" w:tplc="E5BAC96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16425E9"/>
    <w:multiLevelType w:val="hybridMultilevel"/>
    <w:tmpl w:val="AE3CB2F6"/>
    <w:lvl w:ilvl="0" w:tplc="0B3EA894">
      <w:start w:val="300"/>
      <w:numFmt w:val="bullet"/>
      <w:lvlText w:val="-"/>
      <w:lvlJc w:val="left"/>
      <w:pPr>
        <w:ind w:left="405" w:hanging="360"/>
      </w:pPr>
      <w:rPr>
        <w:rFonts w:ascii="Times New Roman" w:eastAsia="Times New Roman" w:hAnsi="Times New Roman" w:cs="Times New Roman"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0">
    <w:nsid w:val="5D45760D"/>
    <w:multiLevelType w:val="hybridMultilevel"/>
    <w:tmpl w:val="DF820DF4"/>
    <w:lvl w:ilvl="0" w:tplc="8B7A42A4">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3BD2360"/>
    <w:multiLevelType w:val="hybridMultilevel"/>
    <w:tmpl w:val="B5761F1A"/>
    <w:lvl w:ilvl="0" w:tplc="A54CF572">
      <w:start w:val="5"/>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2F16220"/>
    <w:multiLevelType w:val="hybridMultilevel"/>
    <w:tmpl w:val="2130A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83B3C62"/>
    <w:multiLevelType w:val="hybridMultilevel"/>
    <w:tmpl w:val="87D6C306"/>
    <w:lvl w:ilvl="0" w:tplc="8D54694C">
      <w:start w:val="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0"/>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12"/>
  </w:num>
  <w:num w:numId="34">
    <w:abstractNumId w:val="6"/>
  </w:num>
  <w:num w:numId="35">
    <w:abstractNumId w:val="13"/>
  </w:num>
  <w:num w:numId="36">
    <w:abstractNumId w:val="4"/>
  </w:num>
  <w:num w:numId="37">
    <w:abstractNumId w:val="9"/>
  </w:num>
  <w:num w:numId="3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pp Tibor">
    <w15:presenceInfo w15:providerId="AD" w15:userId="S-1-5-21-366568023-3132229176-1415734739-27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8213"/>
    <o:shapelayout v:ext="edit">
      <o:idmap v:ext="edit" data="8"/>
    </o:shapelayout>
  </w:hdrShapeDefaults>
  <w:footnotePr>
    <w:footnote w:id="-1"/>
    <w:footnote w:id="0"/>
  </w:footnotePr>
  <w:endnotePr>
    <w:endnote w:id="-1"/>
    <w:endnote w:id="0"/>
  </w:endnotePr>
  <w:compat>
    <w:useFELayout/>
  </w:compat>
  <w:rsids>
    <w:rsidRoot w:val="004D5757"/>
    <w:rsid w:val="00000D04"/>
    <w:rsid w:val="000040AD"/>
    <w:rsid w:val="0001538A"/>
    <w:rsid w:val="0004258B"/>
    <w:rsid w:val="00096404"/>
    <w:rsid w:val="000A7A91"/>
    <w:rsid w:val="001023E6"/>
    <w:rsid w:val="00111511"/>
    <w:rsid w:val="001347DC"/>
    <w:rsid w:val="00134AE8"/>
    <w:rsid w:val="001643D7"/>
    <w:rsid w:val="0018053E"/>
    <w:rsid w:val="00184B45"/>
    <w:rsid w:val="001C0B0F"/>
    <w:rsid w:val="001E4132"/>
    <w:rsid w:val="001E5B01"/>
    <w:rsid w:val="00234268"/>
    <w:rsid w:val="002409D0"/>
    <w:rsid w:val="00263593"/>
    <w:rsid w:val="00271BD4"/>
    <w:rsid w:val="00273AF8"/>
    <w:rsid w:val="002933A1"/>
    <w:rsid w:val="002A696D"/>
    <w:rsid w:val="002B1834"/>
    <w:rsid w:val="002B5923"/>
    <w:rsid w:val="002D0B84"/>
    <w:rsid w:val="002D2D0C"/>
    <w:rsid w:val="002D5926"/>
    <w:rsid w:val="002E6A86"/>
    <w:rsid w:val="002F1AC6"/>
    <w:rsid w:val="003215BE"/>
    <w:rsid w:val="00342B50"/>
    <w:rsid w:val="00343D23"/>
    <w:rsid w:val="00357935"/>
    <w:rsid w:val="003652BD"/>
    <w:rsid w:val="0038335F"/>
    <w:rsid w:val="003B5E72"/>
    <w:rsid w:val="003C0307"/>
    <w:rsid w:val="003C70DE"/>
    <w:rsid w:val="003D6E9B"/>
    <w:rsid w:val="00405D9D"/>
    <w:rsid w:val="0041351B"/>
    <w:rsid w:val="004137E1"/>
    <w:rsid w:val="0042275C"/>
    <w:rsid w:val="004317F4"/>
    <w:rsid w:val="00453C26"/>
    <w:rsid w:val="004546AB"/>
    <w:rsid w:val="004B69D5"/>
    <w:rsid w:val="004D4134"/>
    <w:rsid w:val="004D5757"/>
    <w:rsid w:val="00503744"/>
    <w:rsid w:val="00510F93"/>
    <w:rsid w:val="0051140B"/>
    <w:rsid w:val="0052734D"/>
    <w:rsid w:val="0052788B"/>
    <w:rsid w:val="00546878"/>
    <w:rsid w:val="00563F47"/>
    <w:rsid w:val="00567519"/>
    <w:rsid w:val="0057544B"/>
    <w:rsid w:val="00577069"/>
    <w:rsid w:val="00590BEE"/>
    <w:rsid w:val="005920AD"/>
    <w:rsid w:val="005A6253"/>
    <w:rsid w:val="005B64E6"/>
    <w:rsid w:val="005C1951"/>
    <w:rsid w:val="005E7885"/>
    <w:rsid w:val="00614D3E"/>
    <w:rsid w:val="00626F8A"/>
    <w:rsid w:val="00633795"/>
    <w:rsid w:val="006407C5"/>
    <w:rsid w:val="00651602"/>
    <w:rsid w:val="00652B28"/>
    <w:rsid w:val="00667541"/>
    <w:rsid w:val="006965A5"/>
    <w:rsid w:val="006A64D2"/>
    <w:rsid w:val="006B61B8"/>
    <w:rsid w:val="006D1311"/>
    <w:rsid w:val="006D4536"/>
    <w:rsid w:val="006D4C7A"/>
    <w:rsid w:val="006E1FC4"/>
    <w:rsid w:val="006E35FE"/>
    <w:rsid w:val="006F39A9"/>
    <w:rsid w:val="007113A5"/>
    <w:rsid w:val="00726B4E"/>
    <w:rsid w:val="00746F82"/>
    <w:rsid w:val="007509AA"/>
    <w:rsid w:val="007559CE"/>
    <w:rsid w:val="007636BC"/>
    <w:rsid w:val="00764DEC"/>
    <w:rsid w:val="00776228"/>
    <w:rsid w:val="00776391"/>
    <w:rsid w:val="00780321"/>
    <w:rsid w:val="007819A1"/>
    <w:rsid w:val="007A2FD2"/>
    <w:rsid w:val="007A590C"/>
    <w:rsid w:val="007B0B3C"/>
    <w:rsid w:val="007C0B68"/>
    <w:rsid w:val="007C4142"/>
    <w:rsid w:val="007C6585"/>
    <w:rsid w:val="007D6E6A"/>
    <w:rsid w:val="007E1D9C"/>
    <w:rsid w:val="007F1003"/>
    <w:rsid w:val="008043A8"/>
    <w:rsid w:val="00814967"/>
    <w:rsid w:val="00824909"/>
    <w:rsid w:val="00826405"/>
    <w:rsid w:val="0082712A"/>
    <w:rsid w:val="00896D6A"/>
    <w:rsid w:val="008A3660"/>
    <w:rsid w:val="008A49BD"/>
    <w:rsid w:val="008A5098"/>
    <w:rsid w:val="008E4109"/>
    <w:rsid w:val="00902B08"/>
    <w:rsid w:val="0090531E"/>
    <w:rsid w:val="009057BD"/>
    <w:rsid w:val="00913CC8"/>
    <w:rsid w:val="0092696E"/>
    <w:rsid w:val="00932218"/>
    <w:rsid w:val="00933940"/>
    <w:rsid w:val="0094108E"/>
    <w:rsid w:val="009512D3"/>
    <w:rsid w:val="0096625E"/>
    <w:rsid w:val="00973131"/>
    <w:rsid w:val="009920AA"/>
    <w:rsid w:val="00992947"/>
    <w:rsid w:val="00996DC7"/>
    <w:rsid w:val="009A462E"/>
    <w:rsid w:val="009B14FB"/>
    <w:rsid w:val="009C1B25"/>
    <w:rsid w:val="009E6271"/>
    <w:rsid w:val="009E7BFB"/>
    <w:rsid w:val="009F0699"/>
    <w:rsid w:val="00A14924"/>
    <w:rsid w:val="00A37A3E"/>
    <w:rsid w:val="00A47F0E"/>
    <w:rsid w:val="00A653ED"/>
    <w:rsid w:val="00A76531"/>
    <w:rsid w:val="00A91848"/>
    <w:rsid w:val="00A936BB"/>
    <w:rsid w:val="00AA4981"/>
    <w:rsid w:val="00AC3558"/>
    <w:rsid w:val="00AC70C3"/>
    <w:rsid w:val="00AE1933"/>
    <w:rsid w:val="00AE6CCD"/>
    <w:rsid w:val="00AF4A13"/>
    <w:rsid w:val="00B01C17"/>
    <w:rsid w:val="00B123E4"/>
    <w:rsid w:val="00B125C4"/>
    <w:rsid w:val="00B24787"/>
    <w:rsid w:val="00B26043"/>
    <w:rsid w:val="00B477AA"/>
    <w:rsid w:val="00B55D8B"/>
    <w:rsid w:val="00B57714"/>
    <w:rsid w:val="00B7677E"/>
    <w:rsid w:val="00B76DC5"/>
    <w:rsid w:val="00B93755"/>
    <w:rsid w:val="00BA25EA"/>
    <w:rsid w:val="00BA64B5"/>
    <w:rsid w:val="00BB23D5"/>
    <w:rsid w:val="00BC2014"/>
    <w:rsid w:val="00BE0025"/>
    <w:rsid w:val="00BE009A"/>
    <w:rsid w:val="00BF06F5"/>
    <w:rsid w:val="00BF6A88"/>
    <w:rsid w:val="00C05BBB"/>
    <w:rsid w:val="00C06799"/>
    <w:rsid w:val="00C25317"/>
    <w:rsid w:val="00C275F3"/>
    <w:rsid w:val="00C45201"/>
    <w:rsid w:val="00C4636F"/>
    <w:rsid w:val="00C46F56"/>
    <w:rsid w:val="00C47F30"/>
    <w:rsid w:val="00C61715"/>
    <w:rsid w:val="00C73423"/>
    <w:rsid w:val="00C77E2B"/>
    <w:rsid w:val="00C96D37"/>
    <w:rsid w:val="00CC40EC"/>
    <w:rsid w:val="00CD37AF"/>
    <w:rsid w:val="00CE5884"/>
    <w:rsid w:val="00D51ADE"/>
    <w:rsid w:val="00D57148"/>
    <w:rsid w:val="00D63DFB"/>
    <w:rsid w:val="00D664B2"/>
    <w:rsid w:val="00D74F5F"/>
    <w:rsid w:val="00D7716B"/>
    <w:rsid w:val="00D851CF"/>
    <w:rsid w:val="00D86984"/>
    <w:rsid w:val="00D93A61"/>
    <w:rsid w:val="00DA623D"/>
    <w:rsid w:val="00DB2D7B"/>
    <w:rsid w:val="00DC15C4"/>
    <w:rsid w:val="00DC7DC0"/>
    <w:rsid w:val="00DD1197"/>
    <w:rsid w:val="00DE6E00"/>
    <w:rsid w:val="00DF1000"/>
    <w:rsid w:val="00DF1C65"/>
    <w:rsid w:val="00DF2871"/>
    <w:rsid w:val="00E02571"/>
    <w:rsid w:val="00E32E2F"/>
    <w:rsid w:val="00E334F1"/>
    <w:rsid w:val="00E33E7C"/>
    <w:rsid w:val="00E372A1"/>
    <w:rsid w:val="00E45B76"/>
    <w:rsid w:val="00E511AD"/>
    <w:rsid w:val="00E7226D"/>
    <w:rsid w:val="00E73A55"/>
    <w:rsid w:val="00E84588"/>
    <w:rsid w:val="00E90CD8"/>
    <w:rsid w:val="00E925AD"/>
    <w:rsid w:val="00EB2797"/>
    <w:rsid w:val="00EB4048"/>
    <w:rsid w:val="00EB66F1"/>
    <w:rsid w:val="00EC6241"/>
    <w:rsid w:val="00EE503F"/>
    <w:rsid w:val="00EE5E14"/>
    <w:rsid w:val="00EF21B4"/>
    <w:rsid w:val="00F144BD"/>
    <w:rsid w:val="00F24E91"/>
    <w:rsid w:val="00F259BA"/>
    <w:rsid w:val="00F26C69"/>
    <w:rsid w:val="00F4511E"/>
    <w:rsid w:val="00F47A51"/>
    <w:rsid w:val="00F67FC6"/>
    <w:rsid w:val="00F72BB3"/>
    <w:rsid w:val="00F9102F"/>
    <w:rsid w:val="00FA4019"/>
    <w:rsid w:val="00FB46AF"/>
    <w:rsid w:val="00FC07FC"/>
    <w:rsid w:val="00FF5312"/>
    <w:rsid w:val="00FF555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2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6DC7"/>
    <w:pPr>
      <w:spacing w:before="120" w:after="120"/>
      <w:jc w:val="both"/>
    </w:pPr>
    <w:rPr>
      <w:rFonts w:ascii="Arial" w:hAnsi="Arial" w:cs="Arial"/>
    </w:rPr>
  </w:style>
  <w:style w:type="paragraph" w:styleId="Cmsor1">
    <w:name w:val="heading 1"/>
    <w:basedOn w:val="Norml"/>
    <w:next w:val="Norml"/>
    <w:link w:val="Cmsor1Char"/>
    <w:uiPriority w:val="9"/>
    <w:qFormat/>
    <w:rsid w:val="00902B08"/>
    <w:pPr>
      <w:keepNext/>
      <w:keepLines/>
      <w:numPr>
        <w:numId w:val="7"/>
      </w:numPr>
      <w:spacing w:before="360" w:after="240" w:line="259" w:lineRule="auto"/>
      <w:outlineLvl w:val="0"/>
    </w:pPr>
    <w:rPr>
      <w:rFonts w:eastAsiaTheme="majorEastAsia"/>
      <w:b/>
      <w:sz w:val="28"/>
      <w:szCs w:val="32"/>
      <w:lang w:eastAsia="en-US"/>
    </w:rPr>
  </w:style>
  <w:style w:type="paragraph" w:styleId="Cmsor2">
    <w:name w:val="heading 2"/>
    <w:basedOn w:val="Norml"/>
    <w:next w:val="Norml"/>
    <w:link w:val="Cmsor2Char"/>
    <w:uiPriority w:val="9"/>
    <w:unhideWhenUsed/>
    <w:qFormat/>
    <w:rsid w:val="00902B08"/>
    <w:pPr>
      <w:keepNext/>
      <w:keepLines/>
      <w:numPr>
        <w:ilvl w:val="1"/>
        <w:numId w:val="7"/>
      </w:numPr>
      <w:spacing w:before="360" w:line="259" w:lineRule="auto"/>
      <w:outlineLvl w:val="1"/>
    </w:pPr>
    <w:rPr>
      <w:rFonts w:eastAsiaTheme="majorEastAsia"/>
      <w:sz w:val="24"/>
      <w:szCs w:val="26"/>
      <w:lang w:eastAsia="en-US"/>
    </w:rPr>
  </w:style>
  <w:style w:type="paragraph" w:styleId="Cmsor3">
    <w:name w:val="heading 3"/>
    <w:basedOn w:val="Norml"/>
    <w:next w:val="Norml"/>
    <w:link w:val="Cmsor3Char"/>
    <w:uiPriority w:val="9"/>
    <w:unhideWhenUsed/>
    <w:qFormat/>
    <w:rsid w:val="00902B08"/>
    <w:pPr>
      <w:keepNext/>
      <w:keepLines/>
      <w:numPr>
        <w:ilvl w:val="2"/>
        <w:numId w:val="7"/>
      </w:numPr>
      <w:spacing w:before="360" w:line="259" w:lineRule="auto"/>
      <w:outlineLvl w:val="2"/>
    </w:pPr>
    <w:rPr>
      <w:rFonts w:eastAsiaTheme="majorEastAsia"/>
      <w:szCs w:val="26"/>
      <w:lang w:eastAsia="en-US"/>
    </w:rPr>
  </w:style>
  <w:style w:type="paragraph" w:styleId="Cmsor4">
    <w:name w:val="heading 4"/>
    <w:basedOn w:val="Norml"/>
    <w:next w:val="Norml"/>
    <w:link w:val="Cmsor4Char"/>
    <w:uiPriority w:val="9"/>
    <w:semiHidden/>
    <w:unhideWhenUsed/>
    <w:qFormat/>
    <w:rsid w:val="00A37A3E"/>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A37A3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A37A3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A37A3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7A3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A37A3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B64E6"/>
    <w:pPr>
      <w:tabs>
        <w:tab w:val="center" w:pos="4536"/>
        <w:tab w:val="right" w:pos="9072"/>
      </w:tabs>
      <w:spacing w:after="0" w:line="240" w:lineRule="auto"/>
    </w:pPr>
  </w:style>
  <w:style w:type="character" w:customStyle="1" w:styleId="lfejChar">
    <w:name w:val="Élőfej Char"/>
    <w:basedOn w:val="Bekezdsalapbettpusa"/>
    <w:link w:val="lfej"/>
    <w:uiPriority w:val="99"/>
    <w:rsid w:val="005B64E6"/>
  </w:style>
  <w:style w:type="paragraph" w:styleId="llb">
    <w:name w:val="footer"/>
    <w:basedOn w:val="Norml"/>
    <w:link w:val="llbChar"/>
    <w:uiPriority w:val="99"/>
    <w:unhideWhenUsed/>
    <w:rsid w:val="005B64E6"/>
    <w:pPr>
      <w:tabs>
        <w:tab w:val="center" w:pos="4536"/>
        <w:tab w:val="right" w:pos="9072"/>
      </w:tabs>
      <w:spacing w:after="0" w:line="240" w:lineRule="auto"/>
    </w:pPr>
  </w:style>
  <w:style w:type="character" w:customStyle="1" w:styleId="llbChar">
    <w:name w:val="Élőláb Char"/>
    <w:basedOn w:val="Bekezdsalapbettpusa"/>
    <w:link w:val="llb"/>
    <w:uiPriority w:val="99"/>
    <w:rsid w:val="005B64E6"/>
  </w:style>
  <w:style w:type="paragraph" w:styleId="Buborkszveg">
    <w:name w:val="Balloon Text"/>
    <w:basedOn w:val="Norml"/>
    <w:link w:val="BuborkszvegChar"/>
    <w:uiPriority w:val="99"/>
    <w:semiHidden/>
    <w:unhideWhenUsed/>
    <w:rsid w:val="000A7A9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A7A91"/>
    <w:rPr>
      <w:rFonts w:ascii="Tahoma" w:hAnsi="Tahoma" w:cs="Tahoma"/>
      <w:sz w:val="16"/>
      <w:szCs w:val="16"/>
    </w:rPr>
  </w:style>
  <w:style w:type="character" w:styleId="Hiperhivatkozs">
    <w:name w:val="Hyperlink"/>
    <w:basedOn w:val="Bekezdsalapbettpusa"/>
    <w:uiPriority w:val="99"/>
    <w:unhideWhenUsed/>
    <w:rsid w:val="00E45B76"/>
    <w:rPr>
      <w:color w:val="0000FF" w:themeColor="hyperlink"/>
      <w:u w:val="single"/>
    </w:rPr>
  </w:style>
  <w:style w:type="paragraph" w:customStyle="1" w:styleId="Listaszerbekezds1">
    <w:name w:val="Listaszerű bekezdés1"/>
    <w:basedOn w:val="Norml"/>
    <w:rsid w:val="00184B45"/>
    <w:pPr>
      <w:suppressAutoHyphens/>
      <w:spacing w:after="0" w:line="100" w:lineRule="atLeast"/>
    </w:pPr>
    <w:rPr>
      <w:rFonts w:ascii="Times New Roman" w:eastAsia="Lucida Sans Unicode" w:hAnsi="Times New Roman" w:cs="Calibri"/>
      <w:kern w:val="1"/>
      <w:sz w:val="24"/>
      <w:szCs w:val="24"/>
      <w:lang w:eastAsia="ar-SA"/>
    </w:rPr>
  </w:style>
  <w:style w:type="paragraph" w:styleId="Listaszerbekezds">
    <w:name w:val="List Paragraph"/>
    <w:basedOn w:val="Norml"/>
    <w:uiPriority w:val="34"/>
    <w:qFormat/>
    <w:rsid w:val="00184B45"/>
    <w:pPr>
      <w:ind w:left="720"/>
      <w:contextualSpacing/>
    </w:pPr>
  </w:style>
  <w:style w:type="paragraph" w:customStyle="1" w:styleId="Default">
    <w:name w:val="Default"/>
    <w:rsid w:val="00184B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902B08"/>
    <w:rPr>
      <w:rFonts w:ascii="Arial" w:eastAsiaTheme="majorEastAsia" w:hAnsi="Arial" w:cs="Arial"/>
      <w:b/>
      <w:sz w:val="28"/>
      <w:szCs w:val="32"/>
      <w:lang w:eastAsia="en-US"/>
    </w:rPr>
  </w:style>
  <w:style w:type="character" w:customStyle="1" w:styleId="Cmsor2Char">
    <w:name w:val="Címsor 2 Char"/>
    <w:basedOn w:val="Bekezdsalapbettpusa"/>
    <w:link w:val="Cmsor2"/>
    <w:uiPriority w:val="9"/>
    <w:rsid w:val="00902B08"/>
    <w:rPr>
      <w:rFonts w:ascii="Arial" w:eastAsiaTheme="majorEastAsia" w:hAnsi="Arial" w:cs="Arial"/>
      <w:sz w:val="24"/>
      <w:szCs w:val="26"/>
      <w:lang w:eastAsia="en-US"/>
    </w:rPr>
  </w:style>
  <w:style w:type="character" w:customStyle="1" w:styleId="Cmsor3Char">
    <w:name w:val="Címsor 3 Char"/>
    <w:basedOn w:val="Bekezdsalapbettpusa"/>
    <w:link w:val="Cmsor3"/>
    <w:uiPriority w:val="9"/>
    <w:rsid w:val="00902B08"/>
    <w:rPr>
      <w:rFonts w:ascii="Arial" w:eastAsiaTheme="majorEastAsia" w:hAnsi="Arial" w:cs="Arial"/>
      <w:szCs w:val="26"/>
      <w:lang w:eastAsia="en-US"/>
    </w:rPr>
  </w:style>
  <w:style w:type="character" w:customStyle="1" w:styleId="Cmsor4Char">
    <w:name w:val="Címsor 4 Char"/>
    <w:basedOn w:val="Bekezdsalapbettpusa"/>
    <w:link w:val="Cmsor4"/>
    <w:uiPriority w:val="9"/>
    <w:semiHidden/>
    <w:rsid w:val="00A37A3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7A3E"/>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7A3E"/>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7A3E"/>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7A3E"/>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A37A3E"/>
    <w:rPr>
      <w:rFonts w:asciiTheme="majorHAnsi" w:eastAsiaTheme="majorEastAsia" w:hAnsiTheme="majorHAnsi" w:cstheme="majorBidi"/>
      <w:i/>
      <w:iCs/>
      <w:color w:val="404040" w:themeColor="text1" w:themeTint="BF"/>
      <w:sz w:val="20"/>
      <w:szCs w:val="20"/>
    </w:rPr>
  </w:style>
  <w:style w:type="paragraph" w:styleId="Szvegtrzs">
    <w:name w:val="Body Text"/>
    <w:basedOn w:val="Norml"/>
    <w:link w:val="SzvegtrzsChar"/>
    <w:semiHidden/>
    <w:rsid w:val="003C0307"/>
    <w:pPr>
      <w:shd w:val="clear" w:color="auto" w:fill="FFFFFF"/>
      <w:spacing w:before="60" w:after="4560" w:line="240" w:lineRule="atLeast"/>
      <w:ind w:hanging="560"/>
      <w:jc w:val="right"/>
    </w:pPr>
    <w:rPr>
      <w:rFonts w:ascii="Times New Roman" w:eastAsia="Arial Unicode MS" w:hAnsi="Times New Roman" w:cs="Times New Roman"/>
      <w:sz w:val="23"/>
      <w:szCs w:val="23"/>
    </w:rPr>
  </w:style>
  <w:style w:type="character" w:customStyle="1" w:styleId="SzvegtrzsChar">
    <w:name w:val="Szövegtörzs Char"/>
    <w:basedOn w:val="Bekezdsalapbettpusa"/>
    <w:link w:val="Szvegtrzs"/>
    <w:semiHidden/>
    <w:rsid w:val="003C0307"/>
    <w:rPr>
      <w:rFonts w:ascii="Times New Roman" w:eastAsia="Arial Unicode MS" w:hAnsi="Times New Roman" w:cs="Times New Roman"/>
      <w:sz w:val="23"/>
      <w:szCs w:val="23"/>
      <w:shd w:val="clear" w:color="auto" w:fill="FFFFFF"/>
    </w:rPr>
  </w:style>
  <w:style w:type="paragraph" w:customStyle="1" w:styleId="Cmsor30">
    <w:name w:val="Címsor #3"/>
    <w:basedOn w:val="Norml"/>
    <w:rsid w:val="003C0307"/>
    <w:pPr>
      <w:shd w:val="clear" w:color="auto" w:fill="FFFFFF"/>
      <w:spacing w:before="480" w:after="300" w:line="240" w:lineRule="atLeast"/>
      <w:outlineLvl w:val="2"/>
    </w:pPr>
    <w:rPr>
      <w:rFonts w:ascii="Times New Roman" w:eastAsia="Arial Unicode MS" w:hAnsi="Times New Roman" w:cs="Times New Roman"/>
      <w:b/>
      <w:bCs/>
      <w:sz w:val="23"/>
      <w:szCs w:val="23"/>
    </w:rPr>
  </w:style>
  <w:style w:type="table" w:styleId="Rcsostblzat">
    <w:name w:val="Table Grid"/>
    <w:basedOn w:val="Normltblzat"/>
    <w:uiPriority w:val="59"/>
    <w:rsid w:val="00000D04"/>
    <w:pPr>
      <w:spacing w:after="0" w:line="240" w:lineRule="auto"/>
    </w:pPr>
    <w:rPr>
      <w:rFonts w:ascii="Arial" w:eastAsiaTheme="minorHAnsi" w:hAnsi="Arial" w:cs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lista1">
    <w:name w:val="Medium List 1"/>
    <w:basedOn w:val="Normltblzat"/>
    <w:uiPriority w:val="65"/>
    <w:rsid w:val="00FB46AF"/>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artalomjegyzkcmsora">
    <w:name w:val="TOC Heading"/>
    <w:basedOn w:val="Cmsor1"/>
    <w:next w:val="Norml"/>
    <w:uiPriority w:val="39"/>
    <w:unhideWhenUsed/>
    <w:qFormat/>
    <w:rsid w:val="00B26043"/>
    <w:pPr>
      <w:numPr>
        <w:numId w:val="0"/>
      </w:numPr>
      <w:outlineLvl w:val="9"/>
    </w:pPr>
  </w:style>
  <w:style w:type="paragraph" w:styleId="TJ1">
    <w:name w:val="toc 1"/>
    <w:basedOn w:val="Norml"/>
    <w:next w:val="Norml"/>
    <w:autoRedefine/>
    <w:uiPriority w:val="39"/>
    <w:unhideWhenUsed/>
    <w:rsid w:val="00B26043"/>
    <w:pPr>
      <w:spacing w:after="100"/>
    </w:pPr>
  </w:style>
  <w:style w:type="paragraph" w:styleId="TJ2">
    <w:name w:val="toc 2"/>
    <w:basedOn w:val="Norml"/>
    <w:next w:val="Norml"/>
    <w:autoRedefine/>
    <w:uiPriority w:val="39"/>
    <w:unhideWhenUsed/>
    <w:rsid w:val="00B26043"/>
    <w:pPr>
      <w:spacing w:after="100"/>
      <w:ind w:left="220"/>
    </w:pPr>
  </w:style>
  <w:style w:type="character" w:styleId="Jegyzethivatkozs">
    <w:name w:val="annotation reference"/>
    <w:basedOn w:val="Bekezdsalapbettpusa"/>
    <w:uiPriority w:val="99"/>
    <w:semiHidden/>
    <w:unhideWhenUsed/>
    <w:rsid w:val="007A590C"/>
    <w:rPr>
      <w:sz w:val="16"/>
      <w:szCs w:val="16"/>
    </w:rPr>
  </w:style>
  <w:style w:type="paragraph" w:styleId="Jegyzetszveg">
    <w:name w:val="annotation text"/>
    <w:basedOn w:val="Norml"/>
    <w:link w:val="JegyzetszvegChar"/>
    <w:uiPriority w:val="99"/>
    <w:semiHidden/>
    <w:unhideWhenUsed/>
    <w:rsid w:val="007A590C"/>
    <w:pPr>
      <w:spacing w:line="240" w:lineRule="auto"/>
    </w:pPr>
    <w:rPr>
      <w:sz w:val="20"/>
      <w:szCs w:val="20"/>
    </w:rPr>
  </w:style>
  <w:style w:type="character" w:customStyle="1" w:styleId="JegyzetszvegChar">
    <w:name w:val="Jegyzetszöveg Char"/>
    <w:basedOn w:val="Bekezdsalapbettpusa"/>
    <w:link w:val="Jegyzetszveg"/>
    <w:uiPriority w:val="99"/>
    <w:semiHidden/>
    <w:rsid w:val="007A590C"/>
    <w:rPr>
      <w:sz w:val="20"/>
      <w:szCs w:val="20"/>
    </w:rPr>
  </w:style>
  <w:style w:type="paragraph" w:styleId="Megjegyzstrgya">
    <w:name w:val="annotation subject"/>
    <w:basedOn w:val="Jegyzetszveg"/>
    <w:next w:val="Jegyzetszveg"/>
    <w:link w:val="MegjegyzstrgyaChar"/>
    <w:uiPriority w:val="99"/>
    <w:semiHidden/>
    <w:unhideWhenUsed/>
    <w:rsid w:val="007A590C"/>
    <w:rPr>
      <w:b/>
      <w:bCs/>
    </w:rPr>
  </w:style>
  <w:style w:type="character" w:customStyle="1" w:styleId="MegjegyzstrgyaChar">
    <w:name w:val="Megjegyzés tárgya Char"/>
    <w:basedOn w:val="JegyzetszvegChar"/>
    <w:link w:val="Megjegyzstrgya"/>
    <w:uiPriority w:val="99"/>
    <w:semiHidden/>
    <w:rsid w:val="007A590C"/>
    <w:rPr>
      <w:b/>
      <w:bCs/>
      <w:sz w:val="20"/>
      <w:szCs w:val="20"/>
    </w:rPr>
  </w:style>
  <w:style w:type="table" w:styleId="Vilgostnus">
    <w:name w:val="Light Shading"/>
    <w:basedOn w:val="Normltblzat"/>
    <w:uiPriority w:val="60"/>
    <w:semiHidden/>
    <w:unhideWhenUsed/>
    <w:rsid w:val="00EB40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zepeslista11">
    <w:name w:val="Közepes lista 11"/>
    <w:basedOn w:val="Normltblzat"/>
    <w:next w:val="Kzepeslista1"/>
    <w:uiPriority w:val="65"/>
    <w:rsid w:val="00A91848"/>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J3">
    <w:name w:val="toc 3"/>
    <w:basedOn w:val="Norml"/>
    <w:next w:val="Norml"/>
    <w:autoRedefine/>
    <w:uiPriority w:val="39"/>
    <w:unhideWhenUsed/>
    <w:rsid w:val="00BE0025"/>
    <w:pPr>
      <w:spacing w:after="100"/>
      <w:ind w:left="440"/>
    </w:pPr>
  </w:style>
  <w:style w:type="paragraph" w:styleId="Vltozat">
    <w:name w:val="Revision"/>
    <w:hidden/>
    <w:uiPriority w:val="99"/>
    <w:semiHidden/>
    <w:rsid w:val="00D7716B"/>
    <w:pPr>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44602888">
      <w:bodyDiv w:val="1"/>
      <w:marLeft w:val="0"/>
      <w:marRight w:val="0"/>
      <w:marTop w:val="0"/>
      <w:marBottom w:val="0"/>
      <w:divBdr>
        <w:top w:val="none" w:sz="0" w:space="0" w:color="auto"/>
        <w:left w:val="none" w:sz="0" w:space="0" w:color="auto"/>
        <w:bottom w:val="none" w:sz="0" w:space="0" w:color="auto"/>
        <w:right w:val="none" w:sz="0" w:space="0" w:color="auto"/>
      </w:divBdr>
    </w:div>
    <w:div w:id="378017696">
      <w:bodyDiv w:val="1"/>
      <w:marLeft w:val="0"/>
      <w:marRight w:val="0"/>
      <w:marTop w:val="0"/>
      <w:marBottom w:val="0"/>
      <w:divBdr>
        <w:top w:val="none" w:sz="0" w:space="0" w:color="auto"/>
        <w:left w:val="none" w:sz="0" w:space="0" w:color="auto"/>
        <w:bottom w:val="none" w:sz="0" w:space="0" w:color="auto"/>
        <w:right w:val="none" w:sz="0" w:space="0" w:color="auto"/>
      </w:divBdr>
    </w:div>
    <w:div w:id="423263812">
      <w:bodyDiv w:val="1"/>
      <w:marLeft w:val="0"/>
      <w:marRight w:val="0"/>
      <w:marTop w:val="0"/>
      <w:marBottom w:val="0"/>
      <w:divBdr>
        <w:top w:val="none" w:sz="0" w:space="0" w:color="auto"/>
        <w:left w:val="none" w:sz="0" w:space="0" w:color="auto"/>
        <w:bottom w:val="none" w:sz="0" w:space="0" w:color="auto"/>
        <w:right w:val="none" w:sz="0" w:space="0" w:color="auto"/>
      </w:divBdr>
    </w:div>
    <w:div w:id="786049243">
      <w:bodyDiv w:val="1"/>
      <w:marLeft w:val="0"/>
      <w:marRight w:val="0"/>
      <w:marTop w:val="0"/>
      <w:marBottom w:val="0"/>
      <w:divBdr>
        <w:top w:val="none" w:sz="0" w:space="0" w:color="auto"/>
        <w:left w:val="none" w:sz="0" w:space="0" w:color="auto"/>
        <w:bottom w:val="none" w:sz="0" w:space="0" w:color="auto"/>
        <w:right w:val="none" w:sz="0" w:space="0" w:color="auto"/>
      </w:divBdr>
    </w:div>
    <w:div w:id="859123135">
      <w:bodyDiv w:val="1"/>
      <w:marLeft w:val="0"/>
      <w:marRight w:val="0"/>
      <w:marTop w:val="0"/>
      <w:marBottom w:val="0"/>
      <w:divBdr>
        <w:top w:val="none" w:sz="0" w:space="0" w:color="auto"/>
        <w:left w:val="none" w:sz="0" w:space="0" w:color="auto"/>
        <w:bottom w:val="none" w:sz="0" w:space="0" w:color="auto"/>
        <w:right w:val="none" w:sz="0" w:space="0" w:color="auto"/>
      </w:divBdr>
    </w:div>
    <w:div w:id="876159634">
      <w:bodyDiv w:val="1"/>
      <w:marLeft w:val="0"/>
      <w:marRight w:val="0"/>
      <w:marTop w:val="0"/>
      <w:marBottom w:val="0"/>
      <w:divBdr>
        <w:top w:val="none" w:sz="0" w:space="0" w:color="auto"/>
        <w:left w:val="none" w:sz="0" w:space="0" w:color="auto"/>
        <w:bottom w:val="none" w:sz="0" w:space="0" w:color="auto"/>
        <w:right w:val="none" w:sz="0" w:space="0" w:color="auto"/>
      </w:divBdr>
    </w:div>
    <w:div w:id="948859114">
      <w:bodyDiv w:val="1"/>
      <w:marLeft w:val="0"/>
      <w:marRight w:val="0"/>
      <w:marTop w:val="0"/>
      <w:marBottom w:val="0"/>
      <w:divBdr>
        <w:top w:val="none" w:sz="0" w:space="0" w:color="auto"/>
        <w:left w:val="none" w:sz="0" w:space="0" w:color="auto"/>
        <w:bottom w:val="none" w:sz="0" w:space="0" w:color="auto"/>
        <w:right w:val="none" w:sz="0" w:space="0" w:color="auto"/>
      </w:divBdr>
    </w:div>
    <w:div w:id="957300396">
      <w:bodyDiv w:val="1"/>
      <w:marLeft w:val="0"/>
      <w:marRight w:val="0"/>
      <w:marTop w:val="0"/>
      <w:marBottom w:val="0"/>
      <w:divBdr>
        <w:top w:val="none" w:sz="0" w:space="0" w:color="auto"/>
        <w:left w:val="none" w:sz="0" w:space="0" w:color="auto"/>
        <w:bottom w:val="none" w:sz="0" w:space="0" w:color="auto"/>
        <w:right w:val="none" w:sz="0" w:space="0" w:color="auto"/>
      </w:divBdr>
    </w:div>
    <w:div w:id="969212394">
      <w:bodyDiv w:val="1"/>
      <w:marLeft w:val="0"/>
      <w:marRight w:val="0"/>
      <w:marTop w:val="0"/>
      <w:marBottom w:val="0"/>
      <w:divBdr>
        <w:top w:val="none" w:sz="0" w:space="0" w:color="auto"/>
        <w:left w:val="none" w:sz="0" w:space="0" w:color="auto"/>
        <w:bottom w:val="none" w:sz="0" w:space="0" w:color="auto"/>
        <w:right w:val="none" w:sz="0" w:space="0" w:color="auto"/>
      </w:divBdr>
    </w:div>
    <w:div w:id="1098677560">
      <w:bodyDiv w:val="1"/>
      <w:marLeft w:val="0"/>
      <w:marRight w:val="0"/>
      <w:marTop w:val="0"/>
      <w:marBottom w:val="0"/>
      <w:divBdr>
        <w:top w:val="none" w:sz="0" w:space="0" w:color="auto"/>
        <w:left w:val="none" w:sz="0" w:space="0" w:color="auto"/>
        <w:bottom w:val="none" w:sz="0" w:space="0" w:color="auto"/>
        <w:right w:val="none" w:sz="0" w:space="0" w:color="auto"/>
      </w:divBdr>
    </w:div>
    <w:div w:id="1218976053">
      <w:bodyDiv w:val="1"/>
      <w:marLeft w:val="0"/>
      <w:marRight w:val="0"/>
      <w:marTop w:val="0"/>
      <w:marBottom w:val="0"/>
      <w:divBdr>
        <w:top w:val="none" w:sz="0" w:space="0" w:color="auto"/>
        <w:left w:val="none" w:sz="0" w:space="0" w:color="auto"/>
        <w:bottom w:val="none" w:sz="0" w:space="0" w:color="auto"/>
        <w:right w:val="none" w:sz="0" w:space="0" w:color="auto"/>
      </w:divBdr>
    </w:div>
    <w:div w:id="1272395305">
      <w:bodyDiv w:val="1"/>
      <w:marLeft w:val="0"/>
      <w:marRight w:val="0"/>
      <w:marTop w:val="0"/>
      <w:marBottom w:val="0"/>
      <w:divBdr>
        <w:top w:val="none" w:sz="0" w:space="0" w:color="auto"/>
        <w:left w:val="none" w:sz="0" w:space="0" w:color="auto"/>
        <w:bottom w:val="none" w:sz="0" w:space="0" w:color="auto"/>
        <w:right w:val="none" w:sz="0" w:space="0" w:color="auto"/>
      </w:divBdr>
    </w:div>
    <w:div w:id="1281693156">
      <w:bodyDiv w:val="1"/>
      <w:marLeft w:val="0"/>
      <w:marRight w:val="0"/>
      <w:marTop w:val="0"/>
      <w:marBottom w:val="0"/>
      <w:divBdr>
        <w:top w:val="none" w:sz="0" w:space="0" w:color="auto"/>
        <w:left w:val="none" w:sz="0" w:space="0" w:color="auto"/>
        <w:bottom w:val="none" w:sz="0" w:space="0" w:color="auto"/>
        <w:right w:val="none" w:sz="0" w:space="0" w:color="auto"/>
      </w:divBdr>
    </w:div>
    <w:div w:id="1337608502">
      <w:bodyDiv w:val="1"/>
      <w:marLeft w:val="0"/>
      <w:marRight w:val="0"/>
      <w:marTop w:val="0"/>
      <w:marBottom w:val="0"/>
      <w:divBdr>
        <w:top w:val="none" w:sz="0" w:space="0" w:color="auto"/>
        <w:left w:val="none" w:sz="0" w:space="0" w:color="auto"/>
        <w:bottom w:val="none" w:sz="0" w:space="0" w:color="auto"/>
        <w:right w:val="none" w:sz="0" w:space="0" w:color="auto"/>
      </w:divBdr>
    </w:div>
    <w:div w:id="1534534532">
      <w:bodyDiv w:val="1"/>
      <w:marLeft w:val="0"/>
      <w:marRight w:val="0"/>
      <w:marTop w:val="0"/>
      <w:marBottom w:val="0"/>
      <w:divBdr>
        <w:top w:val="none" w:sz="0" w:space="0" w:color="auto"/>
        <w:left w:val="none" w:sz="0" w:space="0" w:color="auto"/>
        <w:bottom w:val="none" w:sz="0" w:space="0" w:color="auto"/>
        <w:right w:val="none" w:sz="0" w:space="0" w:color="auto"/>
      </w:divBdr>
    </w:div>
    <w:div w:id="1627200382">
      <w:bodyDiv w:val="1"/>
      <w:marLeft w:val="0"/>
      <w:marRight w:val="0"/>
      <w:marTop w:val="0"/>
      <w:marBottom w:val="0"/>
      <w:divBdr>
        <w:top w:val="none" w:sz="0" w:space="0" w:color="auto"/>
        <w:left w:val="none" w:sz="0" w:space="0" w:color="auto"/>
        <w:bottom w:val="none" w:sz="0" w:space="0" w:color="auto"/>
        <w:right w:val="none" w:sz="0" w:space="0" w:color="auto"/>
      </w:divBdr>
    </w:div>
    <w:div w:id="1692491295">
      <w:bodyDiv w:val="1"/>
      <w:marLeft w:val="0"/>
      <w:marRight w:val="0"/>
      <w:marTop w:val="0"/>
      <w:marBottom w:val="0"/>
      <w:divBdr>
        <w:top w:val="none" w:sz="0" w:space="0" w:color="auto"/>
        <w:left w:val="none" w:sz="0" w:space="0" w:color="auto"/>
        <w:bottom w:val="none" w:sz="0" w:space="0" w:color="auto"/>
        <w:right w:val="none" w:sz="0" w:space="0" w:color="auto"/>
      </w:divBdr>
    </w:div>
    <w:div w:id="20278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budapest.hu/Lapok/Kozgyules/Rendeletta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kemenysepro.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Igazgatosag\Irodavezeto\KOMMUNIKACIO\Arculat\Levelpapir.2013.01.0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Office_Excel_munkalap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munkalap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munkalap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munkalap6.xlsx"/></Relationships>
</file>

<file path=word/charts/_rels/chart7.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Office_Excel_munkalap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manualLayout>
          <c:layoutTarget val="inner"/>
          <c:xMode val="edge"/>
          <c:yMode val="edge"/>
          <c:x val="0.11448108048993877"/>
          <c:y val="4.4057617797775311E-2"/>
          <c:w val="0.86237077136191309"/>
          <c:h val="0.85653105861767309"/>
        </c:manualLayout>
      </c:layout>
      <c:barChart>
        <c:barDir val="col"/>
        <c:grouping val="clustered"/>
        <c:ser>
          <c:idx val="0"/>
          <c:order val="0"/>
          <c:tx>
            <c:strRef>
              <c:f>Munka1!$B$1</c:f>
              <c:strCache>
                <c:ptCount val="1"/>
                <c:pt idx="0">
                  <c:v>Oszlop1</c:v>
                </c:pt>
              </c:strCache>
            </c:strRef>
          </c:tx>
          <c:dLbls>
            <c:dLbl>
              <c:idx val="0"/>
              <c:layout>
                <c:manualLayout>
                  <c:x val="2.3148148148148147E-3"/>
                  <c:y val="0"/>
                </c:manualLayout>
              </c:layout>
              <c:showVal val="1"/>
              <c:extLst>
                <c:ext xmlns:c15="http://schemas.microsoft.com/office/drawing/2012/chart" uri="{CE6537A1-D6FC-4f65-9D91-7224C49458BB}">
                  <c15:layout/>
                </c:ext>
              </c:extLst>
            </c:dLbl>
            <c:dLbl>
              <c:idx val="1"/>
              <c:layout>
                <c:manualLayout>
                  <c:x val="-4.243778136006679E-17"/>
                  <c:y val="7.9365079365079222E-3"/>
                </c:manualLayout>
              </c:layout>
              <c:showVal val="1"/>
              <c:extLst>
                <c:ext xmlns:c15="http://schemas.microsoft.com/office/drawing/2012/chart" uri="{CE6537A1-D6FC-4f65-9D91-7224C49458BB}">
                  <c15:layout/>
                </c:ext>
              </c:extLst>
            </c:dLbl>
            <c:dLbl>
              <c:idx val="4"/>
              <c:layout>
                <c:manualLayout>
                  <c:x val="0"/>
                  <c:y val="1.9841269841269851E-2"/>
                </c:manualLayout>
              </c:layout>
              <c:showVal val="1"/>
              <c:extLst>
                <c:ext xmlns:c15="http://schemas.microsoft.com/office/drawing/2012/chart" uri="{CE6537A1-D6FC-4f65-9D91-7224C49458BB}">
                  <c15:layout/>
                </c:ext>
              </c:extLst>
            </c:dLbl>
            <c:dLbl>
              <c:idx val="5"/>
              <c:layout>
                <c:manualLayout>
                  <c:x val="-8.4875562720133604E-17"/>
                  <c:y val="-7.9365079365079569E-3"/>
                </c:manualLayout>
              </c:layout>
              <c:showVal val="1"/>
              <c:extLst>
                <c:ext xmlns:c15="http://schemas.microsoft.com/office/drawing/2012/chart" uri="{CE6537A1-D6FC-4f65-9D91-7224C49458BB}">
                  <c15:layout/>
                </c:ext>
              </c:extLst>
            </c:dLbl>
            <c:dLbl>
              <c:idx val="6"/>
              <c:layout>
                <c:manualLayout>
                  <c:x val="0"/>
                  <c:y val="1.1904761904761765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numRef>
              <c:f>Munka1!$A$2:$A$8</c:f>
              <c:numCache>
                <c:formatCode>General</c:formatCode>
                <c:ptCount val="7"/>
                <c:pt idx="0">
                  <c:v>2007</c:v>
                </c:pt>
                <c:pt idx="1">
                  <c:v>2008</c:v>
                </c:pt>
                <c:pt idx="2">
                  <c:v>2009</c:v>
                </c:pt>
                <c:pt idx="3">
                  <c:v>2010</c:v>
                </c:pt>
                <c:pt idx="4">
                  <c:v>2011</c:v>
                </c:pt>
                <c:pt idx="5">
                  <c:v>2012</c:v>
                </c:pt>
                <c:pt idx="6">
                  <c:v>2013</c:v>
                </c:pt>
              </c:numCache>
            </c:numRef>
          </c:cat>
          <c:val>
            <c:numRef>
              <c:f>Munka1!$B$2:$B$8</c:f>
              <c:numCache>
                <c:formatCode>#,##0</c:formatCode>
                <c:ptCount val="7"/>
                <c:pt idx="0">
                  <c:v>124684</c:v>
                </c:pt>
                <c:pt idx="1">
                  <c:v>129144</c:v>
                </c:pt>
                <c:pt idx="2">
                  <c:v>138860</c:v>
                </c:pt>
                <c:pt idx="3">
                  <c:v>148223</c:v>
                </c:pt>
                <c:pt idx="4">
                  <c:v>152773</c:v>
                </c:pt>
                <c:pt idx="5">
                  <c:v>136244</c:v>
                </c:pt>
                <c:pt idx="6">
                  <c:v>61918</c:v>
                </c:pt>
              </c:numCache>
            </c:numRef>
          </c:val>
        </c:ser>
        <c:axId val="191576704"/>
        <c:axId val="192592512"/>
      </c:barChart>
      <c:catAx>
        <c:axId val="191576704"/>
        <c:scaling>
          <c:orientation val="minMax"/>
        </c:scaling>
        <c:axPos val="b"/>
        <c:numFmt formatCode="General" sourceLinked="1"/>
        <c:tickLblPos val="nextTo"/>
        <c:crossAx val="192592512"/>
        <c:crosses val="autoZero"/>
        <c:auto val="1"/>
        <c:lblAlgn val="ctr"/>
        <c:lblOffset val="100"/>
        <c:noMultiLvlLbl val="1"/>
      </c:catAx>
      <c:valAx>
        <c:axId val="192592512"/>
        <c:scaling>
          <c:orientation val="minMax"/>
          <c:max val="160000"/>
          <c:min val="0"/>
        </c:scaling>
        <c:axPos val="l"/>
        <c:majorGridlines/>
        <c:numFmt formatCode="#,##0" sourceLinked="1"/>
        <c:tickLblPos val="nextTo"/>
        <c:crossAx val="191576704"/>
        <c:crosses val="autoZero"/>
        <c:crossBetween val="between"/>
        <c:majorUnit val="20000"/>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barChart>
        <c:barDir val="col"/>
        <c:grouping val="clustered"/>
        <c:ser>
          <c:idx val="0"/>
          <c:order val="0"/>
          <c:tx>
            <c:strRef>
              <c:f>Munka1!$B$1</c:f>
              <c:strCache>
                <c:ptCount val="1"/>
                <c:pt idx="0">
                  <c:v>Oszlop1</c:v>
                </c:pt>
              </c:strCache>
            </c:strRef>
          </c:tx>
          <c:spPr>
            <a:solidFill>
              <a:schemeClr val="bg1">
                <a:lumMod val="50000"/>
              </a:schemeClr>
            </a:solidFill>
          </c:spPr>
          <c:dLbls>
            <c:spPr>
              <a:noFill/>
              <a:ln>
                <a:noFill/>
              </a:ln>
              <a:effectLst/>
            </c:spPr>
            <c:showVal val="1"/>
            <c:extLst>
              <c:ext xmlns:c15="http://schemas.microsoft.com/office/drawing/2012/chart" uri="{CE6537A1-D6FC-4f65-9D91-7224C49458BB}">
                <c15:layout/>
                <c15:showLeaderLines val="0"/>
              </c:ext>
            </c:extLst>
          </c:dLbls>
          <c:trendline>
            <c:spPr>
              <a:ln>
                <a:solidFill>
                  <a:srgbClr val="00B0F0"/>
                </a:solidFill>
              </a:ln>
            </c:spPr>
            <c:trendlineType val="poly"/>
            <c:order val="3"/>
          </c:trendline>
          <c:cat>
            <c:strRef>
              <c:f>Munka1!$A$2:$A$11</c:f>
              <c:strCache>
                <c:ptCount val="10"/>
                <c:pt idx="0">
                  <c:v>március</c:v>
                </c:pt>
                <c:pt idx="1">
                  <c:v>április</c:v>
                </c:pt>
                <c:pt idx="2">
                  <c:v>május</c:v>
                </c:pt>
                <c:pt idx="3">
                  <c:v>június</c:v>
                </c:pt>
                <c:pt idx="4">
                  <c:v>július</c:v>
                </c:pt>
                <c:pt idx="5">
                  <c:v>augusztus</c:v>
                </c:pt>
                <c:pt idx="6">
                  <c:v>szeptember</c:v>
                </c:pt>
                <c:pt idx="7">
                  <c:v>október</c:v>
                </c:pt>
                <c:pt idx="8">
                  <c:v>november</c:v>
                </c:pt>
                <c:pt idx="9">
                  <c:v>december</c:v>
                </c:pt>
              </c:strCache>
            </c:strRef>
          </c:cat>
          <c:val>
            <c:numRef>
              <c:f>Munka1!$B$2:$B$11</c:f>
              <c:numCache>
                <c:formatCode>#,##0</c:formatCode>
                <c:ptCount val="10"/>
                <c:pt idx="0">
                  <c:v>1363</c:v>
                </c:pt>
                <c:pt idx="1">
                  <c:v>2003</c:v>
                </c:pt>
                <c:pt idx="2">
                  <c:v>2287</c:v>
                </c:pt>
                <c:pt idx="3">
                  <c:v>2190</c:v>
                </c:pt>
                <c:pt idx="4">
                  <c:v>2425</c:v>
                </c:pt>
                <c:pt idx="5">
                  <c:v>1946</c:v>
                </c:pt>
                <c:pt idx="6">
                  <c:v>1815</c:v>
                </c:pt>
                <c:pt idx="7">
                  <c:v>1770</c:v>
                </c:pt>
                <c:pt idx="8">
                  <c:v>1622</c:v>
                </c:pt>
                <c:pt idx="9" formatCode="General">
                  <c:v>897</c:v>
                </c:pt>
              </c:numCache>
            </c:numRef>
          </c:val>
        </c:ser>
        <c:axId val="185018240"/>
        <c:axId val="185019776"/>
      </c:barChart>
      <c:catAx>
        <c:axId val="185018240"/>
        <c:scaling>
          <c:orientation val="minMax"/>
        </c:scaling>
        <c:axPos val="b"/>
        <c:numFmt formatCode="General" sourceLinked="0"/>
        <c:tickLblPos val="nextTo"/>
        <c:crossAx val="185019776"/>
        <c:crosses val="autoZero"/>
        <c:auto val="1"/>
        <c:lblAlgn val="ctr"/>
        <c:lblOffset val="100"/>
      </c:catAx>
      <c:valAx>
        <c:axId val="185019776"/>
        <c:scaling>
          <c:orientation val="minMax"/>
        </c:scaling>
        <c:axPos val="l"/>
        <c:majorGridlines/>
        <c:numFmt formatCode="#,##0" sourceLinked="1"/>
        <c:tickLblPos val="nextTo"/>
        <c:crossAx val="185018240"/>
        <c:crosses val="autoZero"/>
        <c:crossBetween val="between"/>
      </c:valAx>
    </c:plotArea>
    <c:plotVisOnly val="1"/>
    <c:dispBlanksAs val="gap"/>
  </c:chart>
  <c:spPr>
    <a:ln>
      <a:solidFill>
        <a:schemeClr val="bg1">
          <a:lumMod val="85000"/>
        </a:schemeClr>
      </a:solidFill>
    </a:ln>
  </c:spPr>
  <c:txPr>
    <a:bodyPr/>
    <a:lstStyle/>
    <a:p>
      <a:pPr>
        <a:defRPr sz="1000">
          <a:latin typeface="Arial" panose="020B0604020202020204" pitchFamily="34" charset="0"/>
          <a:cs typeface="Arial" panose="020B0604020202020204" pitchFamily="34" charset="0"/>
        </a:defRPr>
      </a:pPr>
      <a:endParaRPr lang="hu-H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pieChart>
        <c:varyColors val="1"/>
        <c:ser>
          <c:idx val="0"/>
          <c:order val="0"/>
          <c:tx>
            <c:strRef>
              <c:f>Munka1!$B$1</c:f>
              <c:strCache>
                <c:ptCount val="1"/>
                <c:pt idx="0">
                  <c:v>Értékesítés</c:v>
                </c:pt>
              </c:strCache>
            </c:strRef>
          </c:tx>
          <c:dPt>
            <c:idx val="0"/>
            <c:spPr>
              <a:solidFill>
                <a:schemeClr val="bg1">
                  <a:lumMod val="75000"/>
                </a:schemeClr>
              </a:solidFill>
              <a:ln w="19050">
                <a:solidFill>
                  <a:schemeClr val="lt1"/>
                </a:solidFill>
              </a:ln>
              <a:effectLst/>
            </c:spPr>
          </c:dPt>
          <c:dPt>
            <c:idx val="1"/>
            <c:spPr>
              <a:solidFill>
                <a:schemeClr val="bg1">
                  <a:lumMod val="50000"/>
                </a:schemeClr>
              </a:solidFill>
              <a:ln w="19050">
                <a:solidFill>
                  <a:schemeClr val="lt1"/>
                </a:solidFill>
              </a:ln>
              <a:effectLst/>
            </c:spPr>
          </c:dPt>
          <c:dPt>
            <c:idx val="2"/>
            <c:spPr>
              <a:solidFill>
                <a:schemeClr val="tx1">
                  <a:lumMod val="65000"/>
                  <a:lumOff val="35000"/>
                </a:schemeClr>
              </a:solidFill>
              <a:ln w="19050">
                <a:solidFill>
                  <a:schemeClr val="lt1"/>
                </a:solidFill>
              </a:ln>
              <a:effectLst/>
            </c:spPr>
          </c:dPt>
          <c:dPt>
            <c:idx val="3"/>
            <c:spPr>
              <a:solidFill>
                <a:schemeClr val="tx1">
                  <a:lumMod val="95000"/>
                  <a:lumOff val="5000"/>
                </a:schemeClr>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Lbls>
            <c:dLbl>
              <c:idx val="3"/>
              <c:layout>
                <c:manualLayout>
                  <c:x val="1.2633178382095211E-2"/>
                  <c:y val="-1.377885096100444E-2"/>
                </c:manualLayout>
              </c:layout>
              <c:dLblPos val="bestFit"/>
              <c:showCatName val="1"/>
              <c:showPercent val="1"/>
              <c:extLst>
                <c:ext xmlns:c15="http://schemas.microsoft.com/office/drawing/2012/chart" uri="{CE6537A1-D6FC-4f65-9D91-7224C49458BB}">
                  <c15:layout/>
                </c:ext>
              </c:extLst>
            </c:dLbl>
            <c:dLbl>
              <c:idx val="4"/>
              <c:layout>
                <c:manualLayout>
                  <c:x val="7.2640775697047313E-2"/>
                  <c:y val="7.7161565381624261E-2"/>
                </c:manualLayout>
              </c:layout>
              <c:dLblPos val="bestFit"/>
              <c:showCatName val="1"/>
              <c:showPercent val="1"/>
              <c:extLst>
                <c:ext xmlns:c15="http://schemas.microsoft.com/office/drawing/2012/chart" uri="{CE6537A1-D6FC-4f65-9D91-7224C49458BB}">
                  <c15:layout/>
                </c:ext>
              </c:extLst>
            </c:dLbl>
            <c:dLbl>
              <c:idx val="5"/>
              <c:layout>
                <c:manualLayout>
                  <c:x val="-7.8957364888095089E-3"/>
                  <c:y val="9.3696186534829473E-2"/>
                </c:manualLayout>
              </c:layout>
              <c:dLblPos val="bestFit"/>
              <c:showCatName val="1"/>
              <c:showPercent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hu-HU"/>
              </a:p>
            </c:txPr>
            <c:dLblPos val="out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Munka1!$A$2:$A$7</c:f>
              <c:strCache>
                <c:ptCount val="6"/>
                <c:pt idx="0">
                  <c:v>e-mail</c:v>
                </c:pt>
                <c:pt idx="1">
                  <c:v>call center</c:v>
                </c:pt>
                <c:pt idx="2">
                  <c:v>postai levél</c:v>
                </c:pt>
                <c:pt idx="3">
                  <c:v>fax</c:v>
                </c:pt>
                <c:pt idx="4">
                  <c:v>személyes</c:v>
                </c:pt>
                <c:pt idx="5">
                  <c:v>egyéb</c:v>
                </c:pt>
              </c:strCache>
            </c:strRef>
          </c:cat>
          <c:val>
            <c:numRef>
              <c:f>Munka1!$B$2:$B$7</c:f>
              <c:numCache>
                <c:formatCode>General</c:formatCode>
                <c:ptCount val="6"/>
                <c:pt idx="0">
                  <c:v>14239</c:v>
                </c:pt>
                <c:pt idx="1">
                  <c:v>2475</c:v>
                </c:pt>
                <c:pt idx="2">
                  <c:v>1317</c:v>
                </c:pt>
                <c:pt idx="3">
                  <c:v>187</c:v>
                </c:pt>
                <c:pt idx="4">
                  <c:v>45</c:v>
                </c:pt>
                <c:pt idx="5">
                  <c:v>5</c:v>
                </c:pt>
              </c:numCache>
            </c:numRef>
          </c:val>
        </c:ser>
        <c:firstSliceAng val="120"/>
      </c:pieChart>
      <c:spPr>
        <a:noFill/>
        <a:ln>
          <a:noFill/>
        </a:ln>
        <a:effectLst/>
      </c:spPr>
    </c:plotArea>
    <c:plotVisOnly val="1"/>
    <c:dispBlanksAs val="zero"/>
  </c:chart>
  <c:spPr>
    <a:noFill/>
    <a:ln w="9525" cap="flat" cmpd="sng" algn="ctr">
      <a:solidFill>
        <a:schemeClr val="bg1">
          <a:lumMod val="85000"/>
        </a:schemeClr>
      </a:solidFill>
      <a:round/>
    </a:ln>
    <a:effectLst/>
  </c:spPr>
  <c:txPr>
    <a:bodyPr/>
    <a:lstStyle/>
    <a:p>
      <a:pPr>
        <a:defRPr sz="1000">
          <a:latin typeface="Arial" panose="020B0604020202020204" pitchFamily="34" charset="0"/>
          <a:cs typeface="Arial" panose="020B0604020202020204" pitchFamily="34" charset="0"/>
        </a:defRPr>
      </a:pPr>
      <a:endParaRPr lang="hu-H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pieChart>
        <c:varyColors val="1"/>
        <c:ser>
          <c:idx val="0"/>
          <c:order val="0"/>
          <c:tx>
            <c:strRef>
              <c:f>Munka1!$B$1</c:f>
              <c:strCache>
                <c:ptCount val="1"/>
                <c:pt idx="0">
                  <c:v>Oszlop1</c:v>
                </c:pt>
              </c:strCache>
            </c:strRef>
          </c:tx>
          <c:dPt>
            <c:idx val="0"/>
            <c:spPr>
              <a:solidFill>
                <a:schemeClr val="tx1">
                  <a:lumMod val="85000"/>
                  <a:lumOff val="15000"/>
                </a:schemeClr>
              </a:solidFill>
            </c:spPr>
          </c:dPt>
          <c:dPt>
            <c:idx val="1"/>
            <c:spPr>
              <a:solidFill>
                <a:schemeClr val="tx1">
                  <a:lumMod val="65000"/>
                  <a:lumOff val="35000"/>
                </a:schemeClr>
              </a:solidFill>
            </c:spPr>
          </c:dPt>
          <c:dPt>
            <c:idx val="2"/>
            <c:spPr>
              <a:solidFill>
                <a:schemeClr val="bg1">
                  <a:lumMod val="50000"/>
                </a:schemeClr>
              </a:solidFill>
            </c:spPr>
          </c:dPt>
          <c:dPt>
            <c:idx val="3"/>
            <c:spPr>
              <a:solidFill>
                <a:schemeClr val="bg1">
                  <a:lumMod val="75000"/>
                </a:schemeClr>
              </a:solidFill>
            </c:spPr>
          </c:dPt>
          <c:dPt>
            <c:idx val="4"/>
            <c:spPr>
              <a:solidFill>
                <a:schemeClr val="bg1">
                  <a:lumMod val="95000"/>
                </a:schemeClr>
              </a:solidFill>
            </c:spPr>
          </c:dPt>
          <c:dPt>
            <c:idx val="5"/>
            <c:spPr>
              <a:solidFill>
                <a:srgbClr val="002060"/>
              </a:solidFill>
            </c:spPr>
          </c:dPt>
          <c:dPt>
            <c:idx val="6"/>
            <c:spPr>
              <a:solidFill>
                <a:srgbClr val="0070C0"/>
              </a:solidFill>
            </c:spPr>
          </c:dPt>
          <c:dPt>
            <c:idx val="7"/>
            <c:spPr>
              <a:solidFill>
                <a:srgbClr val="00B0F0"/>
              </a:solidFill>
            </c:spPr>
          </c:dPt>
          <c:dLbls>
            <c:spPr>
              <a:noFill/>
              <a:ln>
                <a:noFill/>
              </a:ln>
              <a:effectLst/>
            </c:spPr>
            <c:txPr>
              <a:bodyPr rot="0"/>
              <a:lstStyle/>
              <a:p>
                <a:pPr>
                  <a:defRPr/>
                </a:pPr>
                <a:endParaRPr lang="hu-HU"/>
              </a:p>
            </c:txPr>
            <c:dLblPos val="outEnd"/>
            <c:showCatName val="1"/>
            <c:showPercent val="1"/>
            <c:showLeaderLines val="1"/>
            <c:extLst>
              <c:ext xmlns:c15="http://schemas.microsoft.com/office/drawing/2012/chart" uri="{CE6537A1-D6FC-4f65-9D91-7224C49458BB}">
                <c15:layout/>
              </c:ext>
            </c:extLst>
          </c:dLbls>
          <c:cat>
            <c:strRef>
              <c:f>Munka1!$A$2:$A$9</c:f>
              <c:strCache>
                <c:ptCount val="8"/>
                <c:pt idx="0">
                  <c:v>panasz</c:v>
                </c:pt>
                <c:pt idx="1">
                  <c:v>megrendelés</c:v>
                </c:pt>
                <c:pt idx="2">
                  <c:v>tájékoztatás</c:v>
                </c:pt>
                <c:pt idx="3">
                  <c:v>tájékoztatás kérése</c:v>
                </c:pt>
                <c:pt idx="4">
                  <c:v>panasznak nem minősülő megkeresés</c:v>
                </c:pt>
                <c:pt idx="5">
                  <c:v>kérés</c:v>
                </c:pt>
                <c:pt idx="6">
                  <c:v>adatmódosítás</c:v>
                </c:pt>
                <c:pt idx="7">
                  <c:v>egyéb ügyintézés</c:v>
                </c:pt>
              </c:strCache>
            </c:strRef>
          </c:cat>
          <c:val>
            <c:numRef>
              <c:f>Munka1!$B$2:$B$9</c:f>
              <c:numCache>
                <c:formatCode>#,##0</c:formatCode>
                <c:ptCount val="8"/>
                <c:pt idx="0">
                  <c:v>5512</c:v>
                </c:pt>
                <c:pt idx="1">
                  <c:v>4914</c:v>
                </c:pt>
                <c:pt idx="2">
                  <c:v>2860</c:v>
                </c:pt>
                <c:pt idx="3">
                  <c:v>2116</c:v>
                </c:pt>
                <c:pt idx="4" formatCode="General">
                  <c:v>847</c:v>
                </c:pt>
                <c:pt idx="5" formatCode="General">
                  <c:v>784</c:v>
                </c:pt>
                <c:pt idx="6" formatCode="General">
                  <c:v>645</c:v>
                </c:pt>
                <c:pt idx="7" formatCode="General">
                  <c:v>616</c:v>
                </c:pt>
              </c:numCache>
            </c:numRef>
          </c:val>
        </c:ser>
        <c:firstSliceAng val="126"/>
      </c:pieChart>
    </c:plotArea>
    <c:plotVisOnly val="1"/>
    <c:dispBlanksAs val="zero"/>
  </c:chart>
  <c:spPr>
    <a:ln>
      <a:solidFill>
        <a:schemeClr val="bg1">
          <a:lumMod val="85000"/>
        </a:schemeClr>
      </a:solidFill>
    </a:ln>
  </c:spPr>
  <c:txPr>
    <a:bodyPr/>
    <a:lstStyle/>
    <a:p>
      <a:pPr>
        <a:defRPr sz="1000">
          <a:latin typeface="Arial" panose="020B0604020202020204" pitchFamily="34" charset="0"/>
          <a:cs typeface="Arial" panose="020B0604020202020204" pitchFamily="34" charset="0"/>
        </a:defRPr>
      </a:pPr>
      <a:endParaRPr lang="hu-H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barChart>
        <c:barDir val="col"/>
        <c:grouping val="clustered"/>
        <c:ser>
          <c:idx val="0"/>
          <c:order val="0"/>
          <c:tx>
            <c:strRef>
              <c:f>Munka1!$B$1</c:f>
              <c:strCache>
                <c:ptCount val="1"/>
                <c:pt idx="0">
                  <c:v>Oszlop1</c:v>
                </c:pt>
              </c:strCache>
            </c:strRef>
          </c:tx>
          <c:spPr>
            <a:solidFill>
              <a:schemeClr val="bg1">
                <a:lumMod val="50000"/>
              </a:schemeClr>
            </a:solidFill>
          </c:spPr>
          <c:dLbls>
            <c:spPr>
              <a:noFill/>
              <a:ln>
                <a:noFill/>
              </a:ln>
              <a:effectLst/>
            </c:spPr>
            <c:showVal val="1"/>
            <c:extLst>
              <c:ext xmlns:c15="http://schemas.microsoft.com/office/drawing/2012/chart" uri="{CE6537A1-D6FC-4f65-9D91-7224C49458BB}">
                <c15:layout/>
                <c15:showLeaderLines val="1"/>
              </c:ext>
            </c:extLst>
          </c:dLbls>
          <c:cat>
            <c:strRef>
              <c:f>Munka1!$A$2:$A$11</c:f>
              <c:strCache>
                <c:ptCount val="10"/>
                <c:pt idx="0">
                  <c:v>március</c:v>
                </c:pt>
                <c:pt idx="1">
                  <c:v>április</c:v>
                </c:pt>
                <c:pt idx="2">
                  <c:v>május</c:v>
                </c:pt>
                <c:pt idx="3">
                  <c:v>június</c:v>
                </c:pt>
                <c:pt idx="4">
                  <c:v>július</c:v>
                </c:pt>
                <c:pt idx="5">
                  <c:v>augusztus</c:v>
                </c:pt>
                <c:pt idx="6">
                  <c:v>szeptember</c:v>
                </c:pt>
                <c:pt idx="7">
                  <c:v>október</c:v>
                </c:pt>
                <c:pt idx="8">
                  <c:v>november</c:v>
                </c:pt>
                <c:pt idx="9">
                  <c:v>december</c:v>
                </c:pt>
              </c:strCache>
            </c:strRef>
          </c:cat>
          <c:val>
            <c:numRef>
              <c:f>Munka1!$B$2:$B$11</c:f>
              <c:numCache>
                <c:formatCode>General</c:formatCode>
                <c:ptCount val="10"/>
                <c:pt idx="0">
                  <c:v>563</c:v>
                </c:pt>
                <c:pt idx="1">
                  <c:v>517</c:v>
                </c:pt>
                <c:pt idx="2">
                  <c:v>524</c:v>
                </c:pt>
                <c:pt idx="3">
                  <c:v>588</c:v>
                </c:pt>
                <c:pt idx="4">
                  <c:v>783</c:v>
                </c:pt>
                <c:pt idx="5">
                  <c:v>577</c:v>
                </c:pt>
                <c:pt idx="6">
                  <c:v>573</c:v>
                </c:pt>
                <c:pt idx="7">
                  <c:v>528</c:v>
                </c:pt>
                <c:pt idx="8">
                  <c:v>561</c:v>
                </c:pt>
                <c:pt idx="9">
                  <c:v>298</c:v>
                </c:pt>
              </c:numCache>
            </c:numRef>
          </c:val>
        </c:ser>
        <c:axId val="188968960"/>
        <c:axId val="188970496"/>
      </c:barChart>
      <c:catAx>
        <c:axId val="188968960"/>
        <c:scaling>
          <c:orientation val="minMax"/>
        </c:scaling>
        <c:axPos val="b"/>
        <c:numFmt formatCode="General" sourceLinked="0"/>
        <c:tickLblPos val="nextTo"/>
        <c:crossAx val="188970496"/>
        <c:crosses val="autoZero"/>
        <c:auto val="1"/>
        <c:lblAlgn val="ctr"/>
        <c:lblOffset val="100"/>
      </c:catAx>
      <c:valAx>
        <c:axId val="188970496"/>
        <c:scaling>
          <c:orientation val="minMax"/>
        </c:scaling>
        <c:axPos val="l"/>
        <c:majorGridlines/>
        <c:numFmt formatCode="General" sourceLinked="1"/>
        <c:tickLblPos val="nextTo"/>
        <c:crossAx val="188968960"/>
        <c:crosses val="autoZero"/>
        <c:crossBetween val="between"/>
      </c:valAx>
    </c:plotArea>
    <c:plotVisOnly val="1"/>
    <c:dispBlanksAs val="gap"/>
  </c:chart>
  <c:spPr>
    <a:ln>
      <a:solidFill>
        <a:schemeClr val="bg1">
          <a:lumMod val="85000"/>
        </a:schemeClr>
      </a:solidFill>
    </a:ln>
  </c:spPr>
  <c:txPr>
    <a:bodyPr/>
    <a:lstStyle/>
    <a:p>
      <a:pPr>
        <a:defRPr sz="1000">
          <a:latin typeface="Arial" panose="020B0604020202020204" pitchFamily="34" charset="0"/>
          <a:cs typeface="Arial" panose="020B0604020202020204" pitchFamily="34" charset="0"/>
        </a:defRPr>
      </a:pPr>
      <a:endParaRPr lang="hu-H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pieChart>
        <c:varyColors val="1"/>
        <c:ser>
          <c:idx val="0"/>
          <c:order val="0"/>
          <c:tx>
            <c:strRef>
              <c:f>Munka1!$B$1</c:f>
              <c:strCache>
                <c:ptCount val="1"/>
                <c:pt idx="0">
                  <c:v>Oszlop1</c:v>
                </c:pt>
              </c:strCache>
            </c:strRef>
          </c:tx>
          <c:spPr>
            <a:solidFill>
              <a:schemeClr val="bg1">
                <a:lumMod val="50000"/>
              </a:schemeClr>
            </a:solidFill>
          </c:spPr>
          <c:dPt>
            <c:idx val="0"/>
            <c:spPr>
              <a:solidFill>
                <a:srgbClr val="00B0F0"/>
              </a:solidFill>
            </c:spPr>
          </c:dPt>
          <c:dPt>
            <c:idx val="2"/>
            <c:spPr>
              <a:solidFill>
                <a:schemeClr val="bg1">
                  <a:lumMod val="75000"/>
                </a:schemeClr>
              </a:solidFill>
            </c:spPr>
          </c:dPt>
          <c:dLbls>
            <c:dLbl>
              <c:idx val="0"/>
              <c:tx>
                <c:rich>
                  <a:bodyPr/>
                  <a:lstStyle/>
                  <a:p>
                    <a:fld id="{36A2CFA5-86A8-41EE-80BD-298C9FA1BCC9}" type="CATEGORYNAME">
                      <a:rPr lang="en-US" smtClean="0"/>
                      <a:pPr/>
                      <a:t>[KATEGÓRIA NEVE]</a:t>
                    </a:fld>
                    <a:r>
                      <a:rPr lang="en-US" baseline="0" dirty="0"/>
                      <a:t>
</a:t>
                    </a:r>
                    <a:fld id="{79D1B19B-0607-4CF3-8688-A9B22856042B}" type="PERCENTAGE">
                      <a:rPr lang="en-US" baseline="0"/>
                      <a:pPr/>
                      <a:t>[SZÁZALÉK]</a:t>
                    </a:fld>
                    <a:endParaRPr lang="en-US" baseline="0" dirty="0"/>
                  </a:p>
                </c:rich>
              </c:tx>
              <c:dLblPos val="outEnd"/>
              <c:showCatName val="1"/>
              <c:showPercent val="1"/>
              <c:extLst>
                <c:ext xmlns:c15="http://schemas.microsoft.com/office/drawing/2012/chart" uri="{CE6537A1-D6FC-4f65-9D91-7224C49458BB}">
                  <c15:layout/>
                  <c15:dlblFieldTable/>
                  <c15:showDataLabelsRange val="0"/>
                </c:ext>
              </c:extLst>
            </c:dLbl>
            <c:spPr>
              <a:noFill/>
              <a:ln>
                <a:noFill/>
              </a:ln>
              <a:effectLst/>
            </c:spPr>
            <c:dLblPos val="outEnd"/>
            <c:showCatName val="1"/>
            <c:showPercent val="1"/>
            <c:showLeaderLines val="1"/>
            <c:extLst>
              <c:ext xmlns:c15="http://schemas.microsoft.com/office/drawing/2012/chart" uri="{CE6537A1-D6FC-4f65-9D91-7224C49458BB}">
                <c15:layout/>
              </c:ext>
            </c:extLst>
          </c:dLbls>
          <c:cat>
            <c:strRef>
              <c:f>Munka1!$A$2:$A$4</c:f>
              <c:strCache>
                <c:ptCount val="3"/>
                <c:pt idx="0">
                  <c:v>számlával, számlázással kapcsolatos panasz</c:v>
                </c:pt>
                <c:pt idx="1">
                  <c:v>közszolgáltatás rendjével kapcsolatos panasz</c:v>
                </c:pt>
                <c:pt idx="2">
                  <c:v>közszolgáltatóval kapcsolatos panasz</c:v>
                </c:pt>
              </c:strCache>
            </c:strRef>
          </c:cat>
          <c:val>
            <c:numRef>
              <c:f>Munka1!$B$2:$B$4</c:f>
              <c:numCache>
                <c:formatCode>#,##0</c:formatCode>
                <c:ptCount val="3"/>
                <c:pt idx="0">
                  <c:v>354</c:v>
                </c:pt>
                <c:pt idx="1">
                  <c:v>1737</c:v>
                </c:pt>
                <c:pt idx="2">
                  <c:v>1024</c:v>
                </c:pt>
              </c:numCache>
            </c:numRef>
          </c:val>
        </c:ser>
        <c:firstSliceAng val="118"/>
      </c:pieChart>
    </c:plotArea>
    <c:plotVisOnly val="1"/>
    <c:dispBlanksAs val="zero"/>
  </c:chart>
  <c:spPr>
    <a:ln>
      <a:solidFill>
        <a:schemeClr val="bg1">
          <a:lumMod val="85000"/>
        </a:schemeClr>
      </a:solidFill>
    </a:ln>
  </c:spPr>
  <c:txPr>
    <a:bodyPr/>
    <a:lstStyle/>
    <a:p>
      <a:pPr>
        <a:defRPr sz="1000">
          <a:latin typeface="Arial" panose="020B0604020202020204" pitchFamily="34" charset="0"/>
          <a:cs typeface="Arial" panose="020B0604020202020204" pitchFamily="34" charset="0"/>
        </a:defRPr>
      </a:pPr>
      <a:endParaRPr lang="hu-H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u-HU"/>
  <c:chart>
    <c:autoTitleDeleted val="1"/>
    <c:plotArea>
      <c:layout/>
      <c:barChart>
        <c:barDir val="col"/>
        <c:grouping val="percentStacked"/>
        <c:ser>
          <c:idx val="0"/>
          <c:order val="0"/>
          <c:tx>
            <c:strRef>
              <c:f>Munka1!$B$1</c:f>
              <c:strCache>
                <c:ptCount val="1"/>
                <c:pt idx="0">
                  <c:v>jogos</c:v>
                </c:pt>
              </c:strCache>
            </c:strRef>
          </c:tx>
          <c:spPr>
            <a:solidFill>
              <a:schemeClr val="bg1">
                <a:lumMod val="50000"/>
              </a:schemeClr>
            </a:solidFill>
            <a:ln>
              <a:noFill/>
            </a:ln>
            <a:effectLst/>
          </c:spPr>
          <c:cat>
            <c:strRef>
              <c:f>Munka1!$A$2:$A$4</c:f>
              <c:strCache>
                <c:ptCount val="3"/>
                <c:pt idx="0">
                  <c:v>számlával, számlázással kapcsolatos panaszok</c:v>
                </c:pt>
                <c:pt idx="1">
                  <c:v>közszolgáltatóval kapcsolatos panasz</c:v>
                </c:pt>
                <c:pt idx="2">
                  <c:v>közszolgáltatás rendjével kapcsolatos panasz</c:v>
                </c:pt>
              </c:strCache>
            </c:strRef>
          </c:cat>
          <c:val>
            <c:numRef>
              <c:f>Munka1!$B$2:$B$4</c:f>
              <c:numCache>
                <c:formatCode>General</c:formatCode>
                <c:ptCount val="3"/>
                <c:pt idx="0">
                  <c:v>87</c:v>
                </c:pt>
                <c:pt idx="1">
                  <c:v>177</c:v>
                </c:pt>
                <c:pt idx="2">
                  <c:v>149</c:v>
                </c:pt>
              </c:numCache>
            </c:numRef>
          </c:val>
        </c:ser>
        <c:ser>
          <c:idx val="1"/>
          <c:order val="1"/>
          <c:tx>
            <c:strRef>
              <c:f>Munka1!$C$1</c:f>
              <c:strCache>
                <c:ptCount val="1"/>
                <c:pt idx="0">
                  <c:v>nem jogos</c:v>
                </c:pt>
              </c:strCache>
            </c:strRef>
          </c:tx>
          <c:spPr>
            <a:solidFill>
              <a:srgbClr val="00B0F0"/>
            </a:solidFill>
            <a:ln>
              <a:noFill/>
            </a:ln>
            <a:effectLst/>
          </c:spPr>
          <c:cat>
            <c:strRef>
              <c:f>Munka1!$A$2:$A$4</c:f>
              <c:strCache>
                <c:ptCount val="3"/>
                <c:pt idx="0">
                  <c:v>számlával, számlázással kapcsolatos panaszok</c:v>
                </c:pt>
                <c:pt idx="1">
                  <c:v>közszolgáltatóval kapcsolatos panasz</c:v>
                </c:pt>
                <c:pt idx="2">
                  <c:v>közszolgáltatás rendjével kapcsolatos panasz</c:v>
                </c:pt>
              </c:strCache>
            </c:strRef>
          </c:cat>
          <c:val>
            <c:numRef>
              <c:f>Munka1!$C$2:$C$4</c:f>
              <c:numCache>
                <c:formatCode>General</c:formatCode>
                <c:ptCount val="3"/>
                <c:pt idx="0">
                  <c:v>260</c:v>
                </c:pt>
                <c:pt idx="1">
                  <c:v>829</c:v>
                </c:pt>
                <c:pt idx="2">
                  <c:v>1549</c:v>
                </c:pt>
              </c:numCache>
            </c:numRef>
          </c:val>
        </c:ser>
        <c:gapWidth val="219"/>
        <c:overlap val="100"/>
        <c:axId val="189046144"/>
        <c:axId val="189047936"/>
      </c:barChart>
      <c:catAx>
        <c:axId val="1890461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crossAx val="189047936"/>
        <c:crosses val="autoZero"/>
        <c:auto val="1"/>
        <c:lblAlgn val="ctr"/>
        <c:lblOffset val="100"/>
      </c:catAx>
      <c:valAx>
        <c:axId val="1890479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crossAx val="1890461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legend>
    <c:plotVisOnly val="1"/>
    <c:dispBlanksAs val="gap"/>
  </c:chart>
  <c:spPr>
    <a:noFill/>
    <a:ln w="9525" cap="flat" cmpd="sng" algn="ctr">
      <a:solidFill>
        <a:schemeClr val="bg1">
          <a:lumMod val="85000"/>
        </a:schemeClr>
      </a:solidFill>
      <a:round/>
    </a:ln>
    <a:effectLst/>
  </c:spPr>
  <c:txPr>
    <a:bodyPr/>
    <a:lstStyle/>
    <a:p>
      <a:pPr>
        <a:defRPr sz="1000">
          <a:latin typeface="Arial" panose="020B0604020202020204" pitchFamily="34" charset="0"/>
          <a:cs typeface="Arial" panose="020B0604020202020204" pitchFamily="34" charset="0"/>
        </a:defRPr>
      </a:pPr>
      <a:endParaRPr lang="hu-H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DC59-AFAC-4536-909C-3F365737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Levelpapir.2013.01.03.</Template>
  <TotalTime>1</TotalTime>
  <Pages>23</Pages>
  <Words>5902</Words>
  <Characters>40730</Characters>
  <Application>Microsoft Office Word</Application>
  <DocSecurity>0</DocSecurity>
  <Lines>339</Lines>
  <Paragraphs>93</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46539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Máté</dc:creator>
  <cp:lastModifiedBy>Ádámkó Erzsébet</cp:lastModifiedBy>
  <cp:revision>2</cp:revision>
  <cp:lastPrinted>2014-05-09T14:50:00Z</cp:lastPrinted>
  <dcterms:created xsi:type="dcterms:W3CDTF">2014-11-26T10:59:00Z</dcterms:created>
  <dcterms:modified xsi:type="dcterms:W3CDTF">2014-11-26T10:59:00Z</dcterms:modified>
</cp:coreProperties>
</file>