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D" w:rsidRPr="00843231" w:rsidRDefault="008A226D" w:rsidP="008A226D">
      <w:pPr>
        <w:contextualSpacing/>
        <w:rPr>
          <w:rFonts w:cs="Arial"/>
          <w:b/>
          <w:sz w:val="24"/>
          <w:szCs w:val="24"/>
          <w:highlight w:val="yellow"/>
        </w:rPr>
      </w:pPr>
      <w:r w:rsidRPr="006657D9">
        <w:rPr>
          <w:rFonts w:cs="Arial"/>
          <w:b/>
          <w:sz w:val="24"/>
          <w:szCs w:val="24"/>
        </w:rPr>
        <w:t>BKK Budapesti Közlekedési Központ Zártkörűen Működő Részvénytársaság</w:t>
      </w:r>
    </w:p>
    <w:p w:rsidR="00AC3C3A" w:rsidRPr="00FA1A59" w:rsidRDefault="00973054" w:rsidP="00A85221">
      <w:pPr>
        <w:rPr>
          <w:rFonts w:cs="Arial"/>
          <w:b/>
          <w:sz w:val="24"/>
          <w:szCs w:val="24"/>
        </w:rPr>
      </w:pPr>
      <w:r w:rsidRPr="00FA1A59">
        <w:rPr>
          <w:rFonts w:cs="Arial"/>
          <w:b/>
          <w:sz w:val="24"/>
          <w:szCs w:val="24"/>
        </w:rPr>
        <w:t>201</w:t>
      </w:r>
      <w:r w:rsidR="00197DD0" w:rsidRPr="00FA1A59">
        <w:rPr>
          <w:rFonts w:cs="Arial"/>
          <w:b/>
          <w:sz w:val="24"/>
          <w:szCs w:val="24"/>
        </w:rPr>
        <w:t>5</w:t>
      </w:r>
      <w:r w:rsidRPr="00FA1A59">
        <w:rPr>
          <w:rFonts w:cs="Arial"/>
          <w:b/>
          <w:sz w:val="24"/>
          <w:szCs w:val="24"/>
        </w:rPr>
        <w:t>. évi üzleti terve</w:t>
      </w:r>
    </w:p>
    <w:p w:rsidR="00713EDC" w:rsidRDefault="00713EDC" w:rsidP="002576B7">
      <w:pPr>
        <w:rPr>
          <w:rFonts w:cs="Arial"/>
        </w:rPr>
      </w:pPr>
    </w:p>
    <w:p w:rsidR="00307675" w:rsidRPr="00307675" w:rsidRDefault="00307675" w:rsidP="002576B7">
      <w:pPr>
        <w:rPr>
          <w:rFonts w:cs="Arial"/>
          <w:i/>
          <w:sz w:val="18"/>
          <w:szCs w:val="18"/>
        </w:rPr>
      </w:pPr>
      <w:r w:rsidRPr="00307675">
        <w:rPr>
          <w:rFonts w:cs="Arial"/>
          <w:i/>
          <w:sz w:val="18"/>
          <w:szCs w:val="18"/>
        </w:rPr>
        <w:t>Táblázatokban lévő adatok ezer Ft-ban megadva.</w:t>
      </w:r>
    </w:p>
    <w:p w:rsidR="00992711" w:rsidRDefault="00992711" w:rsidP="002576B7">
      <w:pPr>
        <w:rPr>
          <w:rFonts w:cs="Arial"/>
        </w:rPr>
      </w:pPr>
    </w:p>
    <w:p w:rsidR="00B63CD4" w:rsidRPr="006657D9" w:rsidRDefault="00B63CD4" w:rsidP="00B63CD4">
      <w:pPr>
        <w:spacing w:after="120"/>
        <w:contextualSpacing/>
        <w:rPr>
          <w:rFonts w:cs="Arial"/>
        </w:rPr>
      </w:pPr>
      <w:r w:rsidRPr="006657D9">
        <w:rPr>
          <w:rFonts w:cs="Arial"/>
        </w:rPr>
        <w:t xml:space="preserve">BKK Budapesti Közlekedési Központ Zártkörűen Működő Részvénytársaság </w:t>
      </w:r>
      <w:r w:rsidRPr="006657D9">
        <w:rPr>
          <w:rFonts w:cs="Arial"/>
          <w:b/>
        </w:rPr>
        <w:t>tulajdonosa</w:t>
      </w:r>
      <w:r w:rsidRPr="006657D9">
        <w:rPr>
          <w:rFonts w:cs="Arial"/>
        </w:rPr>
        <w:t>:</w:t>
      </w:r>
    </w:p>
    <w:p w:rsidR="00B63CD4" w:rsidRPr="00E26762" w:rsidRDefault="00B63CD4" w:rsidP="00B63CD4">
      <w:pPr>
        <w:rPr>
          <w:rFonts w:cstheme="minorHAnsi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10"/>
        <w:gridCol w:w="2480"/>
        <w:gridCol w:w="2481"/>
      </w:tblGrid>
      <w:tr w:rsidR="00B63CD4" w:rsidRPr="009768E9" w:rsidTr="00372BA2">
        <w:trPr>
          <w:trHeight w:val="315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D4" w:rsidRPr="009768E9" w:rsidRDefault="00B63CD4" w:rsidP="00372BA2">
            <w:pPr>
              <w:jc w:val="left"/>
            </w:pPr>
            <w:r w:rsidRPr="009768E9">
              <w:t xml:space="preserve">Tulajdonos 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B63CD4" w:rsidRPr="009768E9" w:rsidRDefault="00B63CD4" w:rsidP="00372BA2">
            <w:pPr>
              <w:jc w:val="center"/>
            </w:pPr>
            <w:r w:rsidRPr="009768E9">
              <w:t>Üzletrész névértéke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B63CD4" w:rsidRPr="009768E9" w:rsidRDefault="00B63CD4" w:rsidP="00372BA2">
            <w:pPr>
              <w:jc w:val="center"/>
            </w:pPr>
            <w:r>
              <w:t>Tulajdonosi r</w:t>
            </w:r>
            <w:r w:rsidRPr="009768E9">
              <w:t>észarány</w:t>
            </w:r>
          </w:p>
        </w:tc>
      </w:tr>
      <w:tr w:rsidR="00B63CD4" w:rsidRPr="009768E9" w:rsidTr="00372BA2">
        <w:trPr>
          <w:trHeight w:val="315"/>
        </w:trPr>
        <w:tc>
          <w:tcPr>
            <w:tcW w:w="44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63CD4" w:rsidRPr="006E0668" w:rsidRDefault="00B63CD4" w:rsidP="00372BA2">
            <w:pPr>
              <w:jc w:val="left"/>
              <w:rPr>
                <w:b/>
              </w:rPr>
            </w:pPr>
            <w:r w:rsidRPr="006E0668">
              <w:rPr>
                <w:b/>
              </w:rPr>
              <w:t>Budapest Főváros Önkormányzata</w:t>
            </w:r>
          </w:p>
        </w:tc>
        <w:tc>
          <w:tcPr>
            <w:tcW w:w="2480" w:type="dxa"/>
            <w:vMerge w:val="restart"/>
            <w:shd w:val="clear" w:color="auto" w:fill="auto"/>
            <w:noWrap/>
            <w:vAlign w:val="center"/>
            <w:hideMark/>
          </w:tcPr>
          <w:p w:rsidR="00B63CD4" w:rsidRPr="009768E9" w:rsidRDefault="00B63CD4" w:rsidP="00372BA2">
            <w:pPr>
              <w:jc w:val="center"/>
            </w:pPr>
            <w:r>
              <w:t xml:space="preserve">1.801.000 </w:t>
            </w:r>
            <w:proofErr w:type="spellStart"/>
            <w:r w:rsidRPr="009768E9">
              <w:t>eFt</w:t>
            </w:r>
            <w:proofErr w:type="spellEnd"/>
          </w:p>
        </w:tc>
        <w:tc>
          <w:tcPr>
            <w:tcW w:w="2481" w:type="dxa"/>
            <w:vMerge w:val="restart"/>
            <w:shd w:val="clear" w:color="auto" w:fill="auto"/>
            <w:noWrap/>
            <w:vAlign w:val="center"/>
            <w:hideMark/>
          </w:tcPr>
          <w:p w:rsidR="00B63CD4" w:rsidRPr="009768E9" w:rsidRDefault="00B63CD4" w:rsidP="00372BA2">
            <w:pPr>
              <w:jc w:val="center"/>
            </w:pPr>
            <w:r>
              <w:t>100 %</w:t>
            </w:r>
          </w:p>
        </w:tc>
      </w:tr>
      <w:tr w:rsidR="00B63CD4" w:rsidRPr="009768E9" w:rsidTr="00372BA2">
        <w:trPr>
          <w:trHeight w:val="315"/>
        </w:trPr>
        <w:tc>
          <w:tcPr>
            <w:tcW w:w="44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3CD4" w:rsidRPr="009768E9" w:rsidRDefault="00B63CD4" w:rsidP="00372BA2">
            <w:pPr>
              <w:jc w:val="left"/>
            </w:pPr>
            <w:r w:rsidRPr="009768E9">
              <w:t>1052 Budapest, Városház u. 9-11.</w:t>
            </w:r>
          </w:p>
        </w:tc>
        <w:tc>
          <w:tcPr>
            <w:tcW w:w="2480" w:type="dxa"/>
            <w:vMerge/>
            <w:vAlign w:val="center"/>
            <w:hideMark/>
          </w:tcPr>
          <w:p w:rsidR="00B63CD4" w:rsidRPr="009768E9" w:rsidRDefault="00B63CD4" w:rsidP="00372BA2">
            <w:pPr>
              <w:jc w:val="center"/>
            </w:pPr>
          </w:p>
        </w:tc>
        <w:tc>
          <w:tcPr>
            <w:tcW w:w="2481" w:type="dxa"/>
            <w:vMerge/>
            <w:vAlign w:val="center"/>
            <w:hideMark/>
          </w:tcPr>
          <w:p w:rsidR="00B63CD4" w:rsidRPr="009768E9" w:rsidRDefault="00B63CD4" w:rsidP="00372BA2">
            <w:pPr>
              <w:jc w:val="center"/>
            </w:pPr>
          </w:p>
        </w:tc>
      </w:tr>
    </w:tbl>
    <w:p w:rsidR="00B63CD4" w:rsidRDefault="00B63CD4" w:rsidP="00B63CD4">
      <w:pPr>
        <w:spacing w:after="120"/>
        <w:contextualSpacing/>
        <w:rPr>
          <w:rFonts w:cs="Arial"/>
        </w:rPr>
      </w:pPr>
    </w:p>
    <w:p w:rsidR="00B63CD4" w:rsidRPr="006657D9" w:rsidRDefault="00B63CD4" w:rsidP="00B63CD4">
      <w:pPr>
        <w:spacing w:after="120"/>
        <w:contextualSpacing/>
        <w:rPr>
          <w:rFonts w:cs="Arial"/>
          <w:highlight w:val="yellow"/>
        </w:rPr>
      </w:pPr>
      <w:r w:rsidRPr="006657D9">
        <w:rPr>
          <w:rFonts w:cs="Arial"/>
        </w:rPr>
        <w:t xml:space="preserve">Részvények száma, névértéke: 1.801 db 1 millió </w:t>
      </w:r>
      <w:r>
        <w:rPr>
          <w:rFonts w:cs="Arial"/>
        </w:rPr>
        <w:t>F</w:t>
      </w:r>
      <w:r w:rsidRPr="006657D9">
        <w:rPr>
          <w:rFonts w:cs="Arial"/>
        </w:rPr>
        <w:t>orint névértékű törzsrészvény</w:t>
      </w:r>
    </w:p>
    <w:p w:rsidR="00C1706A" w:rsidRDefault="00C1706A" w:rsidP="00C1706A">
      <w:r>
        <w:t xml:space="preserve">A BKK Budapesti Közlekedési Központ </w:t>
      </w:r>
      <w:proofErr w:type="spellStart"/>
      <w:r>
        <w:t>Zrt</w:t>
      </w:r>
      <w:proofErr w:type="spellEnd"/>
      <w:r>
        <w:t>. (a BKK vagy a „Társaság") a Budapest Főváros Önkormányzata egyszemélyes gazdasági társasága.</w:t>
      </w:r>
    </w:p>
    <w:p w:rsidR="00B63CD4" w:rsidRDefault="00B63CD4" w:rsidP="00B63CD4">
      <w:pPr>
        <w:rPr>
          <w:rFonts w:cs="Arial"/>
          <w:highlight w:val="yellow"/>
        </w:rPr>
      </w:pPr>
    </w:p>
    <w:p w:rsidR="00B63CD4" w:rsidRDefault="00B63CD4" w:rsidP="00B63CD4">
      <w:r>
        <w:t xml:space="preserve">A 2015. évi tervet számokban bemutató </w:t>
      </w:r>
      <w:r w:rsidRPr="00CE31F7">
        <w:rPr>
          <w:u w:val="single"/>
        </w:rPr>
        <w:t>BUDGET</w:t>
      </w:r>
      <w:r>
        <w:t xml:space="preserve"> programban </w:t>
      </w:r>
      <w:r>
        <w:rPr>
          <w:u w:val="single"/>
        </w:rPr>
        <w:t>több</w:t>
      </w:r>
      <w:r w:rsidRPr="00CE31F7">
        <w:rPr>
          <w:u w:val="single"/>
        </w:rPr>
        <w:t xml:space="preserve"> szinten</w:t>
      </w:r>
      <w:r>
        <w:t>, részletesen kifejtve mutatja be a Társaság a 2015. évi terveit.</w:t>
      </w:r>
    </w:p>
    <w:p w:rsidR="00B9522C" w:rsidRDefault="00B9522C" w:rsidP="00B9522C">
      <w:pPr>
        <w:rPr>
          <w:rFonts w:cs="Arial"/>
        </w:rPr>
      </w:pPr>
      <w:r w:rsidRPr="00C1706A">
        <w:rPr>
          <w:rFonts w:cs="Arial"/>
        </w:rPr>
        <w:t xml:space="preserve">A BKK </w:t>
      </w:r>
      <w:proofErr w:type="spellStart"/>
      <w:r w:rsidRPr="00C1706A">
        <w:rPr>
          <w:rFonts w:cs="Arial"/>
        </w:rPr>
        <w:t>Zrt</w:t>
      </w:r>
      <w:proofErr w:type="spellEnd"/>
      <w:r w:rsidRPr="00C1706A">
        <w:rPr>
          <w:rFonts w:cs="Arial"/>
        </w:rPr>
        <w:t>. üzleti tervét még a 2014. évi várható adatokkal készítette el. Időközben elkészült a 2014. évi éves beszámoló is, ezért elemzésün</w:t>
      </w:r>
      <w:r>
        <w:rPr>
          <w:rFonts w:cs="Arial"/>
        </w:rPr>
        <w:t>k</w:t>
      </w:r>
      <w:r w:rsidRPr="00C1706A">
        <w:rPr>
          <w:rFonts w:cs="Arial"/>
        </w:rPr>
        <w:t>ben már a 2014. évi tény adatokhoz viszonyítottuk a 2015. évi terv adatokat.</w:t>
      </w:r>
    </w:p>
    <w:p w:rsidR="00B63CD4" w:rsidRDefault="00B63CD4" w:rsidP="00B63CD4"/>
    <w:p w:rsidR="00B63CD4" w:rsidRDefault="00B63CD4" w:rsidP="00B63CD4">
      <w:r w:rsidRPr="00D6006B">
        <w:t>201</w:t>
      </w:r>
      <w:r>
        <w:t>5</w:t>
      </w:r>
      <w:r w:rsidRPr="00D6006B">
        <w:t xml:space="preserve">. évre vonatkozó </w:t>
      </w:r>
      <w:r w:rsidRPr="00CE31F7">
        <w:rPr>
          <w:u w:val="single"/>
        </w:rPr>
        <w:t xml:space="preserve">kompenzációs díj igény </w:t>
      </w:r>
      <w:r>
        <w:rPr>
          <w:u w:val="single"/>
        </w:rPr>
        <w:t>95,5</w:t>
      </w:r>
      <w:r w:rsidRPr="00CE31F7">
        <w:rPr>
          <w:u w:val="single"/>
        </w:rPr>
        <w:t xml:space="preserve"> milliárd Ft</w:t>
      </w:r>
      <w:r>
        <w:t>.</w:t>
      </w:r>
    </w:p>
    <w:p w:rsidR="00B63CD4" w:rsidRPr="00C1706A" w:rsidRDefault="00B63CD4" w:rsidP="00B63CD4">
      <w:pPr>
        <w:rPr>
          <w:rFonts w:cs="Arial"/>
        </w:rPr>
      </w:pPr>
      <w:r w:rsidRPr="00C1706A">
        <w:rPr>
          <w:rFonts w:cs="Arial"/>
        </w:rPr>
        <w:t>Üzletágankénti megbontásban:</w:t>
      </w:r>
    </w:p>
    <w:p w:rsidR="00B63CD4" w:rsidRPr="00987E07" w:rsidRDefault="00B63CD4" w:rsidP="00FB37A0">
      <w:pPr>
        <w:pStyle w:val="Szvegtrzs"/>
        <w:suppressAutoHyphens/>
        <w:spacing w:beforeLines="60" w:afterLines="60" w:line="276" w:lineRule="auto"/>
        <w:jc w:val="right"/>
        <w:rPr>
          <w:i/>
          <w:iCs/>
          <w:kern w:val="24"/>
          <w:sz w:val="16"/>
          <w:szCs w:val="16"/>
        </w:rPr>
      </w:pPr>
      <w:proofErr w:type="gramStart"/>
      <w:r w:rsidRPr="00987E07">
        <w:rPr>
          <w:i/>
          <w:iCs/>
          <w:kern w:val="24"/>
          <w:sz w:val="16"/>
          <w:szCs w:val="16"/>
        </w:rPr>
        <w:t>adatok</w:t>
      </w:r>
      <w:proofErr w:type="gramEnd"/>
      <w:r w:rsidRPr="00987E07">
        <w:rPr>
          <w:i/>
          <w:iCs/>
          <w:kern w:val="24"/>
          <w:sz w:val="16"/>
          <w:szCs w:val="16"/>
        </w:rPr>
        <w:t xml:space="preserve"> ezer Ft-ban</w:t>
      </w:r>
    </w:p>
    <w:p w:rsidR="00B63CD4" w:rsidRPr="00987E07" w:rsidRDefault="00B63CD4" w:rsidP="00FB37A0">
      <w:pPr>
        <w:pStyle w:val="Szvegtrzs"/>
        <w:suppressAutoHyphens/>
        <w:spacing w:beforeLines="60" w:afterLines="60" w:line="276" w:lineRule="auto"/>
        <w:jc w:val="both"/>
        <w:rPr>
          <w:kern w:val="24"/>
          <w:sz w:val="22"/>
          <w:szCs w:val="22"/>
        </w:rPr>
      </w:pPr>
      <w:r w:rsidRPr="00B63CD4">
        <w:rPr>
          <w:noProof/>
          <w:lang w:eastAsia="hu-HU" w:bidi="ar-SA"/>
        </w:rPr>
        <w:drawing>
          <wp:inline distT="0" distB="0" distL="0" distR="0">
            <wp:extent cx="5760085" cy="1444094"/>
            <wp:effectExtent l="0" t="0" r="0" b="381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4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D4" w:rsidRDefault="00B63CD4" w:rsidP="00B63CD4">
      <w:pPr>
        <w:rPr>
          <w:highlight w:val="yellow"/>
        </w:rPr>
      </w:pPr>
    </w:p>
    <w:p w:rsidR="00B63CD4" w:rsidRPr="00C468EA" w:rsidRDefault="00B63CD4" w:rsidP="00B63CD4">
      <w:pPr>
        <w:rPr>
          <w:rFonts w:cs="Arial"/>
          <w:vanish/>
          <w:sz w:val="24"/>
          <w:szCs w:val="24"/>
          <w:u w:val="single"/>
        </w:rPr>
      </w:pPr>
      <w:r w:rsidRPr="00C468EA">
        <w:rPr>
          <w:rFonts w:cs="Arial"/>
          <w:b/>
          <w:vanish/>
          <w:sz w:val="24"/>
          <w:szCs w:val="24"/>
          <w:u w:val="single"/>
        </w:rPr>
        <w:t>Fő tevékenység</w:t>
      </w:r>
      <w:r w:rsidRPr="00C468EA">
        <w:rPr>
          <w:rFonts w:cs="Arial"/>
          <w:vanish/>
          <w:sz w:val="24"/>
          <w:szCs w:val="24"/>
          <w:u w:val="single"/>
        </w:rPr>
        <w:t xml:space="preserve"> </w:t>
      </w:r>
    </w:p>
    <w:p w:rsidR="00B63CD4" w:rsidRPr="00C468EA" w:rsidRDefault="00B63CD4" w:rsidP="00B9522C">
      <w:pPr>
        <w:rPr>
          <w:vanish/>
        </w:rPr>
      </w:pPr>
    </w:p>
    <w:p w:rsidR="00C1706A" w:rsidRPr="00C468EA" w:rsidRDefault="00B63CD4" w:rsidP="00B9522C">
      <w:pPr>
        <w:rPr>
          <w:vanish/>
        </w:rPr>
      </w:pPr>
      <w:r w:rsidRPr="00C468EA">
        <w:rPr>
          <w:vanish/>
        </w:rPr>
        <w:t>A BKK egy összefogó, integráló, szakmai alapokon működő szervezet, amely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 xml:space="preserve">közvetlenül a Fővárosi Önkormányzatnak alárendelve működik, Budapest Főváros Önkormányzatának 100%-os tulajdonában áll, 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előkészíti és végrehajtja Budapest közlekedési stratégiáját,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 xml:space="preserve">érvényesíti a fenntarthatósági és esélyegyenlőségi szempontokat a budapesti közlekedés működtetésében és fejlesztésében, 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integráltan irányítja és felügyeli a budapesti közlekedési ágazatokat, különösen a közösségi és közúti közlekedést,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 xml:space="preserve">megrendeli és finanszírozza a közösségi és közúti közlekedési közszolgáltatásokat, 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 xml:space="preserve">fejleszti a város közlekedését, 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érvényesíti a gyalogos és kerékpáros közlekedés szempontjait,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megteremti az egyensúlyt a közlekedési rendszer működése és fejlesztése között,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egységes finanszírozási rendszert működtet,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ellátja a fővárosi tulajdonú közlekedési és közútkezelő szolgáltató cégek tulajdonosi felügyeletét,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lastRenderedPageBreak/>
        <w:t>koordinálja a közúti és a közösségi közlekedést érintő kerületi önkormányzati, közmű és egyéb beruházásokat,</w:t>
      </w:r>
    </w:p>
    <w:p w:rsidR="00B9522C" w:rsidRPr="00C468EA" w:rsidRDefault="00B9522C" w:rsidP="00B9522C">
      <w:pPr>
        <w:pStyle w:val="Listaszerbekezds"/>
        <w:numPr>
          <w:ilvl w:val="0"/>
          <w:numId w:val="24"/>
        </w:numPr>
        <w:rPr>
          <w:vanish/>
          <w:szCs w:val="22"/>
        </w:rPr>
      </w:pPr>
      <w:r w:rsidRPr="00C468EA">
        <w:rPr>
          <w:vanish/>
          <w:szCs w:val="22"/>
        </w:rPr>
        <w:t>aktív szerepet vállal a regionális közlekedési együttműködés terén.</w:t>
      </w:r>
    </w:p>
    <w:p w:rsidR="00B63CD4" w:rsidRPr="00C468EA" w:rsidRDefault="00B63CD4" w:rsidP="00B9522C">
      <w:pPr>
        <w:rPr>
          <w:vanish/>
        </w:rPr>
      </w:pPr>
    </w:p>
    <w:p w:rsidR="00B9522C" w:rsidRPr="00C468EA" w:rsidRDefault="00B9522C" w:rsidP="00B9522C">
      <w:pPr>
        <w:rPr>
          <w:vanish/>
        </w:rPr>
      </w:pPr>
      <w:r w:rsidRPr="00C468EA">
        <w:rPr>
          <w:vanish/>
        </w:rPr>
        <w:t>2012-től a BKK látja el a közlekedésszervezésen túl a Főváros közútjain a közútkezelői feladatokat, illetve a Főváros tulajdonában álló útszakaszok parkolás-üzemeltetési feladatait, a teherforgalmi behajtással, a taxiállomás-üzemeltetéssel és –ellenőrzéssel, projektmenedzsmenttel és a P+R parkolók fenntartásával kapcsolatos feladatokat.</w:t>
      </w:r>
    </w:p>
    <w:p w:rsidR="00B9522C" w:rsidRPr="00C468EA" w:rsidRDefault="00B9522C" w:rsidP="00B9522C">
      <w:pPr>
        <w:rPr>
          <w:vanish/>
        </w:rPr>
      </w:pPr>
    </w:p>
    <w:p w:rsidR="00DF49BD" w:rsidRDefault="00DF49BD" w:rsidP="00A83757"/>
    <w:p w:rsidR="00F76B4F" w:rsidRPr="0089705D" w:rsidRDefault="00F76B4F" w:rsidP="00A83757">
      <w:pPr>
        <w:rPr>
          <w:b/>
          <w:sz w:val="24"/>
          <w:szCs w:val="24"/>
        </w:rPr>
      </w:pPr>
      <w:bookmarkStart w:id="0" w:name="_Toc382900377"/>
      <w:r w:rsidRPr="0089705D">
        <w:rPr>
          <w:b/>
          <w:sz w:val="24"/>
          <w:szCs w:val="24"/>
        </w:rPr>
        <w:t>Tervezett teljesítmények</w:t>
      </w:r>
      <w:bookmarkEnd w:id="0"/>
    </w:p>
    <w:p w:rsidR="00A83757" w:rsidRDefault="00A83757" w:rsidP="00A83757"/>
    <w:p w:rsidR="00F76B4F" w:rsidRPr="005E4323" w:rsidRDefault="00F76B4F" w:rsidP="00A83757">
      <w:r w:rsidRPr="005E4323">
        <w:t xml:space="preserve">A </w:t>
      </w:r>
      <w:r w:rsidR="00A83757">
        <w:t xml:space="preserve">közlekedésszervezői feladatoknál a </w:t>
      </w:r>
      <w:r w:rsidRPr="005E4323">
        <w:t>tervezés alapjául szolgáló teljesítmény-terv a 201</w:t>
      </w:r>
      <w:r w:rsidR="009C0A28" w:rsidRPr="005E4323">
        <w:t>5</w:t>
      </w:r>
      <w:r w:rsidRPr="005E4323">
        <w:t>-1</w:t>
      </w:r>
      <w:r w:rsidR="000D2825" w:rsidRPr="005E4323">
        <w:t>6</w:t>
      </w:r>
      <w:r w:rsidRPr="005E4323">
        <w:t>. évekre az alábbi férőhely</w:t>
      </w:r>
      <w:r w:rsidR="00F232F6">
        <w:t>-</w:t>
      </w:r>
      <w:r w:rsidRPr="005E4323">
        <w:t>kilométer (</w:t>
      </w:r>
      <w:proofErr w:type="spellStart"/>
      <w:r w:rsidRPr="005E4323">
        <w:t>fhkm</w:t>
      </w:r>
      <w:proofErr w:type="spellEnd"/>
      <w:r w:rsidRPr="005E4323">
        <w:t>) teljesítményeket tartalmazza:</w:t>
      </w:r>
    </w:p>
    <w:p w:rsidR="00F76B4F" w:rsidRPr="00F76B4F" w:rsidRDefault="00F76B4F" w:rsidP="00FB37A0">
      <w:pPr>
        <w:suppressAutoHyphens/>
        <w:spacing w:beforeLines="50"/>
        <w:rPr>
          <w:rFonts w:cs="Arial"/>
          <w:highlight w:val="yellow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000"/>
      </w:tblPr>
      <w:tblGrid>
        <w:gridCol w:w="1740"/>
        <w:gridCol w:w="1240"/>
        <w:gridCol w:w="1240"/>
        <w:gridCol w:w="1240"/>
        <w:gridCol w:w="1240"/>
        <w:gridCol w:w="1240"/>
      </w:tblGrid>
      <w:tr w:rsidR="00F76B4F" w:rsidRPr="00BA69FC" w:rsidTr="00BA69FC">
        <w:trPr>
          <w:trHeight w:val="284"/>
          <w:jc w:val="center"/>
        </w:trPr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4F" w:rsidRPr="00BA69FC" w:rsidRDefault="00F76B4F" w:rsidP="006535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4F" w:rsidRPr="00BA69FC" w:rsidRDefault="00F76B4F" w:rsidP="006535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4F" w:rsidRPr="00BA69FC" w:rsidRDefault="00F76B4F" w:rsidP="006535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4F" w:rsidRPr="00BA69FC" w:rsidRDefault="00F76B4F" w:rsidP="006535C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76B4F" w:rsidRPr="00BA69FC" w:rsidRDefault="00F76B4F" w:rsidP="00F01206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BA69FC">
              <w:rPr>
                <w:rFonts w:cs="Arial"/>
                <w:i/>
                <w:iCs/>
                <w:sz w:val="18"/>
                <w:szCs w:val="18"/>
              </w:rPr>
              <w:t xml:space="preserve">adatok ezer </w:t>
            </w:r>
            <w:proofErr w:type="spellStart"/>
            <w:r w:rsidRPr="00BA69FC">
              <w:rPr>
                <w:rFonts w:cs="Arial"/>
                <w:i/>
                <w:iCs/>
                <w:sz w:val="18"/>
                <w:szCs w:val="18"/>
              </w:rPr>
              <w:t>fhkm-ben</w:t>
            </w:r>
            <w:proofErr w:type="spellEnd"/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2014</w:t>
            </w:r>
          </w:p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terv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2015</w:t>
            </w:r>
          </w:p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terv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2016</w:t>
            </w:r>
          </w:p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terv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2015/2014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2016/2015</w:t>
            </w:r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left"/>
              <w:rPr>
                <w:rFonts w:cs="Arial"/>
                <w:sz w:val="18"/>
                <w:szCs w:val="18"/>
              </w:rPr>
            </w:pPr>
            <w:r w:rsidRPr="00BA69FC">
              <w:rPr>
                <w:rFonts w:cs="Arial"/>
                <w:sz w:val="18"/>
                <w:szCs w:val="18"/>
              </w:rPr>
              <w:t>MFAV + Metró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4 836 084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5 182 799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5 249 738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107,17%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101,29%</w:t>
            </w:r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left"/>
              <w:rPr>
                <w:rFonts w:cs="Arial"/>
                <w:sz w:val="18"/>
                <w:szCs w:val="18"/>
              </w:rPr>
            </w:pPr>
            <w:r w:rsidRPr="00BA69FC">
              <w:rPr>
                <w:rFonts w:cs="Arial"/>
                <w:sz w:val="18"/>
                <w:szCs w:val="18"/>
              </w:rPr>
              <w:t>HÉV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2 224 697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2 201 612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2 222 187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98,96%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100,93%</w:t>
            </w:r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left"/>
              <w:rPr>
                <w:rFonts w:cs="Arial"/>
                <w:sz w:val="18"/>
                <w:szCs w:val="18"/>
              </w:rPr>
            </w:pPr>
            <w:r w:rsidRPr="00BA69FC">
              <w:rPr>
                <w:rFonts w:cs="Arial"/>
                <w:sz w:val="18"/>
                <w:szCs w:val="18"/>
              </w:rPr>
              <w:t>Villamos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3 534 907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3 407 128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4 236 538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96,39%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124,34%</w:t>
            </w:r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left"/>
              <w:rPr>
                <w:rFonts w:cs="Arial"/>
                <w:sz w:val="18"/>
                <w:szCs w:val="18"/>
              </w:rPr>
            </w:pPr>
            <w:r w:rsidRPr="00BA69FC">
              <w:rPr>
                <w:rFonts w:cs="Arial"/>
                <w:sz w:val="18"/>
                <w:szCs w:val="18"/>
              </w:rPr>
              <w:t>Trolibusz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559 989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560 636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560 636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100,12%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100,00%</w:t>
            </w:r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left"/>
              <w:rPr>
                <w:rFonts w:cs="Arial"/>
                <w:sz w:val="18"/>
                <w:szCs w:val="18"/>
              </w:rPr>
            </w:pPr>
            <w:r w:rsidRPr="00BA69FC">
              <w:rPr>
                <w:rFonts w:cs="Arial"/>
                <w:sz w:val="18"/>
                <w:szCs w:val="18"/>
              </w:rPr>
              <w:t>Autóbusz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7 711 920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7 901 790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7 397 591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102,46%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color w:val="000000"/>
                <w:sz w:val="18"/>
                <w:szCs w:val="18"/>
              </w:rPr>
              <w:t>93,62%</w:t>
            </w:r>
          </w:p>
        </w:tc>
      </w:tr>
      <w:tr w:rsidR="00F76B4F" w:rsidRPr="00BA69FC" w:rsidTr="00F01206">
        <w:trPr>
          <w:trHeight w:val="28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color w:val="000000"/>
                <w:sz w:val="18"/>
                <w:szCs w:val="18"/>
              </w:rPr>
              <w:t>18 867 597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color w:val="000000"/>
                <w:sz w:val="18"/>
                <w:szCs w:val="18"/>
              </w:rPr>
              <w:t>19 253 965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color w:val="000000"/>
                <w:sz w:val="18"/>
                <w:szCs w:val="18"/>
              </w:rPr>
              <w:t>19 666 690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color w:val="000000"/>
                <w:sz w:val="18"/>
                <w:szCs w:val="18"/>
              </w:rPr>
              <w:t>102,05%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B4F" w:rsidRPr="00BA69FC" w:rsidRDefault="00F76B4F" w:rsidP="00F0120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69FC">
              <w:rPr>
                <w:rFonts w:cs="Arial"/>
                <w:b/>
                <w:bCs/>
                <w:color w:val="000000"/>
                <w:sz w:val="18"/>
                <w:szCs w:val="18"/>
              </w:rPr>
              <w:t>102,14%</w:t>
            </w:r>
          </w:p>
        </w:tc>
      </w:tr>
    </w:tbl>
    <w:p w:rsidR="003C1AEE" w:rsidRDefault="003C1AEE" w:rsidP="002576B7">
      <w:pPr>
        <w:rPr>
          <w:rFonts w:cs="Arial"/>
        </w:rPr>
      </w:pPr>
    </w:p>
    <w:p w:rsidR="003C1AEE" w:rsidRDefault="003C1AE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p w:rsidR="00992711" w:rsidRPr="00FA1A59" w:rsidRDefault="00992711" w:rsidP="00992711">
      <w:pPr>
        <w:rPr>
          <w:rFonts w:cs="Arial"/>
          <w:sz w:val="24"/>
          <w:szCs w:val="24"/>
        </w:rPr>
      </w:pPr>
      <w:r w:rsidRPr="00FA1A59">
        <w:rPr>
          <w:rFonts w:cs="Arial"/>
          <w:b/>
          <w:bCs/>
          <w:szCs w:val="22"/>
        </w:rPr>
        <w:t>Kiemelt adatok</w:t>
      </w:r>
    </w:p>
    <w:p w:rsidR="00992711" w:rsidRPr="00FA1A59" w:rsidRDefault="00992711" w:rsidP="00992711">
      <w:pPr>
        <w:rPr>
          <w:rFonts w:cs="Arial"/>
          <w:szCs w:val="22"/>
        </w:rPr>
      </w:pPr>
    </w:p>
    <w:tbl>
      <w:tblPr>
        <w:tblW w:w="874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2980"/>
        <w:gridCol w:w="1440"/>
        <w:gridCol w:w="1440"/>
        <w:gridCol w:w="1440"/>
        <w:gridCol w:w="1440"/>
      </w:tblGrid>
      <w:tr w:rsidR="00E01EF7" w:rsidRPr="00FA1A59" w:rsidTr="003709D8">
        <w:trPr>
          <w:trHeight w:val="31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F7" w:rsidRPr="00FA1A59" w:rsidRDefault="00813559" w:rsidP="00E01E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BKK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F7" w:rsidRPr="00B10E29" w:rsidRDefault="00E01EF7" w:rsidP="00E01E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B10E29">
              <w:rPr>
                <w:rFonts w:cs="Arial"/>
                <w:b/>
                <w:color w:val="000000"/>
                <w:sz w:val="18"/>
                <w:szCs w:val="18"/>
              </w:rPr>
              <w:t>2014.12.31</w:t>
            </w:r>
          </w:p>
          <w:p w:rsidR="00E01EF7" w:rsidRPr="00B10E29" w:rsidRDefault="005A1E76" w:rsidP="00E01EF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F7" w:rsidRPr="00B10E29" w:rsidRDefault="00E01EF7" w:rsidP="00E01E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B10E29">
              <w:rPr>
                <w:rFonts w:cs="Arial"/>
                <w:b/>
                <w:color w:val="000000"/>
                <w:sz w:val="18"/>
                <w:szCs w:val="18"/>
              </w:rPr>
              <w:t>2015.12.31</w:t>
            </w:r>
          </w:p>
          <w:p w:rsidR="00E01EF7" w:rsidRPr="00B10E29" w:rsidRDefault="00E01EF7" w:rsidP="00E01EF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10E29">
              <w:rPr>
                <w:rFonts w:cs="Arial"/>
                <w:b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F7" w:rsidRPr="00B10E29" w:rsidRDefault="00E01EF7" w:rsidP="00E01E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B10E29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változás</w:t>
            </w:r>
          </w:p>
        </w:tc>
      </w:tr>
      <w:tr w:rsidR="00E01EF7" w:rsidRPr="00FA1A59" w:rsidTr="003709D8">
        <w:trPr>
          <w:trHeight w:val="300"/>
        </w:trPr>
        <w:tc>
          <w:tcPr>
            <w:tcW w:w="29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F7" w:rsidRPr="00FA1A59" w:rsidRDefault="00E01EF7" w:rsidP="009927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F7" w:rsidRPr="00B10E29" w:rsidRDefault="00E01EF7" w:rsidP="00992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F7" w:rsidRPr="00B10E29" w:rsidRDefault="00E01EF7" w:rsidP="009927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F7" w:rsidRPr="00B10E29" w:rsidRDefault="00E01EF7" w:rsidP="00197D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B10E29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2015-2014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EF7" w:rsidRPr="00B10E29" w:rsidRDefault="00E01EF7" w:rsidP="00197D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</w:pPr>
            <w:r w:rsidRPr="00B10E29">
              <w:rPr>
                <w:rFonts w:cs="Arial"/>
                <w:b/>
                <w:i/>
                <w:iCs/>
                <w:color w:val="000000"/>
                <w:sz w:val="18"/>
                <w:szCs w:val="18"/>
              </w:rPr>
              <w:t>2015/2014</w:t>
            </w:r>
          </w:p>
        </w:tc>
      </w:tr>
      <w:tr w:rsidR="00DF3C9D" w:rsidRPr="00FA1A59" w:rsidTr="00DF3C9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E6445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MÉRLEGFŐÖSSZEG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94 021 500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169 054 489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75 032 989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179,8%</w:t>
            </w:r>
          </w:p>
        </w:tc>
      </w:tr>
      <w:tr w:rsidR="00DF3C9D" w:rsidRPr="00FA1A59" w:rsidTr="00DF3C9D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E6445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SAJÁT TŐKE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4 723 503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4 782 723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59 220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101,3%</w:t>
            </w:r>
          </w:p>
        </w:tc>
      </w:tr>
      <w:tr w:rsidR="00DF3C9D" w:rsidRPr="00FA1A59" w:rsidTr="00DF3C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E64459">
            <w:pPr>
              <w:overflowPunct/>
              <w:autoSpaceDE/>
              <w:autoSpaceDN/>
              <w:adjustRightInd/>
              <w:ind w:firstLineChars="200" w:firstLine="360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Jegyzett tőke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1 801 000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1 801 000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DF3C9D" w:rsidRPr="00FA1A59" w:rsidTr="00DF3C9D">
        <w:trPr>
          <w:trHeight w:val="315"/>
        </w:trPr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E64459">
            <w:pPr>
              <w:overflowPunct/>
              <w:autoSpaceDE/>
              <w:autoSpaceDN/>
              <w:adjustRightInd/>
              <w:ind w:firstLineChars="200" w:firstLine="360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Mérleg szerinti eredmény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150 467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62 846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-87 621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41,8%</w:t>
            </w:r>
          </w:p>
        </w:tc>
      </w:tr>
    </w:tbl>
    <w:p w:rsidR="00992711" w:rsidRPr="00FA1A59" w:rsidRDefault="00992711" w:rsidP="00992711">
      <w:pPr>
        <w:rPr>
          <w:rFonts w:cs="Arial"/>
          <w:szCs w:val="22"/>
        </w:rPr>
      </w:pPr>
    </w:p>
    <w:p w:rsidR="00992711" w:rsidRPr="00FA1A59" w:rsidRDefault="00992711" w:rsidP="00935FB8">
      <w:pPr>
        <w:rPr>
          <w:rFonts w:cs="Arial"/>
          <w:bCs/>
          <w:szCs w:val="22"/>
        </w:rPr>
      </w:pPr>
      <w:r w:rsidRPr="00FA1A59">
        <w:rPr>
          <w:rFonts w:cs="Arial"/>
          <w:bCs/>
          <w:szCs w:val="22"/>
        </w:rPr>
        <w:t>A Társaság vagyonát a sajá</w:t>
      </w:r>
      <w:r w:rsidR="00B10E29">
        <w:rPr>
          <w:rFonts w:cs="Arial"/>
          <w:bCs/>
          <w:szCs w:val="22"/>
        </w:rPr>
        <w:t xml:space="preserve">t tőke a 2014. évben </w:t>
      </w:r>
      <w:r w:rsidR="00414A19">
        <w:rPr>
          <w:rFonts w:cs="Arial"/>
          <w:bCs/>
          <w:szCs w:val="22"/>
        </w:rPr>
        <w:t>5</w:t>
      </w:r>
      <w:r w:rsidRPr="00FA1A59">
        <w:rPr>
          <w:rFonts w:cs="Arial"/>
          <w:bCs/>
          <w:szCs w:val="22"/>
        </w:rPr>
        <w:t>%-ban, a 201</w:t>
      </w:r>
      <w:r w:rsidR="00B10E29">
        <w:rPr>
          <w:rFonts w:cs="Arial"/>
          <w:bCs/>
          <w:szCs w:val="22"/>
        </w:rPr>
        <w:t>5</w:t>
      </w:r>
      <w:r w:rsidRPr="00FA1A59">
        <w:rPr>
          <w:rFonts w:cs="Arial"/>
          <w:bCs/>
          <w:szCs w:val="22"/>
        </w:rPr>
        <w:t xml:space="preserve">. évi terv szerint pedig </w:t>
      </w:r>
      <w:r w:rsidR="00414A19">
        <w:rPr>
          <w:rFonts w:cs="Arial"/>
          <w:bCs/>
          <w:szCs w:val="22"/>
        </w:rPr>
        <w:t>2</w:t>
      </w:r>
      <w:r w:rsidR="00EF147C">
        <w:rPr>
          <w:rFonts w:cs="Arial"/>
          <w:bCs/>
          <w:szCs w:val="22"/>
        </w:rPr>
        <w:t>,8</w:t>
      </w:r>
      <w:r w:rsidRPr="00FA1A59">
        <w:rPr>
          <w:rFonts w:cs="Arial"/>
          <w:bCs/>
          <w:szCs w:val="22"/>
        </w:rPr>
        <w:t xml:space="preserve">%-ban fedezi. </w:t>
      </w:r>
    </w:p>
    <w:p w:rsidR="00795ADD" w:rsidRDefault="00795AD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p w:rsidR="00992711" w:rsidRPr="00FA1A59" w:rsidRDefault="00992711" w:rsidP="00992711">
      <w:pPr>
        <w:pStyle w:val="Listaszerbekezds"/>
        <w:overflowPunct/>
        <w:autoSpaceDE/>
        <w:autoSpaceDN/>
        <w:adjustRightInd/>
        <w:spacing w:line="360" w:lineRule="auto"/>
        <w:ind w:left="0"/>
        <w:textAlignment w:val="auto"/>
        <w:rPr>
          <w:rFonts w:cs="Arial"/>
          <w:b/>
          <w:bCs/>
          <w:szCs w:val="22"/>
        </w:rPr>
      </w:pPr>
      <w:r w:rsidRPr="00FA1A59">
        <w:rPr>
          <w:rFonts w:cs="Arial"/>
          <w:b/>
          <w:bCs/>
          <w:szCs w:val="22"/>
        </w:rPr>
        <w:t>Az eredménykimutatás fő sorai</w:t>
      </w:r>
    </w:p>
    <w:tbl>
      <w:tblPr>
        <w:tblW w:w="870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09"/>
        <w:gridCol w:w="1417"/>
        <w:gridCol w:w="1276"/>
        <w:gridCol w:w="1178"/>
        <w:gridCol w:w="1120"/>
      </w:tblGrid>
      <w:tr w:rsidR="00D959F4" w:rsidRPr="00FA1A59" w:rsidTr="00482C9D">
        <w:trPr>
          <w:trHeight w:val="315"/>
        </w:trPr>
        <w:tc>
          <w:tcPr>
            <w:tcW w:w="3709" w:type="dxa"/>
            <w:vMerge w:val="restart"/>
            <w:shd w:val="clear" w:color="auto" w:fill="auto"/>
            <w:noWrap/>
            <w:vAlign w:val="center"/>
            <w:hideMark/>
          </w:tcPr>
          <w:p w:rsidR="00D959F4" w:rsidRPr="00FA1A59" w:rsidRDefault="00DB77E2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BKK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color w:val="000000"/>
                <w:sz w:val="18"/>
                <w:szCs w:val="18"/>
              </w:rPr>
              <w:t>2014.12.31</w:t>
            </w:r>
          </w:p>
          <w:p w:rsidR="00D959F4" w:rsidRPr="00FA1A59" w:rsidRDefault="005A1E76" w:rsidP="00195A4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color w:val="000000"/>
                <w:sz w:val="18"/>
                <w:szCs w:val="18"/>
              </w:rPr>
              <w:t>2015.12.31</w:t>
            </w:r>
          </w:p>
          <w:p w:rsidR="00D959F4" w:rsidRPr="00FA1A59" w:rsidRDefault="00D959F4" w:rsidP="00195A4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2298" w:type="dxa"/>
            <w:gridSpan w:val="2"/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változás</w:t>
            </w:r>
          </w:p>
        </w:tc>
      </w:tr>
      <w:tr w:rsidR="00D959F4" w:rsidRPr="00FA1A59" w:rsidTr="00482C9D">
        <w:trPr>
          <w:trHeight w:val="300"/>
        </w:trPr>
        <w:tc>
          <w:tcPr>
            <w:tcW w:w="3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2015-2014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F4" w:rsidRPr="00FA1A59" w:rsidRDefault="00D959F4" w:rsidP="00195A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2015/2014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FA1A59">
              <w:rPr>
                <w:rFonts w:cs="Arial"/>
                <w:color w:val="000000"/>
                <w:sz w:val="18"/>
                <w:szCs w:val="18"/>
              </w:rPr>
              <w:t>I.  Értékesítés</w:t>
            </w:r>
            <w:proofErr w:type="gramEnd"/>
            <w:r w:rsidRPr="00FA1A59">
              <w:rPr>
                <w:rFonts w:cs="Arial"/>
                <w:color w:val="000000"/>
                <w:sz w:val="18"/>
                <w:szCs w:val="18"/>
              </w:rPr>
              <w:t xml:space="preserve"> nettó árbevétele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87 666 273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112 348 305</w:t>
            </w:r>
          </w:p>
        </w:tc>
        <w:tc>
          <w:tcPr>
            <w:tcW w:w="11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24 682 032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128,2%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II. Aktivált saját teljesítmények értéke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-70 805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70 805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III. Egyéb bevételek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94 779 968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161 594 676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66 814 708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170,5%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IV. Anyagjellegű ráfordítások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169 495 904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258 277 225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88 781 321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152,4%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FA1A59">
              <w:rPr>
                <w:rFonts w:cs="Arial"/>
                <w:color w:val="000000"/>
                <w:sz w:val="18"/>
                <w:szCs w:val="18"/>
              </w:rPr>
              <w:t>V.  Személyi</w:t>
            </w:r>
            <w:proofErr w:type="gramEnd"/>
            <w:r w:rsidRPr="00FA1A59">
              <w:rPr>
                <w:rFonts w:cs="Arial"/>
                <w:color w:val="000000"/>
                <w:sz w:val="18"/>
                <w:szCs w:val="18"/>
              </w:rPr>
              <w:t xml:space="preserve"> jellegű ráfordítások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10 751 163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11 738 706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987 543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109,2%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VI. Értékcsökkenési leírás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610 687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3 167 925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2 557 238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518,7%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VII. Egyéb ráfordítások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1 427 697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591 866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-835 831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41,5%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A.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ÜZEMI (ÜZLETI) TEV. EREDMÉNYE </w:t>
            </w:r>
            <w:r w:rsidRPr="00FA1A5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89 985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167 259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77 274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185,9%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VIII. Pénzügyi műveletek bevételei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124 123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105 474</w:t>
            </w:r>
          </w:p>
        </w:tc>
        <w:tc>
          <w:tcPr>
            <w:tcW w:w="117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-18 649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85,0%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IX. Pénzügyi műveletek ráfordításai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1 295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131 222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129 927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10133,0%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>B. PÉNZÜGYI MŰV</w:t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Pr="00FA1A59">
              <w:rPr>
                <w:rFonts w:cs="Arial"/>
                <w:color w:val="000000"/>
                <w:sz w:val="18"/>
                <w:szCs w:val="18"/>
              </w:rPr>
              <w:t>EK EREDMÉNYE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122 828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-25 748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-148 576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-21,0%</w:t>
            </w:r>
          </w:p>
        </w:tc>
      </w:tr>
      <w:tr w:rsidR="00DF3C9D" w:rsidRPr="00195A4F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BC6C50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C6C50">
              <w:rPr>
                <w:rFonts w:cs="Arial"/>
                <w:color w:val="000000"/>
                <w:sz w:val="18"/>
                <w:szCs w:val="18"/>
              </w:rPr>
              <w:t xml:space="preserve">C. SZOKÁSOS VÁLL-I </w:t>
            </w:r>
            <w:proofErr w:type="gramStart"/>
            <w:r w:rsidRPr="00BC6C50">
              <w:rPr>
                <w:rFonts w:cs="Arial"/>
                <w:color w:val="000000"/>
                <w:sz w:val="18"/>
                <w:szCs w:val="18"/>
              </w:rPr>
              <w:t>EREDMÉNY  (</w:t>
            </w:r>
            <w:proofErr w:type="gramEnd"/>
            <w:r w:rsidRPr="00BC6C50">
              <w:rPr>
                <w:rFonts w:cs="Arial"/>
                <w:color w:val="000000"/>
                <w:sz w:val="18"/>
                <w:szCs w:val="18"/>
              </w:rPr>
              <w:t>A+B)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212 813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141 511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-71 302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66,5%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 xml:space="preserve">D. RENDKÍVÜLI </w:t>
            </w:r>
            <w:proofErr w:type="gramStart"/>
            <w:r w:rsidRPr="00FA1A59">
              <w:rPr>
                <w:rFonts w:cs="Arial"/>
                <w:color w:val="000000"/>
                <w:sz w:val="18"/>
                <w:szCs w:val="18"/>
              </w:rPr>
              <w:t>EREDMÉNY  (</w:t>
            </w:r>
            <w:proofErr w:type="gramEnd"/>
            <w:r w:rsidRPr="00FA1A59">
              <w:rPr>
                <w:rFonts w:cs="Arial"/>
                <w:color w:val="000000"/>
                <w:sz w:val="18"/>
                <w:szCs w:val="18"/>
              </w:rPr>
              <w:t>X-XI)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-46 694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46 694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 xml:space="preserve">E. ADÓZÁS ELŐTTI </w:t>
            </w:r>
            <w:proofErr w:type="gramStart"/>
            <w:r w:rsidRPr="00FA1A59">
              <w:rPr>
                <w:rFonts w:cs="Arial"/>
                <w:color w:val="000000"/>
                <w:sz w:val="18"/>
                <w:szCs w:val="18"/>
              </w:rPr>
              <w:t>EREDMÉNY  (</w:t>
            </w:r>
            <w:proofErr w:type="gramEnd"/>
            <w:r w:rsidRPr="00FA1A59">
              <w:rPr>
                <w:rFonts w:cs="Arial"/>
                <w:color w:val="000000"/>
                <w:sz w:val="18"/>
                <w:szCs w:val="18"/>
              </w:rPr>
              <w:t>C+D)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166 119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141 511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-24 608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85,2%</w:t>
            </w:r>
          </w:p>
        </w:tc>
      </w:tr>
      <w:tr w:rsidR="00DF3C9D" w:rsidRPr="00FA1A59" w:rsidTr="00DF3C9D">
        <w:trPr>
          <w:trHeight w:val="300"/>
        </w:trPr>
        <w:tc>
          <w:tcPr>
            <w:tcW w:w="3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Pr="00FA1A59" w:rsidRDefault="00DF3C9D" w:rsidP="00195A4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color w:val="000000"/>
                <w:sz w:val="18"/>
                <w:szCs w:val="18"/>
              </w:rPr>
              <w:t xml:space="preserve">F. ADÓZOTT </w:t>
            </w:r>
            <w:proofErr w:type="gramStart"/>
            <w:r w:rsidRPr="00FA1A59">
              <w:rPr>
                <w:rFonts w:cs="Arial"/>
                <w:color w:val="000000"/>
                <w:sz w:val="18"/>
                <w:szCs w:val="18"/>
              </w:rPr>
              <w:t>EREDMÉNY  (</w:t>
            </w:r>
            <w:proofErr w:type="gramEnd"/>
            <w:r w:rsidRPr="00FA1A59">
              <w:rPr>
                <w:rFonts w:cs="Arial"/>
                <w:color w:val="000000"/>
                <w:sz w:val="18"/>
                <w:szCs w:val="18"/>
              </w:rPr>
              <w:t>E-XII)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150 467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62 846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-87 621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41,8%</w:t>
            </w:r>
          </w:p>
        </w:tc>
      </w:tr>
      <w:tr w:rsidR="00DF3C9D" w:rsidRPr="00FA1A59" w:rsidTr="00DF3C9D">
        <w:trPr>
          <w:trHeight w:val="315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DF3C9D" w:rsidRPr="00FA1A59" w:rsidRDefault="00DF3C9D" w:rsidP="00482C9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1A5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G. MÉRLEG SZERINTI EREDMÉNY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150 467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62 846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-87 621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F3C9D" w:rsidRDefault="00DF3C9D" w:rsidP="00DF3C9D">
            <w:pPr>
              <w:jc w:val="right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41,8%</w:t>
            </w:r>
          </w:p>
        </w:tc>
      </w:tr>
    </w:tbl>
    <w:p w:rsidR="00992711" w:rsidRPr="00FA1A59" w:rsidRDefault="00992711" w:rsidP="002576B7">
      <w:pPr>
        <w:rPr>
          <w:rFonts w:cs="Arial"/>
        </w:rPr>
      </w:pPr>
    </w:p>
    <w:p w:rsidR="00D21D19" w:rsidRDefault="00992711" w:rsidP="00935FB8">
      <w:pPr>
        <w:rPr>
          <w:rFonts w:cs="Arial"/>
          <w:szCs w:val="22"/>
        </w:rPr>
      </w:pPr>
      <w:r w:rsidRPr="00FA1A59">
        <w:rPr>
          <w:rFonts w:cs="Arial"/>
          <w:szCs w:val="22"/>
        </w:rPr>
        <w:t>A Társaság 201</w:t>
      </w:r>
      <w:r w:rsidR="00195A4F">
        <w:rPr>
          <w:rFonts w:cs="Arial"/>
          <w:szCs w:val="22"/>
        </w:rPr>
        <w:t>5</w:t>
      </w:r>
      <w:r w:rsidRPr="00FA1A59">
        <w:rPr>
          <w:rFonts w:cs="Arial"/>
          <w:szCs w:val="22"/>
        </w:rPr>
        <w:t xml:space="preserve">. évre üzemi/üzleti szinten </w:t>
      </w:r>
      <w:r w:rsidR="007467DF">
        <w:rPr>
          <w:rFonts w:cs="Arial"/>
          <w:szCs w:val="22"/>
        </w:rPr>
        <w:t>9</w:t>
      </w:r>
      <w:r w:rsidR="001F3B1E">
        <w:rPr>
          <w:rFonts w:cs="Arial"/>
          <w:szCs w:val="22"/>
        </w:rPr>
        <w:t>1</w:t>
      </w:r>
      <w:r w:rsidR="007467DF">
        <w:rPr>
          <w:rFonts w:cs="Arial"/>
          <w:szCs w:val="22"/>
        </w:rPr>
        <w:t xml:space="preserve"> </w:t>
      </w:r>
      <w:r w:rsidR="001F3B1E">
        <w:rPr>
          <w:rFonts w:cs="Arial"/>
          <w:szCs w:val="22"/>
        </w:rPr>
        <w:t>567</w:t>
      </w:r>
      <w:r w:rsidR="00195A4F">
        <w:rPr>
          <w:rFonts w:cs="Arial"/>
          <w:szCs w:val="22"/>
        </w:rPr>
        <w:t xml:space="preserve"> </w:t>
      </w:r>
      <w:r w:rsidRPr="00FA1A59">
        <w:rPr>
          <w:rFonts w:cs="Arial"/>
          <w:szCs w:val="22"/>
        </w:rPr>
        <w:t>M Ft-tal (</w:t>
      </w:r>
      <w:r w:rsidR="001F3B1E">
        <w:rPr>
          <w:rFonts w:cs="Arial"/>
          <w:szCs w:val="22"/>
        </w:rPr>
        <w:t>50,2</w:t>
      </w:r>
      <w:r w:rsidR="005F5582" w:rsidRPr="00FA1A59">
        <w:rPr>
          <w:rFonts w:cs="Arial"/>
          <w:szCs w:val="22"/>
        </w:rPr>
        <w:t xml:space="preserve"> </w:t>
      </w:r>
      <w:r w:rsidRPr="00FA1A59">
        <w:rPr>
          <w:rFonts w:cs="Arial"/>
          <w:szCs w:val="22"/>
        </w:rPr>
        <w:t xml:space="preserve">%-kal) </w:t>
      </w:r>
      <w:r w:rsidR="00D21D19">
        <w:rPr>
          <w:rFonts w:cs="Arial"/>
          <w:szCs w:val="22"/>
        </w:rPr>
        <w:t>több</w:t>
      </w:r>
      <w:r w:rsidRPr="00FA1A59">
        <w:rPr>
          <w:rFonts w:cs="Arial"/>
          <w:szCs w:val="22"/>
        </w:rPr>
        <w:t xml:space="preserve"> bevételt (hozamot) és </w:t>
      </w:r>
      <w:r w:rsidR="001F3B1E">
        <w:rPr>
          <w:rFonts w:cs="Arial"/>
          <w:szCs w:val="22"/>
        </w:rPr>
        <w:t>91 490</w:t>
      </w:r>
      <w:r w:rsidRPr="00FA1A59">
        <w:rPr>
          <w:rFonts w:cs="Arial"/>
          <w:szCs w:val="22"/>
        </w:rPr>
        <w:t xml:space="preserve"> M Ft-tal (</w:t>
      </w:r>
      <w:r w:rsidR="001F3B1E">
        <w:rPr>
          <w:rFonts w:cs="Arial"/>
          <w:szCs w:val="22"/>
        </w:rPr>
        <w:t>50,2</w:t>
      </w:r>
      <w:r w:rsidRPr="00FA1A59">
        <w:rPr>
          <w:rFonts w:cs="Arial"/>
          <w:szCs w:val="22"/>
        </w:rPr>
        <w:t xml:space="preserve">%-kal) </w:t>
      </w:r>
      <w:r w:rsidR="00D21D19">
        <w:rPr>
          <w:rFonts w:cs="Arial"/>
          <w:szCs w:val="22"/>
        </w:rPr>
        <w:t>több</w:t>
      </w:r>
      <w:r w:rsidRPr="00FA1A59">
        <w:rPr>
          <w:rFonts w:cs="Arial"/>
          <w:szCs w:val="22"/>
        </w:rPr>
        <w:t xml:space="preserve"> ráfordítást tervezett. Az üzemi/üzleti tevékenység eredménye </w:t>
      </w:r>
      <w:r w:rsidR="0068521A" w:rsidRPr="00FA1A59">
        <w:rPr>
          <w:rFonts w:cs="Arial"/>
          <w:szCs w:val="22"/>
        </w:rPr>
        <w:t>így 201</w:t>
      </w:r>
      <w:r w:rsidR="00195A4F">
        <w:rPr>
          <w:rFonts w:cs="Arial"/>
          <w:szCs w:val="22"/>
        </w:rPr>
        <w:t>5</w:t>
      </w:r>
      <w:r w:rsidR="0068521A" w:rsidRPr="00FA1A59">
        <w:rPr>
          <w:rFonts w:cs="Arial"/>
          <w:szCs w:val="22"/>
        </w:rPr>
        <w:t xml:space="preserve">. évre </w:t>
      </w:r>
      <w:r w:rsidR="001F3B1E">
        <w:rPr>
          <w:rFonts w:cs="Arial"/>
          <w:szCs w:val="22"/>
        </w:rPr>
        <w:t>77</w:t>
      </w:r>
      <w:r w:rsidR="00DC687B" w:rsidRPr="00FA1A59">
        <w:rPr>
          <w:rFonts w:cs="Arial"/>
          <w:szCs w:val="22"/>
        </w:rPr>
        <w:t xml:space="preserve"> M Ft-tal </w:t>
      </w:r>
      <w:r w:rsidR="007467DF">
        <w:rPr>
          <w:rFonts w:cs="Arial"/>
          <w:szCs w:val="22"/>
        </w:rPr>
        <w:t>több</w:t>
      </w:r>
      <w:r w:rsidR="00DC687B" w:rsidRPr="00FA1A59">
        <w:rPr>
          <w:rFonts w:cs="Arial"/>
          <w:szCs w:val="22"/>
        </w:rPr>
        <w:t xml:space="preserve"> </w:t>
      </w:r>
      <w:r w:rsidRPr="00FA1A59">
        <w:rPr>
          <w:rFonts w:cs="Arial"/>
          <w:szCs w:val="22"/>
        </w:rPr>
        <w:t>a 201</w:t>
      </w:r>
      <w:r w:rsidR="00195A4F">
        <w:rPr>
          <w:rFonts w:cs="Arial"/>
          <w:szCs w:val="22"/>
        </w:rPr>
        <w:t>4</w:t>
      </w:r>
      <w:r w:rsidRPr="00FA1A59">
        <w:rPr>
          <w:rFonts w:cs="Arial"/>
          <w:szCs w:val="22"/>
        </w:rPr>
        <w:t xml:space="preserve">. évi </w:t>
      </w:r>
      <w:r w:rsidR="001F3B1E">
        <w:rPr>
          <w:rFonts w:cs="Arial"/>
          <w:szCs w:val="22"/>
        </w:rPr>
        <w:t>90</w:t>
      </w:r>
      <w:r w:rsidRPr="00FA1A59">
        <w:rPr>
          <w:rFonts w:cs="Arial"/>
          <w:szCs w:val="22"/>
        </w:rPr>
        <w:t xml:space="preserve"> </w:t>
      </w:r>
      <w:r w:rsidR="0068521A" w:rsidRPr="00FA1A59">
        <w:rPr>
          <w:rFonts w:cs="Arial"/>
          <w:szCs w:val="22"/>
        </w:rPr>
        <w:t>M</w:t>
      </w:r>
      <w:r w:rsidRPr="00FA1A59">
        <w:rPr>
          <w:rFonts w:cs="Arial"/>
          <w:szCs w:val="22"/>
        </w:rPr>
        <w:t xml:space="preserve"> Ft-os nyereség</w:t>
      </w:r>
      <w:r w:rsidR="00DC687B" w:rsidRPr="00FA1A59">
        <w:rPr>
          <w:rFonts w:cs="Arial"/>
          <w:szCs w:val="22"/>
        </w:rPr>
        <w:t xml:space="preserve">hez képest. A </w:t>
      </w:r>
      <w:r w:rsidR="00D21D19">
        <w:rPr>
          <w:rFonts w:cs="Arial"/>
          <w:szCs w:val="22"/>
        </w:rPr>
        <w:t xml:space="preserve">pénzügyi műveletek eredménye </w:t>
      </w:r>
      <w:r w:rsidR="007467DF">
        <w:rPr>
          <w:rFonts w:cs="Arial"/>
          <w:szCs w:val="22"/>
        </w:rPr>
        <w:t>(-25</w:t>
      </w:r>
      <w:r w:rsidR="001F3B1E">
        <w:rPr>
          <w:rFonts w:cs="Arial"/>
          <w:szCs w:val="22"/>
        </w:rPr>
        <w:t>,7</w:t>
      </w:r>
      <w:r w:rsidR="007467DF">
        <w:rPr>
          <w:rFonts w:cs="Arial"/>
          <w:szCs w:val="22"/>
        </w:rPr>
        <w:t xml:space="preserve"> M Ft) csökkenti </w:t>
      </w:r>
      <w:r w:rsidR="00D21D19">
        <w:rPr>
          <w:rFonts w:cs="Arial"/>
          <w:szCs w:val="22"/>
        </w:rPr>
        <w:t xml:space="preserve">az eredményt, </w:t>
      </w:r>
      <w:r w:rsidR="007467DF">
        <w:rPr>
          <w:rFonts w:cs="Arial"/>
          <w:szCs w:val="22"/>
        </w:rPr>
        <w:t xml:space="preserve">valamint a tervezett társasági adó (78,7 M Ft), </w:t>
      </w:r>
      <w:r w:rsidR="00D21D19">
        <w:rPr>
          <w:rFonts w:cs="Arial"/>
          <w:szCs w:val="22"/>
        </w:rPr>
        <w:t xml:space="preserve">mellyel a tervezett mérleg szerinti eredmény </w:t>
      </w:r>
      <w:r w:rsidR="007467DF">
        <w:rPr>
          <w:rFonts w:cs="Arial"/>
          <w:szCs w:val="22"/>
        </w:rPr>
        <w:t xml:space="preserve">62,8 </w:t>
      </w:r>
      <w:r w:rsidR="00D21D19">
        <w:rPr>
          <w:rFonts w:cs="Arial"/>
          <w:szCs w:val="22"/>
        </w:rPr>
        <w:t xml:space="preserve">M Ft, mely összeg </w:t>
      </w:r>
      <w:r w:rsidR="007467DF">
        <w:rPr>
          <w:rFonts w:cs="Arial"/>
          <w:szCs w:val="22"/>
        </w:rPr>
        <w:t>5</w:t>
      </w:r>
      <w:r w:rsidR="001F3B1E">
        <w:rPr>
          <w:rFonts w:cs="Arial"/>
          <w:szCs w:val="22"/>
        </w:rPr>
        <w:t>8</w:t>
      </w:r>
      <w:r w:rsidR="00D21D19">
        <w:rPr>
          <w:rFonts w:cs="Arial"/>
          <w:szCs w:val="22"/>
        </w:rPr>
        <w:t>%-kal (</w:t>
      </w:r>
      <w:r w:rsidR="001F3B1E">
        <w:rPr>
          <w:rFonts w:cs="Arial"/>
          <w:szCs w:val="22"/>
        </w:rPr>
        <w:t>87,6</w:t>
      </w:r>
      <w:r w:rsidR="00D21D19">
        <w:rPr>
          <w:rFonts w:cs="Arial"/>
          <w:szCs w:val="22"/>
        </w:rPr>
        <w:t xml:space="preserve"> M Ft-tal) </w:t>
      </w:r>
      <w:r w:rsidR="005F5582">
        <w:rPr>
          <w:rFonts w:cs="Arial"/>
          <w:szCs w:val="22"/>
        </w:rPr>
        <w:t>kevesebb</w:t>
      </w:r>
      <w:r w:rsidR="00D21D19">
        <w:rPr>
          <w:rFonts w:cs="Arial"/>
          <w:szCs w:val="22"/>
        </w:rPr>
        <w:t>, mint a 2014. évi mérleg szerinti eredmény.</w:t>
      </w:r>
    </w:p>
    <w:p w:rsidR="00C468EA" w:rsidRDefault="00C468E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DC687B" w:rsidRPr="00FA1A59" w:rsidRDefault="00DC687B" w:rsidP="00DC687B">
      <w:pPr>
        <w:keepNext/>
        <w:widowControl w:val="0"/>
        <w:spacing w:line="360" w:lineRule="auto"/>
        <w:rPr>
          <w:rFonts w:cs="Arial"/>
          <w:b/>
          <w:bCs/>
          <w:sz w:val="24"/>
          <w:szCs w:val="24"/>
        </w:rPr>
      </w:pPr>
      <w:r w:rsidRPr="00FA1A59">
        <w:rPr>
          <w:rFonts w:cs="Arial"/>
          <w:b/>
          <w:bCs/>
          <w:sz w:val="24"/>
          <w:szCs w:val="24"/>
        </w:rPr>
        <w:lastRenderedPageBreak/>
        <w:t xml:space="preserve">Az üzleti </w:t>
      </w:r>
      <w:proofErr w:type="gramStart"/>
      <w:r w:rsidRPr="00FA1A59">
        <w:rPr>
          <w:rFonts w:cs="Arial"/>
          <w:b/>
          <w:bCs/>
          <w:sz w:val="24"/>
          <w:szCs w:val="24"/>
        </w:rPr>
        <w:t>terv gazdasági</w:t>
      </w:r>
      <w:proofErr w:type="gramEnd"/>
      <w:r w:rsidRPr="00FA1A59">
        <w:rPr>
          <w:rFonts w:cs="Arial"/>
          <w:b/>
          <w:bCs/>
          <w:sz w:val="24"/>
          <w:szCs w:val="24"/>
        </w:rPr>
        <w:t xml:space="preserve"> adatainak jellemzői</w:t>
      </w:r>
    </w:p>
    <w:p w:rsidR="002B199D" w:rsidRPr="006030B8" w:rsidRDefault="002B199D" w:rsidP="002B199D">
      <w:pPr>
        <w:keepNext/>
        <w:contextualSpacing/>
        <w:jc w:val="center"/>
        <w:rPr>
          <w:rFonts w:cs="Arial"/>
        </w:rPr>
      </w:pPr>
      <w:r w:rsidRPr="006030B8">
        <w:rPr>
          <w:rFonts w:cs="Arial"/>
        </w:rPr>
        <w:t xml:space="preserve">BKK </w:t>
      </w:r>
      <w:proofErr w:type="spellStart"/>
      <w:r w:rsidRPr="006030B8">
        <w:rPr>
          <w:rFonts w:cs="Arial"/>
        </w:rPr>
        <w:t>Zrt</w:t>
      </w:r>
      <w:proofErr w:type="spellEnd"/>
      <w:r w:rsidRPr="006030B8">
        <w:rPr>
          <w:rFonts w:cs="Arial"/>
        </w:rPr>
        <w:t>. E</w:t>
      </w:r>
      <w:r>
        <w:rPr>
          <w:rFonts w:cs="Arial"/>
        </w:rPr>
        <w:t>redményfolyamatai üzletáganként</w:t>
      </w:r>
    </w:p>
    <w:p w:rsidR="002B199D" w:rsidRDefault="002B199D" w:rsidP="002B199D">
      <w:pPr>
        <w:rPr>
          <w:noProof/>
        </w:rPr>
      </w:pPr>
    </w:p>
    <w:tbl>
      <w:tblPr>
        <w:tblW w:w="960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41"/>
        <w:gridCol w:w="1039"/>
        <w:gridCol w:w="941"/>
        <w:gridCol w:w="1275"/>
        <w:gridCol w:w="852"/>
        <w:gridCol w:w="772"/>
        <w:gridCol w:w="745"/>
        <w:gridCol w:w="1040"/>
      </w:tblGrid>
      <w:tr w:rsidR="002B199D" w:rsidRPr="00183526" w:rsidTr="00790A4A">
        <w:trPr>
          <w:trHeight w:val="300"/>
        </w:trPr>
        <w:tc>
          <w:tcPr>
            <w:tcW w:w="29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Megnevezés / Üzletág</w:t>
            </w: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K</w:t>
            </w: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özlekedés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K</w:t>
            </w: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özút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T</w:t>
            </w: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eherforgalom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Taxi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Projekt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Piaci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Összesen</w:t>
            </w:r>
          </w:p>
        </w:tc>
      </w:tr>
      <w:tr w:rsidR="002B199D" w:rsidRPr="00183526" w:rsidTr="00790A4A">
        <w:trPr>
          <w:trHeight w:val="300"/>
        </w:trPr>
        <w:tc>
          <w:tcPr>
            <w:tcW w:w="29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99D" w:rsidRPr="00183526" w:rsidRDefault="002B199D" w:rsidP="006535C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183526">
              <w:rPr>
                <w:rFonts w:cs="Arial"/>
                <w:color w:val="000000"/>
                <w:sz w:val="16"/>
                <w:szCs w:val="16"/>
              </w:rPr>
              <w:t>I.  Értékesítés</w:t>
            </w:r>
            <w:proofErr w:type="gramEnd"/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 nettó árbevétele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79 241 351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32 977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1 255 042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445 180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18 598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71 700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81 064 849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II. Aktivált saját teljesítmények értéke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III. Egyéb bevételek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88 667 772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8 254 466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35 446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3 670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96 961 618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IV. Anyagjellegű ráfordítások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154 312 109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7 362 596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469 694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165 241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8 382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42 688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162 360 709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183526">
              <w:rPr>
                <w:rFonts w:cs="Arial"/>
                <w:color w:val="000000"/>
                <w:sz w:val="16"/>
                <w:szCs w:val="16"/>
              </w:rPr>
              <w:t>V.  Személyi</w:t>
            </w:r>
            <w:proofErr w:type="gramEnd"/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 jellegű ráfordítások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9 839 599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867 325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755 303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247 166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9 504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19 810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11 738 708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VI. Értékcsökkenési leírás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3 088 195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35 169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22 632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21 536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3 167 925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83526">
              <w:rPr>
                <w:rFonts w:cs="Arial"/>
                <w:color w:val="000000"/>
                <w:sz w:val="16"/>
                <w:szCs w:val="16"/>
              </w:rPr>
              <w:t>VII.Egyéb</w:t>
            </w:r>
            <w:proofErr w:type="spellEnd"/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 ráfordítások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563 291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23 603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3 512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1 222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591 866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A. ÜZEMI (ÜZLETI) EREDMÉNYE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105 929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-1 249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39 347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13 686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167 259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B. PÉNZÜGYI MŰV</w:t>
            </w:r>
            <w:proofErr w:type="gramStart"/>
            <w:r w:rsidRPr="00183526">
              <w:rPr>
                <w:rFonts w:cs="Arial"/>
                <w:color w:val="000000"/>
                <w:sz w:val="16"/>
                <w:szCs w:val="16"/>
              </w:rPr>
              <w:t>.EK</w:t>
            </w:r>
            <w:proofErr w:type="gramEnd"/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 EREDMÉNYE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-31 711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-25 748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C. SZOKÁSOS VÁLL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Pr="00183526">
              <w:rPr>
                <w:rFonts w:cs="Arial"/>
                <w:color w:val="000000"/>
                <w:sz w:val="16"/>
                <w:szCs w:val="16"/>
              </w:rPr>
              <w:t>I</w:t>
            </w:r>
            <w:proofErr w:type="gramEnd"/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 EREDMÉNY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74 217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40 089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13 944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9 014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141 511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D. RENDKÍVÜLI EREDMÉNY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E. ADÓZÁS ELŐTTI EREDMÉNY 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74 217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40 089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13 944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9 014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141 511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    XII. Adófizetési kötelezettség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74 217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3 666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78 665</w:t>
            </w:r>
          </w:p>
        </w:tc>
      </w:tr>
      <w:tr w:rsidR="00027520" w:rsidRPr="00183526" w:rsidTr="00027520">
        <w:trPr>
          <w:trHeight w:val="300"/>
        </w:trPr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>F. ADÓZOTT EREDMÉNY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39 536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13 751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8 986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62 846</w:t>
            </w:r>
          </w:p>
        </w:tc>
      </w:tr>
      <w:tr w:rsidR="00027520" w:rsidRPr="006F3BB6" w:rsidTr="00027520">
        <w:trPr>
          <w:trHeight w:val="300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Pr="00183526" w:rsidRDefault="00027520" w:rsidP="006535C2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183526">
              <w:rPr>
                <w:rFonts w:cs="Arial"/>
                <w:color w:val="000000"/>
                <w:sz w:val="16"/>
                <w:szCs w:val="16"/>
              </w:rPr>
              <w:t xml:space="preserve">G. MÉRLEG SZERINTI EREDMÉNY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39 536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13 751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520" w:rsidRDefault="00027520" w:rsidP="0002752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62 846</w:t>
            </w:r>
          </w:p>
        </w:tc>
      </w:tr>
    </w:tbl>
    <w:p w:rsidR="002B199D" w:rsidRPr="000C4962" w:rsidRDefault="002B199D" w:rsidP="002B199D">
      <w:pPr>
        <w:rPr>
          <w:sz w:val="16"/>
          <w:szCs w:val="16"/>
        </w:rPr>
      </w:pPr>
      <w:r w:rsidRPr="000C4962">
        <w:rPr>
          <w:sz w:val="16"/>
          <w:szCs w:val="16"/>
        </w:rPr>
        <w:t xml:space="preserve">* Közlekedés = Közlekedésszervezői feladatellátás / Közút = Közútkezelői feladatellátás / Teherforgalom = Teherforgalmi és parkolási rendszerek működtetése / Taxi = Taxiállomás-üzemeltetés, </w:t>
      </w:r>
      <w:proofErr w:type="spellStart"/>
      <w:r w:rsidRPr="000C4962">
        <w:rPr>
          <w:sz w:val="16"/>
          <w:szCs w:val="16"/>
        </w:rPr>
        <w:t>taxiellenőrzés</w:t>
      </w:r>
      <w:proofErr w:type="spellEnd"/>
      <w:r w:rsidRPr="000C4962">
        <w:rPr>
          <w:sz w:val="16"/>
          <w:szCs w:val="16"/>
        </w:rPr>
        <w:t xml:space="preserve"> / Projekt =Projektmenedzsment feladatok / Piaci = Közterületi parkolás</w:t>
      </w:r>
    </w:p>
    <w:p w:rsidR="002B199D" w:rsidRDefault="002B199D" w:rsidP="002B199D"/>
    <w:p w:rsidR="002B199D" w:rsidRPr="00565BC7" w:rsidRDefault="009E42E7" w:rsidP="002B199D">
      <w:pPr>
        <w:rPr>
          <w:i/>
        </w:rPr>
      </w:pPr>
      <w:r w:rsidRPr="00565BC7">
        <w:rPr>
          <w:i/>
        </w:rPr>
        <w:t>Megjegyzés:</w:t>
      </w:r>
    </w:p>
    <w:p w:rsidR="00565BC7" w:rsidRPr="00565BC7" w:rsidRDefault="009E42E7" w:rsidP="002B199D">
      <w:pPr>
        <w:rPr>
          <w:i/>
        </w:rPr>
      </w:pPr>
      <w:r w:rsidRPr="00565BC7">
        <w:rPr>
          <w:i/>
        </w:rPr>
        <w:t xml:space="preserve">A fenti üzletágas eredménykimutatás összesen </w:t>
      </w:r>
      <w:r w:rsidR="00790A4A" w:rsidRPr="00565BC7">
        <w:rPr>
          <w:i/>
        </w:rPr>
        <w:t>oszlopa</w:t>
      </w:r>
      <w:r w:rsidRPr="00565BC7">
        <w:rPr>
          <w:i/>
        </w:rPr>
        <w:t xml:space="preserve"> 3 soron nem egyezik a Társaság </w:t>
      </w:r>
      <w:proofErr w:type="spellStart"/>
      <w:r w:rsidRPr="00565BC7">
        <w:rPr>
          <w:i/>
        </w:rPr>
        <w:t>eredménykimutatásával</w:t>
      </w:r>
      <w:proofErr w:type="spellEnd"/>
      <w:r w:rsidR="007C1AAD">
        <w:rPr>
          <w:i/>
        </w:rPr>
        <w:t xml:space="preserve"> az előző oldalon</w:t>
      </w:r>
      <w:r w:rsidRPr="00565BC7">
        <w:rPr>
          <w:i/>
        </w:rPr>
        <w:t>, mivel az üzletágas eredménykimutatás nem tartalmazza a projektek tervezett bevételeit illetőleg ráfordításait. Ezek az eltérések nem befolyásolják az eredményt</w:t>
      </w:r>
      <w:r w:rsidR="00565BC7" w:rsidRPr="00565BC7">
        <w:rPr>
          <w:i/>
        </w:rPr>
        <w:t>.</w:t>
      </w:r>
    </w:p>
    <w:p w:rsidR="009E42E7" w:rsidRDefault="009E42E7" w:rsidP="002B199D"/>
    <w:tbl>
      <w:tblPr>
        <w:tblW w:w="7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0"/>
        <w:gridCol w:w="1360"/>
        <w:gridCol w:w="1360"/>
        <w:gridCol w:w="1360"/>
      </w:tblGrid>
      <w:tr w:rsidR="0023657C" w:rsidRPr="00565BC7" w:rsidTr="0023657C">
        <w:trPr>
          <w:trHeight w:val="300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C127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i/>
                <w:sz w:val="18"/>
                <w:szCs w:val="18"/>
              </w:rPr>
            </w:pPr>
            <w:r w:rsidRPr="00565BC7">
              <w:rPr>
                <w:rFonts w:cs="Arial"/>
                <w:i/>
                <w:sz w:val="18"/>
                <w:szCs w:val="18"/>
              </w:rPr>
              <w:t>Eltérések soronként</w:t>
            </w:r>
            <w:r w:rsidR="00C12729">
              <w:rPr>
                <w:rFonts w:cs="Arial"/>
                <w:i/>
                <w:sz w:val="18"/>
                <w:szCs w:val="18"/>
              </w:rPr>
              <w:t xml:space="preserve"> </w:t>
            </w:r>
            <w:r w:rsidR="00C12729" w:rsidRPr="00C12729">
              <w:rPr>
                <w:rFonts w:cs="Arial"/>
                <w:i/>
                <w:sz w:val="16"/>
                <w:szCs w:val="16"/>
              </w:rPr>
              <w:t>(ezer Ft)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eredmény-kimutatás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üzletágas eredmény-kimutatás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eltérés</w:t>
            </w:r>
          </w:p>
        </w:tc>
      </w:tr>
      <w:tr w:rsidR="0023657C" w:rsidRPr="00565BC7" w:rsidTr="0023657C">
        <w:trPr>
          <w:trHeight w:val="300"/>
        </w:trPr>
        <w:tc>
          <w:tcPr>
            <w:tcW w:w="3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i/>
                <w:sz w:val="18"/>
                <w:szCs w:val="18"/>
              </w:rPr>
            </w:pPr>
            <w:r w:rsidRPr="00565BC7">
              <w:rPr>
                <w:rFonts w:cs="Arial"/>
                <w:i/>
                <w:sz w:val="18"/>
                <w:szCs w:val="18"/>
              </w:rPr>
              <w:t>Árbevétel</w:t>
            </w:r>
            <w:r>
              <w:rPr>
                <w:rFonts w:cs="Arial"/>
                <w:i/>
                <w:sz w:val="18"/>
                <w:szCs w:val="18"/>
              </w:rPr>
              <w:t xml:space="preserve"> (MM)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112 348 305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81 064 849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 w:rsidRPr="00565BC7">
              <w:rPr>
                <w:rFonts w:cs="Arial"/>
                <w:i/>
                <w:color w:val="000000"/>
                <w:sz w:val="18"/>
                <w:szCs w:val="18"/>
              </w:rPr>
              <w:t>31 283 456</w:t>
            </w:r>
          </w:p>
        </w:tc>
      </w:tr>
      <w:tr w:rsidR="0023657C" w:rsidRPr="00565BC7" w:rsidTr="0023657C">
        <w:trPr>
          <w:trHeight w:val="300"/>
        </w:trPr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i/>
                <w:sz w:val="18"/>
                <w:szCs w:val="18"/>
              </w:rPr>
            </w:pPr>
            <w:r w:rsidRPr="00565BC7">
              <w:rPr>
                <w:rFonts w:cs="Arial"/>
                <w:i/>
                <w:sz w:val="18"/>
                <w:szCs w:val="18"/>
              </w:rPr>
              <w:t>Egyéb bevétel</w:t>
            </w:r>
            <w:r>
              <w:rPr>
                <w:rFonts w:cs="Arial"/>
                <w:i/>
                <w:sz w:val="18"/>
                <w:szCs w:val="18"/>
              </w:rPr>
              <w:t xml:space="preserve"> (FM, TSZ)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161 594 676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96 961 618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 w:rsidRPr="00565BC7">
              <w:rPr>
                <w:rFonts w:cs="Arial"/>
                <w:i/>
                <w:color w:val="000000"/>
                <w:sz w:val="18"/>
                <w:szCs w:val="18"/>
              </w:rPr>
              <w:t>64 633 058</w:t>
            </w:r>
          </w:p>
        </w:tc>
      </w:tr>
      <w:tr w:rsidR="0023657C" w:rsidRPr="00565BC7" w:rsidTr="0023657C">
        <w:trPr>
          <w:trHeight w:val="300"/>
        </w:trPr>
        <w:tc>
          <w:tcPr>
            <w:tcW w:w="3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i/>
                <w:sz w:val="18"/>
                <w:szCs w:val="18"/>
              </w:rPr>
            </w:pPr>
            <w:r w:rsidRPr="00565BC7">
              <w:rPr>
                <w:rFonts w:cs="Arial"/>
                <w:i/>
                <w:sz w:val="18"/>
                <w:szCs w:val="18"/>
              </w:rPr>
              <w:t>Anyagjellegű ráfordítások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258 277 225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162 360 709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0275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 w:rsidRPr="00565BC7">
              <w:rPr>
                <w:rFonts w:cs="Arial"/>
                <w:i/>
                <w:color w:val="000000"/>
                <w:sz w:val="18"/>
                <w:szCs w:val="18"/>
              </w:rPr>
              <w:t>95 916 514</w:t>
            </w:r>
          </w:p>
        </w:tc>
      </w:tr>
      <w:tr w:rsidR="0023657C" w:rsidRPr="00565BC7" w:rsidTr="0023657C">
        <w:trPr>
          <w:trHeight w:val="300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i/>
                <w:sz w:val="18"/>
                <w:szCs w:val="18"/>
              </w:rPr>
            </w:pPr>
            <w:r w:rsidRPr="00565BC7">
              <w:rPr>
                <w:rFonts w:cs="Arial"/>
                <w:i/>
                <w:sz w:val="18"/>
                <w:szCs w:val="18"/>
              </w:rPr>
              <w:t>Eredményhatás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7C" w:rsidRPr="00565BC7" w:rsidRDefault="0023657C" w:rsidP="001577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657C" w:rsidRPr="00565BC7" w:rsidRDefault="0023657C" w:rsidP="009E42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/>
                <w:color w:val="000000"/>
                <w:sz w:val="18"/>
                <w:szCs w:val="18"/>
              </w:rPr>
            </w:pPr>
            <w:r w:rsidRPr="00565BC7">
              <w:rPr>
                <w:rFonts w:cs="Arial"/>
                <w:i/>
                <w:color w:val="000000"/>
                <w:sz w:val="18"/>
                <w:szCs w:val="18"/>
              </w:rPr>
              <w:t>0</w:t>
            </w:r>
          </w:p>
        </w:tc>
      </w:tr>
    </w:tbl>
    <w:p w:rsidR="009E42E7" w:rsidRDefault="009E42E7" w:rsidP="002B199D"/>
    <w:p w:rsidR="00C468EA" w:rsidRDefault="00C468EA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BB5ECC" w:rsidRPr="0068002D" w:rsidRDefault="00BB5ECC" w:rsidP="00BB5ECC">
      <w:pPr>
        <w:rPr>
          <w:rFonts w:cs="Arial"/>
          <w:b/>
          <w:bCs/>
          <w:sz w:val="24"/>
          <w:szCs w:val="24"/>
        </w:rPr>
      </w:pPr>
      <w:r w:rsidRPr="0068002D">
        <w:rPr>
          <w:rFonts w:cs="Arial"/>
          <w:b/>
          <w:bCs/>
          <w:sz w:val="24"/>
          <w:szCs w:val="24"/>
        </w:rPr>
        <w:lastRenderedPageBreak/>
        <w:t>Bevételek</w:t>
      </w:r>
    </w:p>
    <w:p w:rsidR="00BB5ECC" w:rsidRDefault="00BB5ECC" w:rsidP="00BB5ECC">
      <w:pPr>
        <w:rPr>
          <w:rFonts w:cs="Arial"/>
          <w:bCs/>
          <w:szCs w:val="22"/>
        </w:rPr>
      </w:pPr>
    </w:p>
    <w:p w:rsidR="0018400F" w:rsidRDefault="0018400F" w:rsidP="00BB5ECC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Bevételek tevékenységi területenként:</w:t>
      </w:r>
    </w:p>
    <w:p w:rsidR="0018400F" w:rsidRDefault="0018400F" w:rsidP="00BB5ECC">
      <w:pPr>
        <w:rPr>
          <w:rFonts w:cs="Arial"/>
          <w:bCs/>
          <w:szCs w:val="22"/>
        </w:rPr>
      </w:pPr>
    </w:p>
    <w:p w:rsidR="006B600E" w:rsidRDefault="006B600E" w:rsidP="006B600E">
      <w:r w:rsidRPr="00F66161">
        <w:t>A forrásigény feladatonkénti értékét az alábbi táblázat mutatja</w:t>
      </w:r>
      <w:r>
        <w:t>:</w:t>
      </w:r>
    </w:p>
    <w:p w:rsidR="006B600E" w:rsidRDefault="006B600E" w:rsidP="006B600E">
      <w:pPr>
        <w:contextualSpacing/>
        <w:rPr>
          <w:rFonts w:cs="Arial"/>
        </w:rPr>
      </w:pPr>
    </w:p>
    <w:tbl>
      <w:tblPr>
        <w:tblW w:w="82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860"/>
        <w:gridCol w:w="1160"/>
        <w:gridCol w:w="1040"/>
        <w:gridCol w:w="1317"/>
        <w:gridCol w:w="903"/>
      </w:tblGrid>
      <w:tr w:rsidR="006B600E" w:rsidRPr="00D61537" w:rsidTr="006535C2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600E" w:rsidRPr="00D61537" w:rsidRDefault="006B600E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Megnevezés / Üzletág*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00E" w:rsidRPr="00A25D60" w:rsidRDefault="006B600E" w:rsidP="006B600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D60">
              <w:rPr>
                <w:rFonts w:cs="Arial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00E" w:rsidRPr="00D61537" w:rsidRDefault="006B600E" w:rsidP="006B600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00E" w:rsidRPr="00D61537" w:rsidRDefault="006B600E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Változás</w:t>
            </w:r>
          </w:p>
        </w:tc>
      </w:tr>
      <w:tr w:rsidR="006B600E" w:rsidRPr="00D61537" w:rsidTr="006535C2">
        <w:trPr>
          <w:trHeight w:val="31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600E" w:rsidRPr="00D61537" w:rsidRDefault="006B600E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00E" w:rsidRPr="00A25D60" w:rsidRDefault="00A83757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tény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00E" w:rsidRPr="00D61537" w:rsidRDefault="006B600E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terv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00E" w:rsidRPr="00D61537" w:rsidRDefault="006B600E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00E" w:rsidRPr="00D61537" w:rsidRDefault="006B600E" w:rsidP="006535C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E21FF" w:rsidRPr="00D61537" w:rsidTr="000E21FF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Közlekedésszervezői feladatok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(nettó)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89 971 928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85 405 836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-4 566 092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94,92%</w:t>
            </w:r>
          </w:p>
        </w:tc>
      </w:tr>
      <w:tr w:rsidR="000E21FF" w:rsidRPr="00D61537" w:rsidTr="000E21FF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Közútkezelői feladatok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(nettó)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7 307 084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8 193 993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886 909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112,14%</w:t>
            </w:r>
          </w:p>
        </w:tc>
      </w:tr>
      <w:tr w:rsidR="000E21FF" w:rsidRPr="00D61537" w:rsidTr="000E21FF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Teherforgalmi és parkolási rendszerek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848 825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1 543 096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694 271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181,79%</w:t>
            </w:r>
          </w:p>
        </w:tc>
      </w:tr>
      <w:tr w:rsidR="000E21FF" w:rsidRPr="00D61537" w:rsidTr="000E21FF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D61537">
              <w:rPr>
                <w:rFonts w:cs="Arial"/>
                <w:color w:val="000000"/>
                <w:sz w:val="16"/>
                <w:szCs w:val="16"/>
              </w:rPr>
              <w:t>Taxiállomás- üzemeltetés</w:t>
            </w:r>
            <w:proofErr w:type="gramEnd"/>
            <w:r w:rsidRPr="00D61537">
              <w:rPr>
                <w:rFonts w:cs="Arial"/>
                <w:color w:val="000000"/>
                <w:sz w:val="16"/>
                <w:szCs w:val="16"/>
              </w:rPr>
              <w:t xml:space="preserve"> és ellenőrzés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148 563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336 654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188 091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226,61%</w:t>
            </w:r>
          </w:p>
        </w:tc>
      </w:tr>
      <w:tr w:rsidR="000E21FF" w:rsidRPr="00D61537" w:rsidTr="000E21FF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Projektmenedzsment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23 611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12 043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204,10%</w:t>
            </w:r>
          </w:p>
        </w:tc>
      </w:tr>
      <w:tr w:rsidR="000E21FF" w:rsidRPr="00D61537" w:rsidTr="000E21FF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BKK összes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BRUTTÓ</w:t>
            </w: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forrásigény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98 287 969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95 503 190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-2 784 779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97,17%</w:t>
            </w:r>
          </w:p>
        </w:tc>
      </w:tr>
      <w:tr w:rsidR="000E21FF" w:rsidRPr="00D61537" w:rsidTr="000E21FF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i/>
                <w:iCs/>
                <w:color w:val="000000"/>
                <w:sz w:val="16"/>
                <w:szCs w:val="16"/>
              </w:rPr>
              <w:t>ebből árbevétel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1 008 957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1 903 361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894 404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188,65%</w:t>
            </w:r>
          </w:p>
        </w:tc>
      </w:tr>
      <w:tr w:rsidR="000E21FF" w:rsidRPr="00D61537" w:rsidTr="000E21FF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1FF" w:rsidRPr="00D61537" w:rsidRDefault="000E21FF" w:rsidP="004076C6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i/>
                <w:iCs/>
                <w:color w:val="000000"/>
                <w:sz w:val="16"/>
                <w:szCs w:val="16"/>
              </w:rPr>
              <w:t>ebből egyéb bevétel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97 279 012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93 599 829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-3 679 183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1FF" w:rsidRDefault="000E21FF" w:rsidP="000E21FF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96,22%</w:t>
            </w:r>
          </w:p>
        </w:tc>
      </w:tr>
    </w:tbl>
    <w:p w:rsidR="006B600E" w:rsidRDefault="006B600E" w:rsidP="006B600E">
      <w:pPr>
        <w:contextualSpacing/>
        <w:rPr>
          <w:rFonts w:cs="Arial"/>
        </w:rPr>
      </w:pPr>
    </w:p>
    <w:p w:rsidR="00CA27C2" w:rsidRDefault="009D542C" w:rsidP="00CA27C2">
      <w:pPr>
        <w:spacing w:after="120"/>
        <w:contextualSpacing/>
        <w:rPr>
          <w:rFonts w:cs="Arial"/>
        </w:rPr>
      </w:pPr>
      <w:r>
        <w:rPr>
          <w:rFonts w:cs="Arial"/>
        </w:rPr>
        <w:t>A 2015. évi f</w:t>
      </w:r>
      <w:r w:rsidR="00B05AB8">
        <w:rPr>
          <w:rFonts w:cs="Arial"/>
        </w:rPr>
        <w:t>orrásigény összehasonlítása a 2014. évi tervhez:</w:t>
      </w:r>
    </w:p>
    <w:p w:rsidR="006B600E" w:rsidRDefault="006B600E" w:rsidP="00CA27C2">
      <w:pPr>
        <w:spacing w:after="120"/>
        <w:contextualSpacing/>
        <w:rPr>
          <w:rFonts w:cs="Arial"/>
        </w:rPr>
      </w:pPr>
    </w:p>
    <w:tbl>
      <w:tblPr>
        <w:tblW w:w="82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860"/>
        <w:gridCol w:w="1160"/>
        <w:gridCol w:w="1040"/>
        <w:gridCol w:w="1317"/>
        <w:gridCol w:w="903"/>
      </w:tblGrid>
      <w:tr w:rsidR="007809DE" w:rsidRPr="00D61537" w:rsidTr="00F232F6">
        <w:trPr>
          <w:trHeight w:val="315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Megnevezés / Üzletág*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Pr="00A25D60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5D60">
              <w:rPr>
                <w:rFonts w:cs="Arial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Változás</w:t>
            </w:r>
          </w:p>
        </w:tc>
      </w:tr>
      <w:tr w:rsidR="007809DE" w:rsidRPr="00D61537" w:rsidTr="00F232F6">
        <w:trPr>
          <w:trHeight w:val="315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Pr="00A25D60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terv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terv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809DE" w:rsidRPr="00D61537" w:rsidTr="007809DE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Közlekedésszervezői feladatok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(nettó)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82 040 652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85 405 836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3 365 184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104,10%</w:t>
            </w:r>
          </w:p>
        </w:tc>
      </w:tr>
      <w:tr w:rsidR="007809DE" w:rsidRPr="00D61537" w:rsidTr="007809DE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Közútkezelői feladatok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(nettó)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7 397 568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8 193 993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796 425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110,77%</w:t>
            </w:r>
          </w:p>
        </w:tc>
      </w:tr>
      <w:tr w:rsidR="007809DE" w:rsidRPr="00D61537" w:rsidTr="007809DE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Teherforgalmi és parkolási rendszerek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1 383 842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1 543 096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159 254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111,51%</w:t>
            </w:r>
          </w:p>
        </w:tc>
      </w:tr>
      <w:tr w:rsidR="007809DE" w:rsidRPr="00D61537" w:rsidTr="007809DE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D61537">
              <w:rPr>
                <w:rFonts w:cs="Arial"/>
                <w:color w:val="000000"/>
                <w:sz w:val="16"/>
                <w:szCs w:val="16"/>
              </w:rPr>
              <w:t>Taxiállomás- üzemeltetés</w:t>
            </w:r>
            <w:proofErr w:type="gramEnd"/>
            <w:r w:rsidRPr="00D61537">
              <w:rPr>
                <w:rFonts w:cs="Arial"/>
                <w:color w:val="000000"/>
                <w:sz w:val="16"/>
                <w:szCs w:val="16"/>
              </w:rPr>
              <w:t xml:space="preserve"> és ellenőrzés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257 345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336 654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79 309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130,82%</w:t>
            </w:r>
          </w:p>
        </w:tc>
      </w:tr>
      <w:tr w:rsidR="007809DE" w:rsidRPr="00D61537" w:rsidTr="007809D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color w:val="000000"/>
                <w:sz w:val="16"/>
                <w:szCs w:val="16"/>
              </w:rPr>
              <w:t>Projektmenedzsment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25 678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23 611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-2 067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91,95%</w:t>
            </w:r>
          </w:p>
        </w:tc>
      </w:tr>
      <w:tr w:rsidR="007809DE" w:rsidRPr="00D61537" w:rsidTr="007809D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BKK összes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BRUTTÓ</w:t>
            </w:r>
            <w:r w:rsidRPr="00D61537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forrásigény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91 105 085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95 503 190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4 398 105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104,83%</w:t>
            </w:r>
          </w:p>
        </w:tc>
      </w:tr>
      <w:tr w:rsidR="007809DE" w:rsidRPr="00D61537" w:rsidTr="007809DE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i/>
                <w:iCs/>
                <w:color w:val="000000"/>
                <w:sz w:val="16"/>
                <w:szCs w:val="16"/>
              </w:rPr>
              <w:t>ebből árbevétel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1 666 865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1 903 361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236 496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114,19%</w:t>
            </w:r>
          </w:p>
        </w:tc>
      </w:tr>
      <w:tr w:rsidR="007809DE" w:rsidRPr="00D61537" w:rsidTr="007809DE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9DE" w:rsidRPr="00D61537" w:rsidRDefault="007809DE" w:rsidP="00F232F6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61537">
              <w:rPr>
                <w:rFonts w:cs="Arial"/>
                <w:i/>
                <w:iCs/>
                <w:color w:val="000000"/>
                <w:sz w:val="16"/>
                <w:szCs w:val="16"/>
              </w:rPr>
              <w:t>ebből egyéb bevétel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89 438 220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93 599 829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4 161 609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9DE" w:rsidRDefault="007809DE" w:rsidP="007809D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104,65%</w:t>
            </w:r>
          </w:p>
        </w:tc>
      </w:tr>
    </w:tbl>
    <w:p w:rsidR="007809DE" w:rsidRDefault="007809DE" w:rsidP="00CA27C2">
      <w:pPr>
        <w:spacing w:after="120"/>
        <w:contextualSpacing/>
        <w:rPr>
          <w:rFonts w:cs="Arial"/>
        </w:rPr>
      </w:pPr>
    </w:p>
    <w:p w:rsidR="007809DE" w:rsidRDefault="00F232F6" w:rsidP="00CA27C2">
      <w:pPr>
        <w:spacing w:after="120"/>
        <w:contextualSpacing/>
        <w:rPr>
          <w:rFonts w:cs="Arial"/>
        </w:rPr>
      </w:pPr>
      <w:r>
        <w:rPr>
          <w:rFonts w:cs="Arial"/>
        </w:rPr>
        <w:t>A 2015. évi forrásigény meghatározása során figyelembevételre kerültek a 2014. évhez képest lényegi változások a feladatellátásban:</w:t>
      </w:r>
    </w:p>
    <w:p w:rsidR="00F232F6" w:rsidRPr="00791BD0" w:rsidRDefault="00F232F6" w:rsidP="00F232F6">
      <w:pPr>
        <w:pStyle w:val="Listaszerbekezds"/>
        <w:numPr>
          <w:ilvl w:val="0"/>
          <w:numId w:val="27"/>
        </w:numPr>
      </w:pPr>
      <w:r>
        <w:t>a</w:t>
      </w:r>
      <w:r w:rsidRPr="00791BD0">
        <w:t>z M4 metró teljes éves üzemeltetése,</w:t>
      </w:r>
    </w:p>
    <w:p w:rsidR="00F232F6" w:rsidRPr="00471E1D" w:rsidRDefault="00F232F6" w:rsidP="00F232F6">
      <w:pPr>
        <w:pStyle w:val="Listaszerbekezds"/>
        <w:numPr>
          <w:ilvl w:val="0"/>
          <w:numId w:val="27"/>
        </w:numPr>
      </w:pPr>
      <w:r w:rsidRPr="00471E1D">
        <w:t>az autóbusz-üzemeltetési modell folytatása,</w:t>
      </w:r>
    </w:p>
    <w:p w:rsidR="00F232F6" w:rsidRDefault="00F232F6" w:rsidP="00F232F6">
      <w:pPr>
        <w:pStyle w:val="Listaszerbekezds"/>
        <w:numPr>
          <w:ilvl w:val="0"/>
          <w:numId w:val="27"/>
        </w:numPr>
      </w:pPr>
      <w:r w:rsidRPr="00471E1D">
        <w:t>a FUTÁR rendszer teljes éves éles üzem</w:t>
      </w:r>
      <w:r>
        <w:t>eltetése</w:t>
      </w:r>
      <w:r w:rsidRPr="00471E1D">
        <w:t xml:space="preserve">, </w:t>
      </w:r>
    </w:p>
    <w:p w:rsidR="00F232F6" w:rsidRPr="00471E1D" w:rsidRDefault="00F232F6" w:rsidP="00F232F6">
      <w:pPr>
        <w:pStyle w:val="Listaszerbekezds"/>
        <w:numPr>
          <w:ilvl w:val="0"/>
          <w:numId w:val="27"/>
        </w:numPr>
      </w:pPr>
      <w:r>
        <w:t xml:space="preserve">jegy- és bérletautomata hálózat további bővítése, </w:t>
      </w:r>
    </w:p>
    <w:p w:rsidR="00F232F6" w:rsidRPr="00471E1D" w:rsidRDefault="00F232F6" w:rsidP="00F232F6">
      <w:pPr>
        <w:pStyle w:val="Listaszerbekezds"/>
        <w:numPr>
          <w:ilvl w:val="0"/>
          <w:numId w:val="27"/>
        </w:numPr>
      </w:pPr>
      <w:r w:rsidRPr="00471E1D">
        <w:t>az elektronikus jegyrendszer lépcsőzetes, több ütemben történő megvalósítása,</w:t>
      </w:r>
    </w:p>
    <w:p w:rsidR="00F232F6" w:rsidRPr="00471E1D" w:rsidRDefault="00F232F6" w:rsidP="00F232F6">
      <w:pPr>
        <w:pStyle w:val="Listaszerbekezds"/>
        <w:numPr>
          <w:ilvl w:val="0"/>
          <w:numId w:val="27"/>
        </w:numPr>
      </w:pPr>
      <w:r w:rsidRPr="00471E1D">
        <w:t>a MOL Bubi rendszer teljes éves üzemeltetésének</w:t>
      </w:r>
      <w:r>
        <w:t xml:space="preserve"> és tervezett bővítésének</w:t>
      </w:r>
      <w:r w:rsidRPr="00471E1D">
        <w:t xml:space="preserve"> hatása, </w:t>
      </w:r>
    </w:p>
    <w:p w:rsidR="00F232F6" w:rsidRDefault="00F232F6" w:rsidP="00F232F6">
      <w:pPr>
        <w:pStyle w:val="Listaszerbekezds"/>
        <w:numPr>
          <w:ilvl w:val="0"/>
          <w:numId w:val="27"/>
        </w:numPr>
      </w:pPr>
      <w:r w:rsidRPr="00471E1D">
        <w:t>az értékesítési hálózat korszerűsítése kapcsán az ügyfélközpontok kialakításának</w:t>
      </w:r>
      <w:r w:rsidRPr="00B12A53">
        <w:t xml:space="preserve"> folytatása</w:t>
      </w:r>
      <w:r>
        <w:t>,</w:t>
      </w:r>
    </w:p>
    <w:p w:rsidR="00F232F6" w:rsidRDefault="00F232F6" w:rsidP="00F232F6">
      <w:pPr>
        <w:pStyle w:val="Listaszerbekezds"/>
        <w:numPr>
          <w:ilvl w:val="0"/>
          <w:numId w:val="27"/>
        </w:numPr>
      </w:pPr>
      <w:r w:rsidRPr="00F232F6">
        <w:rPr>
          <w:rFonts w:eastAsia="Calibri"/>
        </w:rPr>
        <w:t>a fizetési felszólításokat követően is rendezetlen pótdíjak esetében a fizetési meghagyások előkészítése, illetve kezdeményezése</w:t>
      </w:r>
      <w:r w:rsidR="00D07CA5">
        <w:t xml:space="preserve"> valamint,</w:t>
      </w:r>
    </w:p>
    <w:p w:rsidR="00D07CA5" w:rsidRPr="00F24AB8" w:rsidRDefault="00D07CA5" w:rsidP="00F232F6">
      <w:pPr>
        <w:pStyle w:val="Listaszerbekezds"/>
        <w:numPr>
          <w:ilvl w:val="0"/>
          <w:numId w:val="27"/>
        </w:numPr>
      </w:pPr>
      <w:r>
        <w:t>7 további P+R parkoló üzemeltetésének átvétele.</w:t>
      </w:r>
    </w:p>
    <w:p w:rsidR="00F232F6" w:rsidRPr="004750AD" w:rsidRDefault="00F232F6" w:rsidP="00CA27C2">
      <w:pPr>
        <w:spacing w:after="120"/>
        <w:contextualSpacing/>
        <w:rPr>
          <w:rFonts w:cs="Arial"/>
        </w:rPr>
      </w:pPr>
    </w:p>
    <w:p w:rsidR="000A37E9" w:rsidRDefault="000A37E9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CA27C2" w:rsidRDefault="00CA27C2" w:rsidP="00706CCA">
      <w:r>
        <w:lastRenderedPageBreak/>
        <w:t>Üzemi (üzleti) hozamok</w:t>
      </w:r>
      <w:r w:rsidRPr="002F0DB9">
        <w:t xml:space="preserve"> részletezése</w:t>
      </w:r>
    </w:p>
    <w:p w:rsidR="00CA27C2" w:rsidRDefault="00CA27C2" w:rsidP="004076C6"/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99"/>
        <w:gridCol w:w="1322"/>
        <w:gridCol w:w="1400"/>
        <w:gridCol w:w="1141"/>
        <w:gridCol w:w="751"/>
        <w:gridCol w:w="751"/>
      </w:tblGrid>
      <w:tr w:rsidR="004076C6" w:rsidRPr="00E14106" w:rsidTr="004118D4">
        <w:trPr>
          <w:trHeight w:hRule="exact" w:val="255"/>
          <w:jc w:val="center"/>
        </w:trPr>
        <w:tc>
          <w:tcPr>
            <w:tcW w:w="41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C6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BKK üzemi (üzleti) hozamok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76C6" w:rsidRDefault="004076C6" w:rsidP="004076C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C6" w:rsidRDefault="004076C6" w:rsidP="004076C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076C6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változás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6C6" w:rsidRPr="001B63B4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Megoszlás</w:t>
            </w:r>
          </w:p>
        </w:tc>
      </w:tr>
      <w:tr w:rsidR="004076C6" w:rsidRPr="00E14106" w:rsidTr="004118D4">
        <w:trPr>
          <w:trHeight w:hRule="exact" w:val="255"/>
          <w:jc w:val="center"/>
        </w:trPr>
        <w:tc>
          <w:tcPr>
            <w:tcW w:w="41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C6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6C6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C6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76C6" w:rsidRDefault="004076C6" w:rsidP="00372B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6C6" w:rsidRPr="001B63B4" w:rsidRDefault="004076C6" w:rsidP="004076C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63B4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6C6" w:rsidRPr="001B63B4" w:rsidRDefault="004076C6" w:rsidP="004076C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63B4">
              <w:rPr>
                <w:rFonts w:cs="Arial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>Jegy- és bérletértékesítés bevétele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59 093 751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59 787 000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693 249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32,4%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21,8%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>Szociálpolitikai menetdíj támogatás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16 894 433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16 846 295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-48 138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6,1%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B3E37">
              <w:rPr>
                <w:rFonts w:cs="Arial"/>
                <w:color w:val="000000"/>
                <w:sz w:val="18"/>
                <w:szCs w:val="18"/>
              </w:rPr>
              <w:t>Keretmegállapodás</w:t>
            </w:r>
            <w:proofErr w:type="spellEnd"/>
            <w:r w:rsidRPr="00FB3E37">
              <w:rPr>
                <w:rFonts w:cs="Arial"/>
                <w:color w:val="000000"/>
                <w:sz w:val="18"/>
                <w:szCs w:val="18"/>
              </w:rPr>
              <w:t xml:space="preserve"> szerinti árbevétel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794 456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1 498 709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704 253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0,5%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500" w:firstLine="90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i/>
                <w:iCs/>
                <w:color w:val="000000"/>
                <w:sz w:val="18"/>
                <w:szCs w:val="18"/>
              </w:rPr>
              <w:t>ebből: parkolási és behajtási feladat</w:t>
            </w:r>
          </w:p>
        </w:tc>
        <w:tc>
          <w:tcPr>
            <w:tcW w:w="1322" w:type="dxa"/>
            <w:tcBorders>
              <w:bottom w:val="nil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i/>
                <w:iCs/>
                <w:color w:val="000000"/>
                <w:sz w:val="18"/>
                <w:szCs w:val="18"/>
              </w:rPr>
              <w:t>668 367</w:t>
            </w:r>
          </w:p>
        </w:tc>
        <w:tc>
          <w:tcPr>
            <w:tcW w:w="14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i/>
                <w:iCs/>
                <w:color w:val="000000"/>
                <w:sz w:val="18"/>
                <w:szCs w:val="18"/>
              </w:rPr>
              <w:t>1 215 036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546 669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751" w:type="dxa"/>
            <w:tcBorders>
              <w:left w:val="single" w:sz="4" w:space="0" w:color="auto"/>
              <w:bottom w:val="nil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0,4%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500" w:firstLine="90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i/>
                <w:iCs/>
                <w:color w:val="000000"/>
                <w:sz w:val="18"/>
                <w:szCs w:val="18"/>
              </w:rPr>
              <w:t>projektmenedzsment feladat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i/>
                <w:iCs/>
                <w:color w:val="000000"/>
                <w:sz w:val="18"/>
                <w:szCs w:val="18"/>
              </w:rPr>
              <w:t>9 110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i/>
                <w:iCs/>
                <w:color w:val="000000"/>
                <w:sz w:val="18"/>
                <w:szCs w:val="18"/>
              </w:rPr>
              <w:t>18 592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9 482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500" w:firstLine="90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i/>
                <w:iCs/>
                <w:color w:val="000000"/>
                <w:sz w:val="18"/>
                <w:szCs w:val="18"/>
              </w:rPr>
              <w:t>taxi ellenőrzési feladat</w:t>
            </w:r>
          </w:p>
        </w:tc>
        <w:tc>
          <w:tcPr>
            <w:tcW w:w="1322" w:type="dxa"/>
            <w:tcBorders>
              <w:top w:val="nil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i/>
                <w:iCs/>
                <w:color w:val="000000"/>
                <w:sz w:val="18"/>
                <w:szCs w:val="18"/>
              </w:rPr>
              <w:t>116 979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i/>
                <w:iCs/>
                <w:color w:val="000000"/>
                <w:sz w:val="18"/>
                <w:szCs w:val="18"/>
              </w:rPr>
              <w:t>265 081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148 102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0,1%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>Közlekedésszervezési tevékenység bevétele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1 275 383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1 149 902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-125 481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0,4%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Megvalósítási Megállapodás alapján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8 092 863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31 283 464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23 190 601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4,4%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11,4%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BUBI árbevétel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27 142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174 780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147 638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0,1%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ind w:firstLineChars="100" w:firstLine="180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>Egyéb árbevételek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1 488 245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1 608 155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119 910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0,6%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b/>
                <w:bCs/>
                <w:color w:val="000000"/>
                <w:sz w:val="18"/>
                <w:szCs w:val="18"/>
              </w:rPr>
              <w:t>Értékesítés nettó árbevétele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b/>
                <w:bCs/>
                <w:color w:val="000000"/>
                <w:sz w:val="18"/>
                <w:szCs w:val="18"/>
              </w:rPr>
              <w:t>87 666 273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b/>
                <w:bCs/>
                <w:color w:val="000000"/>
                <w:sz w:val="18"/>
                <w:szCs w:val="18"/>
              </w:rPr>
              <w:t>112 348 305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b/>
                <w:bCs/>
                <w:color w:val="000000"/>
                <w:sz w:val="18"/>
                <w:szCs w:val="18"/>
              </w:rPr>
              <w:t>24 682 032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48,1%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41,0%</w:t>
            </w:r>
          </w:p>
        </w:tc>
      </w:tr>
      <w:tr w:rsidR="004118D4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8D4" w:rsidRPr="00FB3E37" w:rsidRDefault="004118D4" w:rsidP="00372BA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b/>
                <w:bCs/>
                <w:color w:val="000000"/>
                <w:sz w:val="18"/>
                <w:szCs w:val="18"/>
              </w:rPr>
              <w:t>Aktivált saját teljesítmények értéke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D4" w:rsidRPr="004118D4" w:rsidRDefault="004118D4" w:rsidP="004118D4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b/>
                <w:bCs/>
                <w:color w:val="000000"/>
                <w:sz w:val="18"/>
                <w:szCs w:val="18"/>
              </w:rPr>
              <w:t>-70 805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8D4" w:rsidRPr="004118D4" w:rsidRDefault="004118D4" w:rsidP="004118D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b/>
                <w:bCs/>
                <w:color w:val="000000"/>
                <w:sz w:val="18"/>
                <w:szCs w:val="18"/>
              </w:rPr>
              <w:t>70 805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8D4" w:rsidRPr="004118D4" w:rsidRDefault="004118D4" w:rsidP="004118D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118D4"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</w:tr>
      <w:tr w:rsidR="00820BA0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A0" w:rsidRPr="00FB3E37" w:rsidRDefault="00820BA0" w:rsidP="00372BA2">
            <w:pPr>
              <w:ind w:firstLineChars="100" w:firstLine="18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>Fővárosi Önkormányzattól kapott támogatások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93 715 460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93 599 829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-115 631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51,4%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34,2%</w:t>
            </w:r>
          </w:p>
        </w:tc>
      </w:tr>
      <w:tr w:rsidR="00820BA0" w:rsidRPr="00E14106" w:rsidTr="004118D4">
        <w:trPr>
          <w:trHeight w:hRule="exact" w:val="454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A0" w:rsidRPr="00FB3E37" w:rsidRDefault="00820BA0" w:rsidP="00372BA2">
            <w:pPr>
              <w:ind w:left="19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>Saját beruházásokra kapott támogatás értékcsökkenés arányos része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428 415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2 915 793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2 487 378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1,1%</w:t>
            </w:r>
          </w:p>
        </w:tc>
      </w:tr>
      <w:tr w:rsidR="00820BA0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A0" w:rsidRPr="00FB3E37" w:rsidRDefault="00820BA0" w:rsidP="00372BA2">
            <w:pPr>
              <w:ind w:firstLineChars="100" w:firstLine="180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FM  és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TSZ bevételek</w:t>
            </w:r>
            <w:r w:rsidR="000755DE">
              <w:rPr>
                <w:rFonts w:cs="Arial"/>
                <w:color w:val="000000"/>
                <w:sz w:val="18"/>
                <w:szCs w:val="18"/>
              </w:rPr>
              <w:t xml:space="preserve"> (technikai)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64 633 058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64 633 058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23,6%</w:t>
            </w:r>
          </w:p>
        </w:tc>
      </w:tr>
      <w:tr w:rsidR="00820BA0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A0" w:rsidRPr="00FB3E37" w:rsidRDefault="00820BA0" w:rsidP="00372BA2">
            <w:pPr>
              <w:ind w:firstLineChars="100" w:firstLine="18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B3E37">
              <w:rPr>
                <w:rFonts w:cs="Arial"/>
                <w:color w:val="000000"/>
                <w:sz w:val="18"/>
                <w:szCs w:val="18"/>
              </w:rPr>
              <w:t xml:space="preserve">Egyéb bevétel 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636 093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ind w:firstLineChars="100" w:firstLine="18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445 996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-190 097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0,2%</w:t>
            </w:r>
          </w:p>
        </w:tc>
      </w:tr>
      <w:tr w:rsidR="00820BA0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A0" w:rsidRDefault="00820BA0" w:rsidP="00372BA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Egyéb bevételek összesen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A0" w:rsidRPr="00820BA0" w:rsidRDefault="00820BA0" w:rsidP="00820BA0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94 779 968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ind w:firstLineChars="100" w:firstLine="181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161 594 676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66 814 708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52,0%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color w:val="000000"/>
                <w:sz w:val="18"/>
                <w:szCs w:val="18"/>
              </w:rPr>
              <w:t>59,0%</w:t>
            </w:r>
          </w:p>
        </w:tc>
      </w:tr>
      <w:tr w:rsidR="00820BA0" w:rsidRPr="00E14106" w:rsidTr="004118D4">
        <w:trPr>
          <w:trHeight w:hRule="exact" w:val="255"/>
          <w:jc w:val="center"/>
        </w:trPr>
        <w:tc>
          <w:tcPr>
            <w:tcW w:w="4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A0" w:rsidRDefault="00820BA0" w:rsidP="00372BA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Üzemi tevékenység hozamai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182 375 436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273 942 981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A0" w:rsidRPr="00820BA0" w:rsidRDefault="00820BA0" w:rsidP="00820B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91 567 545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BA0" w:rsidRPr="00820BA0" w:rsidRDefault="00820BA0" w:rsidP="00820BA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20BA0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</w:tbl>
    <w:p w:rsidR="004076C6" w:rsidRDefault="004076C6" w:rsidP="004076C6"/>
    <w:p w:rsidR="007371FE" w:rsidRPr="0068002D" w:rsidRDefault="007371FE" w:rsidP="007371FE">
      <w:pPr>
        <w:rPr>
          <w:rFonts w:cs="Arial"/>
          <w:b/>
          <w:bCs/>
          <w:sz w:val="24"/>
          <w:szCs w:val="24"/>
        </w:rPr>
      </w:pPr>
      <w:r w:rsidRPr="0068002D">
        <w:rPr>
          <w:rFonts w:cs="Arial"/>
          <w:b/>
          <w:bCs/>
          <w:sz w:val="24"/>
          <w:szCs w:val="24"/>
        </w:rPr>
        <w:t>Ráfordítások</w:t>
      </w:r>
    </w:p>
    <w:p w:rsidR="007371FE" w:rsidRDefault="007371FE" w:rsidP="007371FE">
      <w:pPr>
        <w:rPr>
          <w:rFonts w:cs="Arial"/>
          <w:bCs/>
          <w:szCs w:val="22"/>
        </w:rPr>
      </w:pPr>
    </w:p>
    <w:p w:rsidR="009F5887" w:rsidRDefault="00B70B8A" w:rsidP="00B70B8A">
      <w:pPr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>
        <w:rPr>
          <w:rFonts w:cs="Arial"/>
          <w:b/>
          <w:szCs w:val="22"/>
        </w:rPr>
        <w:t>ráfordítások</w:t>
      </w:r>
      <w:r>
        <w:rPr>
          <w:rFonts w:cs="Arial"/>
          <w:szCs w:val="22"/>
        </w:rPr>
        <w:t xml:space="preserve"> 2015. évre tervezett összege </w:t>
      </w:r>
      <w:r w:rsidR="00565BC7">
        <w:rPr>
          <w:rFonts w:cs="Arial"/>
          <w:szCs w:val="22"/>
        </w:rPr>
        <w:t>50,2</w:t>
      </w:r>
      <w:r>
        <w:rPr>
          <w:rFonts w:cs="Arial"/>
          <w:szCs w:val="22"/>
        </w:rPr>
        <w:t xml:space="preserve">%-os növekedést mutatnak hasonlóan a bevétel növekedéshez. Ezen belül a legjelentősebb tétel, az anyagjellegű ráfordítások </w:t>
      </w:r>
      <w:r w:rsidR="00565BC7">
        <w:rPr>
          <w:rFonts w:cs="Arial"/>
          <w:szCs w:val="22"/>
        </w:rPr>
        <w:t>52,4</w:t>
      </w:r>
      <w:r>
        <w:rPr>
          <w:rFonts w:cs="Arial"/>
          <w:szCs w:val="22"/>
        </w:rPr>
        <w:t>%-kal növekszenek</w:t>
      </w:r>
      <w:r w:rsidR="009F5887">
        <w:rPr>
          <w:rFonts w:cs="Arial"/>
          <w:szCs w:val="22"/>
        </w:rPr>
        <w:t>.</w:t>
      </w:r>
    </w:p>
    <w:p w:rsidR="00B70B8A" w:rsidRDefault="00B70B8A" w:rsidP="007371FE">
      <w:pPr>
        <w:rPr>
          <w:rFonts w:cs="Arial"/>
          <w:bCs/>
          <w:szCs w:val="22"/>
        </w:rPr>
      </w:pPr>
    </w:p>
    <w:p w:rsidR="00B70B8A" w:rsidRDefault="00B70B8A" w:rsidP="007371FE">
      <w:pPr>
        <w:rPr>
          <w:rFonts w:cs="Arial"/>
          <w:bCs/>
          <w:szCs w:val="22"/>
        </w:rPr>
      </w:pPr>
    </w:p>
    <w:p w:rsidR="00CA61CD" w:rsidRPr="0068002D" w:rsidRDefault="00CA61CD" w:rsidP="007371FE">
      <w:pPr>
        <w:rPr>
          <w:rFonts w:cs="Arial"/>
          <w:b/>
          <w:bCs/>
          <w:szCs w:val="22"/>
        </w:rPr>
      </w:pPr>
      <w:r w:rsidRPr="0068002D">
        <w:rPr>
          <w:rFonts w:cs="Arial"/>
          <w:b/>
          <w:bCs/>
          <w:szCs w:val="22"/>
        </w:rPr>
        <w:t>Anyagjellegű ráfordítások</w:t>
      </w:r>
    </w:p>
    <w:p w:rsidR="009F5887" w:rsidRDefault="009F5887" w:rsidP="007371FE">
      <w:pPr>
        <w:rPr>
          <w:rFonts w:cs="Arial"/>
          <w:bCs/>
          <w:szCs w:val="22"/>
        </w:rPr>
      </w:pPr>
    </w:p>
    <w:p w:rsidR="009F5887" w:rsidRPr="00375136" w:rsidRDefault="009F5887" w:rsidP="009F5887">
      <w:r w:rsidRPr="00C33186">
        <w:t xml:space="preserve">Az anyagjellegű ráfordítások értéke a bázis időszakhoz viszonyítva </w:t>
      </w:r>
      <w:r>
        <w:t>jelentősen nő:</w:t>
      </w:r>
      <w:r w:rsidRPr="00C33186">
        <w:t xml:space="preserve"> </w:t>
      </w:r>
      <w:r>
        <w:t>+</w:t>
      </w:r>
      <w:r w:rsidR="00565BC7">
        <w:t>88 781</w:t>
      </w:r>
      <w:r>
        <w:t xml:space="preserve"> </w:t>
      </w:r>
      <w:r w:rsidRPr="00C33186">
        <w:t>M Ft</w:t>
      </w:r>
      <w:r>
        <w:t xml:space="preserve"> (+</w:t>
      </w:r>
      <w:r w:rsidR="00565BC7">
        <w:t>52,4</w:t>
      </w:r>
      <w:r w:rsidRPr="00C33186">
        <w:t>%) növekedés</w:t>
      </w:r>
      <w:r>
        <w:t>. Így az</w:t>
      </w:r>
      <w:r w:rsidRPr="006952A4">
        <w:rPr>
          <w:rFonts w:cs="Arial"/>
        </w:rPr>
        <w:t xml:space="preserve"> anyagjellegű ráfordítások összege </w:t>
      </w:r>
      <w:r>
        <w:rPr>
          <w:rFonts w:cs="Arial"/>
        </w:rPr>
        <w:t>258 277</w:t>
      </w:r>
      <w:r w:rsidRPr="006952A4">
        <w:rPr>
          <w:rFonts w:cs="Arial"/>
        </w:rPr>
        <w:t xml:space="preserve"> </w:t>
      </w:r>
      <w:r>
        <w:rPr>
          <w:rFonts w:cs="Arial"/>
        </w:rPr>
        <w:t xml:space="preserve">M Ft, </w:t>
      </w:r>
      <w:r w:rsidRPr="006952A4">
        <w:rPr>
          <w:rFonts w:cs="Arial"/>
        </w:rPr>
        <w:t>az üzemi</w:t>
      </w:r>
      <w:r>
        <w:rPr>
          <w:rFonts w:cs="Arial"/>
        </w:rPr>
        <w:t xml:space="preserve"> (</w:t>
      </w:r>
      <w:r w:rsidRPr="006952A4">
        <w:rPr>
          <w:rFonts w:cs="Arial"/>
        </w:rPr>
        <w:t>üzleti</w:t>
      </w:r>
      <w:r>
        <w:rPr>
          <w:rFonts w:cs="Arial"/>
        </w:rPr>
        <w:t>)</w:t>
      </w:r>
      <w:r w:rsidRPr="006952A4">
        <w:rPr>
          <w:rFonts w:cs="Arial"/>
        </w:rPr>
        <w:t xml:space="preserve"> hozamok </w:t>
      </w:r>
      <w:r>
        <w:rPr>
          <w:rFonts w:cs="Arial"/>
        </w:rPr>
        <w:t>94,3</w:t>
      </w:r>
      <w:r w:rsidRPr="006952A4">
        <w:rPr>
          <w:rFonts w:cs="Arial"/>
        </w:rPr>
        <w:t xml:space="preserve"> %-át viszi el</w:t>
      </w:r>
      <w:r>
        <w:rPr>
          <w:rFonts w:cs="Arial"/>
        </w:rPr>
        <w:t>.</w:t>
      </w:r>
    </w:p>
    <w:p w:rsidR="00835C75" w:rsidRDefault="00835C75" w:rsidP="007371FE">
      <w:pPr>
        <w:rPr>
          <w:rFonts w:cs="Arial"/>
          <w:bCs/>
          <w:szCs w:val="22"/>
        </w:rPr>
      </w:pPr>
    </w:p>
    <w:tbl>
      <w:tblPr>
        <w:tblW w:w="95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10"/>
        <w:gridCol w:w="1205"/>
        <w:gridCol w:w="1205"/>
        <w:gridCol w:w="850"/>
        <w:gridCol w:w="851"/>
        <w:gridCol w:w="1134"/>
        <w:gridCol w:w="851"/>
      </w:tblGrid>
      <w:tr w:rsidR="00835C75" w:rsidRPr="005D7746" w:rsidTr="00372BA2">
        <w:trPr>
          <w:trHeight w:hRule="exact" w:val="300"/>
        </w:trPr>
        <w:tc>
          <w:tcPr>
            <w:tcW w:w="3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</w:rPr>
              <w:t>Megnevezés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835C7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835C7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Megoszlás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Változás</w:t>
            </w:r>
          </w:p>
        </w:tc>
      </w:tr>
      <w:tr w:rsidR="00835C75" w:rsidRPr="005D7746" w:rsidTr="00372BA2">
        <w:trPr>
          <w:trHeight w:val="300"/>
        </w:trPr>
        <w:tc>
          <w:tcPr>
            <w:tcW w:w="3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lef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835C7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835C7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ezer Ft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75" w:rsidRPr="005D7746" w:rsidRDefault="00835C75" w:rsidP="00372BA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FF5CE0" w:rsidRPr="004411DE" w:rsidTr="00FF5CE0">
        <w:trPr>
          <w:trHeight w:hRule="exact" w:val="300"/>
        </w:trPr>
        <w:tc>
          <w:tcPr>
            <w:tcW w:w="3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372B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Anyagköltség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702 100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1 180 770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478 670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168,2%</w:t>
            </w:r>
          </w:p>
        </w:tc>
      </w:tr>
      <w:tr w:rsidR="00FF5CE0" w:rsidRPr="004411DE" w:rsidTr="00FF5CE0">
        <w:trPr>
          <w:trHeight w:hRule="exact" w:val="30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372B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Igénybe vett szolgáltatások értéke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11 357 366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80 423 732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31,1%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69 066 366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708,1%</w:t>
            </w:r>
          </w:p>
        </w:tc>
      </w:tr>
      <w:tr w:rsidR="00FF5CE0" w:rsidRPr="004411DE" w:rsidTr="00FF5CE0">
        <w:trPr>
          <w:trHeight w:hRule="exact" w:val="30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372B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Egyéb szolgáltatások értéke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438 336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1 167 004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728 668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266,2%</w:t>
            </w:r>
          </w:p>
        </w:tc>
      </w:tr>
      <w:tr w:rsidR="00FF5CE0" w:rsidRPr="004411DE" w:rsidTr="00FF5CE0">
        <w:trPr>
          <w:trHeight w:hRule="exact" w:val="30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372B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Eladott áruk beszerzési értéke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34 236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33 680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98,4%</w:t>
            </w:r>
          </w:p>
        </w:tc>
      </w:tr>
      <w:tr w:rsidR="00FF5CE0" w:rsidRPr="004411DE" w:rsidTr="00FF5CE0">
        <w:trPr>
          <w:trHeight w:hRule="exact" w:val="300"/>
        </w:trPr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372B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Közvetített szolgáltatások értéke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156 963 866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175 472 039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92,6%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67,9%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18 508 173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111,8%</w:t>
            </w:r>
          </w:p>
        </w:tc>
      </w:tr>
      <w:tr w:rsidR="00FF5CE0" w:rsidRPr="005D7746" w:rsidTr="00FF5CE0">
        <w:trPr>
          <w:trHeight w:hRule="exact" w:val="300"/>
        </w:trPr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372BA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Anyagjellegű ráfordítások összesen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169 495 904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258 277 225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88 781 321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152,4%</w:t>
            </w:r>
          </w:p>
        </w:tc>
      </w:tr>
    </w:tbl>
    <w:p w:rsidR="00835C75" w:rsidRDefault="00835C75" w:rsidP="007371FE">
      <w:pPr>
        <w:rPr>
          <w:rFonts w:cs="Arial"/>
          <w:bCs/>
          <w:szCs w:val="22"/>
        </w:rPr>
      </w:pPr>
    </w:p>
    <w:p w:rsidR="000C1FB0" w:rsidRDefault="000C1FB0" w:rsidP="000C1FB0">
      <w:pPr>
        <w:rPr>
          <w:sz w:val="20"/>
        </w:rPr>
      </w:pPr>
      <w:r w:rsidRPr="006952A4">
        <w:rPr>
          <w:rFonts w:cs="Arial"/>
        </w:rPr>
        <w:t xml:space="preserve">Mindkét évben a legnagyobb tételt </w:t>
      </w:r>
      <w:r>
        <w:rPr>
          <w:rFonts w:cs="Arial"/>
        </w:rPr>
        <w:t>a közvetített szolgáltatások</w:t>
      </w:r>
      <w:r w:rsidR="001B23D7">
        <w:rPr>
          <w:rFonts w:cs="Arial"/>
        </w:rPr>
        <w:t xml:space="preserve"> jelenti</w:t>
      </w:r>
      <w:r w:rsidRPr="006952A4">
        <w:rPr>
          <w:rFonts w:cs="Arial"/>
        </w:rPr>
        <w:t>k</w:t>
      </w:r>
      <w:r>
        <w:rPr>
          <w:rFonts w:cs="Arial"/>
        </w:rPr>
        <w:t>, melynek</w:t>
      </w:r>
      <w:r>
        <w:t xml:space="preserve"> é</w:t>
      </w:r>
      <w:r w:rsidRPr="007712B7">
        <w:t xml:space="preserve">rtéke </w:t>
      </w:r>
      <w:r w:rsidR="00FF5CE0">
        <w:t>11,8</w:t>
      </w:r>
      <w:r w:rsidRPr="007712B7">
        <w:t xml:space="preserve"> %-kal (</w:t>
      </w:r>
      <w:r>
        <w:t>+</w:t>
      </w:r>
      <w:r w:rsidR="00FF5CE0">
        <w:t>18</w:t>
      </w:r>
      <w:r>
        <w:t xml:space="preserve"> </w:t>
      </w:r>
      <w:r w:rsidR="00FF5CE0">
        <w:t>508</w:t>
      </w:r>
      <w:r w:rsidRPr="007712B7">
        <w:t xml:space="preserve"> M</w:t>
      </w:r>
      <w:r>
        <w:t xml:space="preserve"> </w:t>
      </w:r>
      <w:r w:rsidRPr="007712B7">
        <w:t>Ft) növek</w:t>
      </w:r>
      <w:r w:rsidR="001B23D7">
        <w:t>szik</w:t>
      </w:r>
      <w:r w:rsidRPr="007712B7">
        <w:t xml:space="preserve"> a bázis időszakhoz képest</w:t>
      </w:r>
      <w:r>
        <w:t xml:space="preserve">. A közvetített szolgáltatások aránya az anyagjellegű ráfordításokon belül </w:t>
      </w:r>
      <w:r w:rsidR="00824A56">
        <w:t>csökken</w:t>
      </w:r>
      <w:r>
        <w:t>: 9</w:t>
      </w:r>
      <w:r w:rsidR="00824A56">
        <w:t>2,3</w:t>
      </w:r>
      <w:r>
        <w:t>%-ról 9</w:t>
      </w:r>
      <w:r w:rsidR="00824A56">
        <w:t>0,6</w:t>
      </w:r>
      <w:r>
        <w:t>%-ra.</w:t>
      </w:r>
      <w:r w:rsidR="00824A56">
        <w:t xml:space="preserve"> </w:t>
      </w:r>
      <w:r w:rsidR="00824A56" w:rsidRPr="00CE60E5">
        <w:rPr>
          <w:sz w:val="20"/>
        </w:rPr>
        <w:t>(</w:t>
      </w:r>
      <w:r w:rsidR="00824A56" w:rsidRPr="00CE60E5">
        <w:rPr>
          <w:i/>
          <w:sz w:val="20"/>
        </w:rPr>
        <w:t>Fejlesztési Megállapodástól és EU forrástól megtisztított igénybe vett szolgáltatásokkal számoltuk a megoszlást</w:t>
      </w:r>
      <w:r w:rsidR="00CD36BC" w:rsidRPr="00CE60E5">
        <w:rPr>
          <w:i/>
          <w:sz w:val="20"/>
        </w:rPr>
        <w:t xml:space="preserve">: 80 423 732 </w:t>
      </w:r>
      <w:proofErr w:type="spellStart"/>
      <w:r w:rsidR="00CD36BC" w:rsidRPr="00CE60E5">
        <w:rPr>
          <w:i/>
          <w:sz w:val="20"/>
        </w:rPr>
        <w:t>eFt</w:t>
      </w:r>
      <w:proofErr w:type="spellEnd"/>
      <w:r w:rsidR="00CD36BC" w:rsidRPr="00CE60E5">
        <w:rPr>
          <w:i/>
          <w:sz w:val="20"/>
        </w:rPr>
        <w:t xml:space="preserve"> – 64 633 058 </w:t>
      </w:r>
      <w:proofErr w:type="spellStart"/>
      <w:r w:rsidR="00CD36BC" w:rsidRPr="00CE60E5">
        <w:rPr>
          <w:i/>
          <w:sz w:val="20"/>
        </w:rPr>
        <w:t>eFt</w:t>
      </w:r>
      <w:proofErr w:type="spellEnd"/>
      <w:r w:rsidR="00CD36BC" w:rsidRPr="00CE60E5">
        <w:rPr>
          <w:i/>
          <w:sz w:val="20"/>
        </w:rPr>
        <w:t xml:space="preserve"> = 15 790 674 </w:t>
      </w:r>
      <w:proofErr w:type="spellStart"/>
      <w:r w:rsidR="00CD36BC" w:rsidRPr="00CE60E5">
        <w:rPr>
          <w:i/>
          <w:sz w:val="20"/>
        </w:rPr>
        <w:t>eFt</w:t>
      </w:r>
      <w:proofErr w:type="spellEnd"/>
      <w:r w:rsidR="00CD36BC" w:rsidRPr="00CE60E5">
        <w:rPr>
          <w:i/>
          <w:sz w:val="20"/>
        </w:rPr>
        <w:t xml:space="preserve"> az igénybe vett szolgáltatások értéke</w:t>
      </w:r>
      <w:r w:rsidR="00CE60E5" w:rsidRPr="00CE60E5">
        <w:rPr>
          <w:i/>
          <w:sz w:val="20"/>
        </w:rPr>
        <w:t xml:space="preserve">, mellyel az anyagjellegű ráfordítások értéke összesen: 193 644 167 </w:t>
      </w:r>
      <w:proofErr w:type="spellStart"/>
      <w:r w:rsidR="00CE60E5" w:rsidRPr="00CE60E5">
        <w:rPr>
          <w:i/>
          <w:sz w:val="20"/>
        </w:rPr>
        <w:t>eFt</w:t>
      </w:r>
      <w:proofErr w:type="spellEnd"/>
      <w:r w:rsidR="00824A56" w:rsidRPr="00CE60E5">
        <w:rPr>
          <w:sz w:val="20"/>
        </w:rPr>
        <w:t>)</w:t>
      </w:r>
    </w:p>
    <w:p w:rsidR="00CE60E5" w:rsidRDefault="00CE60E5" w:rsidP="000C1FB0">
      <w:pPr>
        <w:rPr>
          <w:sz w:val="20"/>
        </w:rPr>
      </w:pPr>
    </w:p>
    <w:tbl>
      <w:tblPr>
        <w:tblW w:w="8543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59"/>
        <w:gridCol w:w="1119"/>
        <w:gridCol w:w="1119"/>
        <w:gridCol w:w="772"/>
        <w:gridCol w:w="772"/>
        <w:gridCol w:w="1030"/>
        <w:gridCol w:w="772"/>
      </w:tblGrid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lastRenderedPageBreak/>
              <w:t>Megnevezés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Megoszlás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Változás</w:t>
            </w:r>
          </w:p>
        </w:tc>
      </w:tr>
      <w:tr w:rsidR="001228C1" w:rsidRPr="001228C1" w:rsidTr="0014102C">
        <w:trPr>
          <w:trHeight w:val="300"/>
          <w:jc w:val="center"/>
        </w:trPr>
        <w:tc>
          <w:tcPr>
            <w:tcW w:w="2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ascii="Calibri" w:hAnsi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tény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terv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i/>
                <w:color w:val="000000"/>
                <w:sz w:val="16"/>
                <w:szCs w:val="16"/>
              </w:rPr>
              <w:t>%</w:t>
            </w:r>
          </w:p>
        </w:tc>
      </w:tr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Anyagköltség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702 100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1 180 770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0,4%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478 670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168,2%</w:t>
            </w:r>
          </w:p>
        </w:tc>
      </w:tr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Igénybe vett szolgáltatások értéke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11 357 366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15 790 674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6,7%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8,2%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4 433 308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139,0%</w:t>
            </w:r>
          </w:p>
        </w:tc>
      </w:tr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Egyéb szolgáltatások értéke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438 336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1 167 004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0,3%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0,6%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728 668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266,2%</w:t>
            </w:r>
          </w:p>
        </w:tc>
      </w:tr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Eladott áruk beszerzési értéke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34 236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33 680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-556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98,4%</w:t>
            </w:r>
          </w:p>
        </w:tc>
      </w:tr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Közvetített szolgáltatások értéke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156 963 866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175 472 039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92,6%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90,6%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18 508 173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i/>
                <w:color w:val="000000"/>
                <w:sz w:val="16"/>
                <w:szCs w:val="16"/>
              </w:rPr>
              <w:t>111,8%</w:t>
            </w:r>
          </w:p>
        </w:tc>
      </w:tr>
      <w:tr w:rsidR="001228C1" w:rsidRPr="001228C1" w:rsidTr="0014102C">
        <w:trPr>
          <w:trHeight w:hRule="exact" w:val="300"/>
          <w:jc w:val="center"/>
        </w:trPr>
        <w:tc>
          <w:tcPr>
            <w:tcW w:w="2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lef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Anyagjellegű ráfordítások összesen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169 495 904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193 644 167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righ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9C01AE">
            <w:pPr>
              <w:jc w:val="righ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24 148 263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C1" w:rsidRPr="001228C1" w:rsidRDefault="001228C1" w:rsidP="001228C1">
            <w:pPr>
              <w:jc w:val="right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1228C1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114,2%</w:t>
            </w:r>
          </w:p>
        </w:tc>
      </w:tr>
    </w:tbl>
    <w:p w:rsidR="00CE60E5" w:rsidRDefault="00CE60E5" w:rsidP="000C1FB0">
      <w:pPr>
        <w:rPr>
          <w:sz w:val="20"/>
        </w:rPr>
      </w:pPr>
    </w:p>
    <w:p w:rsidR="00CE60E5" w:rsidRDefault="00CE60E5" w:rsidP="000C1FB0"/>
    <w:p w:rsidR="00824A56" w:rsidRDefault="000C1FB0" w:rsidP="000C1FB0">
      <w:r w:rsidRPr="00845BCE">
        <w:rPr>
          <w:rFonts w:cs="Arial"/>
        </w:rPr>
        <w:t xml:space="preserve">Értelemszerűen a Társaság költségeinek legnagyobb tétele a BKV </w:t>
      </w:r>
      <w:proofErr w:type="spellStart"/>
      <w:r w:rsidRPr="00845BCE">
        <w:rPr>
          <w:rFonts w:cs="Arial"/>
        </w:rPr>
        <w:t>Zrt</w:t>
      </w:r>
      <w:proofErr w:type="spellEnd"/>
      <w:r w:rsidRPr="00845BCE">
        <w:rPr>
          <w:rFonts w:cs="Arial"/>
        </w:rPr>
        <w:t xml:space="preserve">. szolgáltatási költségtérítése </w:t>
      </w:r>
      <w:r w:rsidR="00824A56">
        <w:rPr>
          <w:rFonts w:cs="Arial"/>
        </w:rPr>
        <w:t>119</w:t>
      </w:r>
      <w:r w:rsidRPr="00845BCE">
        <w:rPr>
          <w:rFonts w:cs="Arial"/>
        </w:rPr>
        <w:t xml:space="preserve"> Mrd Ft-tal.</w:t>
      </w:r>
      <w:r>
        <w:rPr>
          <w:rFonts w:cs="Arial"/>
        </w:rPr>
        <w:t xml:space="preserve"> </w:t>
      </w:r>
      <w:r>
        <w:t xml:space="preserve">A közvetített szolgáltatás </w:t>
      </w:r>
      <w:r w:rsidR="00824A56">
        <w:t>jelentős változásának fő összetevői:</w:t>
      </w:r>
    </w:p>
    <w:p w:rsidR="00824A56" w:rsidRDefault="00824A56" w:rsidP="001D255E">
      <w:pPr>
        <w:pStyle w:val="Listaszerbekezds"/>
        <w:numPr>
          <w:ilvl w:val="0"/>
          <w:numId w:val="22"/>
        </w:numPr>
      </w:pPr>
      <w:r>
        <w:t xml:space="preserve">Egyrészt folytatódik az új autóbusz üzemeltetési modell megvalósítása, melynek keretében folytatódnak a versenyeztetett operátori szerződések megkötése. Ennek következtében csökken a BKV aránya </w:t>
      </w:r>
      <w:r w:rsidR="00D94F39">
        <w:t xml:space="preserve">az autóbusz üzletágban </w:t>
      </w:r>
      <w:r w:rsidR="006F3A62">
        <w:t>65</w:t>
      </w:r>
      <w:r>
        <w:t>,</w:t>
      </w:r>
      <w:r w:rsidR="006F3A62">
        <w:t>8</w:t>
      </w:r>
      <w:r>
        <w:t>%-ra és növekszik a BKV-n kívüli autóbusz szolgáltatók aránya 3</w:t>
      </w:r>
      <w:r w:rsidR="006F3A62">
        <w:t>4</w:t>
      </w:r>
      <w:r>
        <w:t>,</w:t>
      </w:r>
      <w:r w:rsidR="006F3A62">
        <w:t>2</w:t>
      </w:r>
      <w:r>
        <w:t>%-ra.</w:t>
      </w:r>
    </w:p>
    <w:p w:rsidR="00B70B8A" w:rsidRDefault="00824A56" w:rsidP="001D255E">
      <w:pPr>
        <w:pStyle w:val="Listaszerbekezds"/>
        <w:numPr>
          <w:ilvl w:val="0"/>
          <w:numId w:val="22"/>
        </w:numPr>
      </w:pPr>
      <w:r>
        <w:t>Másrészt a BKK jelentős projekt tevékenységet folytat. Melynek egyik finanszírozási módja  Megvalósítási Megállapodás</w:t>
      </w:r>
      <w:r w:rsidR="002F16B6">
        <w:t xml:space="preserve">on (MM) </w:t>
      </w:r>
      <w:proofErr w:type="gramStart"/>
      <w:r w:rsidR="002F16B6">
        <w:t>keresztül</w:t>
      </w:r>
      <w:r>
        <w:t xml:space="preserve"> történik</w:t>
      </w:r>
      <w:proofErr w:type="gramEnd"/>
      <w:r>
        <w:t>.</w:t>
      </w:r>
      <w:r w:rsidR="002F16B6">
        <w:t xml:space="preserve"> Ebben az esetben a projekttel kapcsolatban befogadott számlákat továbbszámlázza a Főváros felé. Ennek ráfordítás része a közvetített szolgáltatások között jelenik meg. </w:t>
      </w:r>
      <w:r w:rsidR="00103780">
        <w:t>A tervévi növekmény indoka: t</w:t>
      </w:r>
      <w:r w:rsidR="002F16B6">
        <w:t xml:space="preserve">öbb projekt </w:t>
      </w:r>
      <w:r w:rsidR="00103780">
        <w:t>lép előkészítési szakaszból a kivitelezés fázisába.</w:t>
      </w:r>
    </w:p>
    <w:p w:rsidR="00B70B8A" w:rsidRDefault="00B70B8A" w:rsidP="00CA61CD"/>
    <w:tbl>
      <w:tblPr>
        <w:tblW w:w="95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10"/>
        <w:gridCol w:w="1205"/>
        <w:gridCol w:w="1205"/>
        <w:gridCol w:w="850"/>
        <w:gridCol w:w="851"/>
        <w:gridCol w:w="1134"/>
        <w:gridCol w:w="851"/>
      </w:tblGrid>
      <w:tr w:rsidR="00B70B8A" w:rsidRPr="009F5887" w:rsidTr="00B70B8A">
        <w:trPr>
          <w:trHeight w:hRule="exact" w:val="300"/>
        </w:trPr>
        <w:tc>
          <w:tcPr>
            <w:tcW w:w="3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86177F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BKK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86177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201</w:t>
            </w:r>
            <w:r w:rsidR="0086177F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86177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201</w:t>
            </w:r>
            <w:r w:rsidR="0086177F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Megoszlás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Változás</w:t>
            </w:r>
          </w:p>
        </w:tc>
      </w:tr>
      <w:tr w:rsidR="00B70B8A" w:rsidRPr="009F5887" w:rsidTr="00B70B8A">
        <w:trPr>
          <w:trHeight w:val="300"/>
        </w:trPr>
        <w:tc>
          <w:tcPr>
            <w:tcW w:w="3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B70B8A">
            <w:pPr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86177F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525DEE">
              <w:rPr>
                <w:rFonts w:cs="Arial"/>
                <w:b/>
                <w:color w:val="000000"/>
                <w:sz w:val="16"/>
                <w:szCs w:val="16"/>
              </w:rPr>
              <w:t>tény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525DEE" w:rsidRDefault="0086177F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  <w:highlight w:val="yellow"/>
              </w:rPr>
            </w:pPr>
            <w:r w:rsidRPr="00FF5CE0">
              <w:rPr>
                <w:rFonts w:cs="Arial"/>
                <w:b/>
                <w:color w:val="000000"/>
                <w:sz w:val="16"/>
                <w:szCs w:val="16"/>
              </w:rPr>
              <w:t>terv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86177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201</w:t>
            </w:r>
            <w:r w:rsidR="0086177F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86177F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201</w:t>
            </w:r>
            <w:r w:rsidR="0086177F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A" w:rsidRPr="009F5887" w:rsidRDefault="00B70B8A" w:rsidP="00B70B8A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FF5CE0" w:rsidRPr="009F5887" w:rsidTr="00FF5CE0">
        <w:trPr>
          <w:trHeight w:hRule="exact" w:val="300"/>
        </w:trPr>
        <w:tc>
          <w:tcPr>
            <w:tcW w:w="3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color w:val="000000"/>
                <w:sz w:val="16"/>
                <w:szCs w:val="16"/>
              </w:rPr>
              <w:t xml:space="preserve">BKV </w:t>
            </w:r>
            <w:proofErr w:type="spellStart"/>
            <w:r w:rsidRPr="009F5887">
              <w:rPr>
                <w:rFonts w:cs="Arial"/>
                <w:color w:val="000000"/>
                <w:sz w:val="16"/>
                <w:szCs w:val="16"/>
              </w:rPr>
              <w:t>Zrt</w:t>
            </w:r>
            <w:proofErr w:type="spellEnd"/>
            <w:r w:rsidRPr="009F5887">
              <w:rPr>
                <w:rFonts w:cs="Arial"/>
                <w:color w:val="000000"/>
                <w:sz w:val="16"/>
                <w:szCs w:val="16"/>
              </w:rPr>
              <w:t>. szolgáltatása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130 090 818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119 185 000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82,9%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67,9%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-10 905 818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91,6%</w:t>
            </w:r>
          </w:p>
        </w:tc>
      </w:tr>
      <w:tr w:rsidR="00FF5CE0" w:rsidRPr="009F5887" w:rsidTr="00FF5CE0">
        <w:trPr>
          <w:trHeight w:hRule="exact" w:val="30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color w:val="000000"/>
                <w:sz w:val="16"/>
                <w:szCs w:val="16"/>
              </w:rPr>
              <w:t>BKV-n kívüli autóbusz szolgáltatók díjai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18 284 125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24 414 000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11,6%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13,9%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6 129 875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133,5%</w:t>
            </w:r>
          </w:p>
        </w:tc>
      </w:tr>
      <w:tr w:rsidR="00FF5CE0" w:rsidRPr="009F5887" w:rsidTr="00FF5CE0">
        <w:trPr>
          <w:trHeight w:hRule="exact" w:val="68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color w:val="000000"/>
                <w:sz w:val="16"/>
                <w:szCs w:val="16"/>
              </w:rPr>
              <w:t>Fővárossal kötött Megvalósítási megállapodás alapján közvetített szolgáltatás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8 092 865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31 283 464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5,2%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17,8%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23 190 599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386,6%</w:t>
            </w:r>
          </w:p>
        </w:tc>
      </w:tr>
      <w:tr w:rsidR="00FF5CE0" w:rsidRPr="009F5887" w:rsidTr="00FF5CE0">
        <w:trPr>
          <w:trHeight w:hRule="exact" w:val="30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color w:val="000000"/>
                <w:sz w:val="16"/>
                <w:szCs w:val="16"/>
              </w:rPr>
              <w:t xml:space="preserve">MÁV Budapest </w:t>
            </w:r>
            <w:proofErr w:type="gramStart"/>
            <w:r w:rsidRPr="009F5887">
              <w:rPr>
                <w:rFonts w:cs="Arial"/>
                <w:color w:val="000000"/>
                <w:sz w:val="16"/>
                <w:szCs w:val="16"/>
              </w:rPr>
              <w:t>bérlet részesedés</w:t>
            </w:r>
            <w:proofErr w:type="gram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312 729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382 000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0,2%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69 271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122,2%</w:t>
            </w:r>
          </w:p>
        </w:tc>
      </w:tr>
      <w:tr w:rsidR="00FF5CE0" w:rsidRPr="009F5887" w:rsidTr="00FF5CE0">
        <w:trPr>
          <w:trHeight w:hRule="exact" w:val="300"/>
        </w:trPr>
        <w:tc>
          <w:tcPr>
            <w:tcW w:w="3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color w:val="000000"/>
                <w:sz w:val="16"/>
                <w:szCs w:val="16"/>
              </w:rPr>
              <w:t xml:space="preserve">Volán Budapest </w:t>
            </w:r>
            <w:proofErr w:type="gramStart"/>
            <w:r w:rsidRPr="009F5887">
              <w:rPr>
                <w:rFonts w:cs="Arial"/>
                <w:color w:val="000000"/>
                <w:sz w:val="16"/>
                <w:szCs w:val="16"/>
              </w:rPr>
              <w:t>bérlet részesedés</w:t>
            </w:r>
            <w:proofErr w:type="gramEnd"/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140 611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166 000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25 389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118,1%</w:t>
            </w:r>
          </w:p>
        </w:tc>
      </w:tr>
      <w:tr w:rsidR="00FF5CE0" w:rsidRPr="009F5887" w:rsidTr="00FF5CE0">
        <w:trPr>
          <w:trHeight w:hRule="exact" w:val="300"/>
        </w:trPr>
        <w:tc>
          <w:tcPr>
            <w:tcW w:w="3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color w:val="000000"/>
                <w:sz w:val="16"/>
                <w:szCs w:val="16"/>
              </w:rPr>
              <w:t>Egyéb projekt közvetített szolgáltatás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42 718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41 575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0,0%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-1 143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color w:val="000000"/>
                <w:sz w:val="16"/>
                <w:szCs w:val="16"/>
              </w:rPr>
              <w:t>97,3%</w:t>
            </w:r>
          </w:p>
        </w:tc>
      </w:tr>
      <w:tr w:rsidR="00FF5CE0" w:rsidRPr="0086177F" w:rsidTr="00FF5CE0">
        <w:trPr>
          <w:trHeight w:hRule="exact" w:val="300"/>
        </w:trPr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9F5887" w:rsidRDefault="00FF5CE0" w:rsidP="00B70B8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F5887">
              <w:rPr>
                <w:rFonts w:cs="Arial"/>
                <w:b/>
                <w:bCs/>
                <w:color w:val="000000"/>
                <w:sz w:val="16"/>
                <w:szCs w:val="16"/>
              </w:rPr>
              <w:t>Közvetített szolgáltatások összesen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b/>
                <w:bCs/>
                <w:color w:val="000000"/>
                <w:sz w:val="16"/>
                <w:szCs w:val="16"/>
              </w:rPr>
              <w:t>156 963 866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b/>
                <w:bCs/>
                <w:color w:val="000000"/>
                <w:sz w:val="16"/>
                <w:szCs w:val="16"/>
              </w:rPr>
              <w:t>175 472 039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b/>
                <w:bCs/>
                <w:color w:val="000000"/>
                <w:sz w:val="16"/>
                <w:szCs w:val="16"/>
              </w:rPr>
              <w:t>18 508 173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CE0" w:rsidRPr="00FF5CE0" w:rsidRDefault="00FF5CE0" w:rsidP="00FF5CE0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F5CE0">
              <w:rPr>
                <w:rFonts w:cs="Arial"/>
                <w:b/>
                <w:bCs/>
                <w:color w:val="000000"/>
                <w:sz w:val="16"/>
                <w:szCs w:val="16"/>
              </w:rPr>
              <w:t>111,8%</w:t>
            </w:r>
          </w:p>
        </w:tc>
      </w:tr>
    </w:tbl>
    <w:p w:rsidR="00CA61CD" w:rsidRDefault="00CA61CD" w:rsidP="007371FE">
      <w:pPr>
        <w:rPr>
          <w:rFonts w:cs="Arial"/>
          <w:bCs/>
          <w:szCs w:val="22"/>
        </w:rPr>
      </w:pPr>
    </w:p>
    <w:p w:rsidR="007371FE" w:rsidRDefault="007371FE" w:rsidP="00A85221">
      <w:pPr>
        <w:rPr>
          <w:rFonts w:cs="Arial"/>
          <w:bCs/>
        </w:rPr>
      </w:pPr>
    </w:p>
    <w:p w:rsidR="007371FE" w:rsidRDefault="007371FE" w:rsidP="00A85221">
      <w:pPr>
        <w:rPr>
          <w:rFonts w:cs="Arial"/>
          <w:bCs/>
          <w:vanish/>
        </w:rPr>
      </w:pPr>
    </w:p>
    <w:p w:rsidR="00B1268A" w:rsidRPr="00FA1A59" w:rsidRDefault="00B1268A" w:rsidP="00A85221">
      <w:pPr>
        <w:rPr>
          <w:rFonts w:cs="Arial"/>
          <w:b/>
          <w:bCs/>
        </w:rPr>
      </w:pPr>
      <w:r w:rsidRPr="00FA1A59">
        <w:rPr>
          <w:rFonts w:cs="Arial"/>
          <w:b/>
          <w:bCs/>
        </w:rPr>
        <w:t>Értékcsökkenési leírás (C2 tábla)</w:t>
      </w:r>
    </w:p>
    <w:p w:rsidR="00CA24FF" w:rsidRPr="00FA1A59" w:rsidRDefault="00CA24FF" w:rsidP="00A85221">
      <w:pPr>
        <w:rPr>
          <w:rFonts w:cs="Arial"/>
          <w:bCs/>
          <w:szCs w:val="22"/>
        </w:rPr>
      </w:pPr>
    </w:p>
    <w:p w:rsidR="0019553A" w:rsidRDefault="006A6AD1" w:rsidP="006457B2">
      <w:pPr>
        <w:rPr>
          <w:rFonts w:cs="Arial"/>
          <w:bCs/>
          <w:szCs w:val="22"/>
        </w:rPr>
      </w:pPr>
      <w:r w:rsidRPr="00CF6812">
        <w:rPr>
          <w:rFonts w:cs="Arial"/>
          <w:bCs/>
          <w:szCs w:val="22"/>
        </w:rPr>
        <w:t>A 201</w:t>
      </w:r>
      <w:r w:rsidR="00344DAC" w:rsidRPr="00CF6812">
        <w:rPr>
          <w:rFonts w:cs="Arial"/>
          <w:bCs/>
          <w:szCs w:val="22"/>
        </w:rPr>
        <w:t>5</w:t>
      </w:r>
      <w:r w:rsidRPr="00CF6812">
        <w:rPr>
          <w:rFonts w:cs="Arial"/>
          <w:bCs/>
          <w:szCs w:val="22"/>
        </w:rPr>
        <w:t xml:space="preserve">. évre tervezett </w:t>
      </w:r>
      <w:r w:rsidR="007C23A1" w:rsidRPr="00CF6812">
        <w:rPr>
          <w:rFonts w:cs="Arial"/>
          <w:bCs/>
          <w:szCs w:val="22"/>
        </w:rPr>
        <w:t>3 168</w:t>
      </w:r>
      <w:r w:rsidR="00BB5ECC" w:rsidRPr="00CF6812">
        <w:rPr>
          <w:rFonts w:cs="Arial"/>
          <w:bCs/>
          <w:szCs w:val="22"/>
        </w:rPr>
        <w:t xml:space="preserve"> M</w:t>
      </w:r>
      <w:r w:rsidRPr="00CF6812">
        <w:rPr>
          <w:rFonts w:cs="Arial"/>
          <w:bCs/>
          <w:szCs w:val="22"/>
        </w:rPr>
        <w:t xml:space="preserve"> Ft értékcsökkenési leírás </w:t>
      </w:r>
      <w:r w:rsidR="007C23A1" w:rsidRPr="00CF6812">
        <w:rPr>
          <w:rFonts w:cs="Arial"/>
          <w:bCs/>
          <w:szCs w:val="22"/>
        </w:rPr>
        <w:t>ötszöröse a 2014. évi értéknek (6</w:t>
      </w:r>
      <w:r w:rsidR="00525DEE" w:rsidRPr="00CF6812">
        <w:rPr>
          <w:rFonts w:cs="Arial"/>
          <w:bCs/>
          <w:szCs w:val="22"/>
        </w:rPr>
        <w:t>11</w:t>
      </w:r>
      <w:r w:rsidR="007C23A1" w:rsidRPr="00CF6812">
        <w:rPr>
          <w:rFonts w:cs="Arial"/>
          <w:bCs/>
          <w:szCs w:val="22"/>
        </w:rPr>
        <w:t xml:space="preserve"> M Ft).</w:t>
      </w:r>
      <w:r w:rsidR="00D54D37" w:rsidRPr="00CF6812">
        <w:rPr>
          <w:rFonts w:cs="Arial"/>
          <w:bCs/>
          <w:szCs w:val="22"/>
        </w:rPr>
        <w:t xml:space="preserve"> Ebből az értékcsökkenésből </w:t>
      </w:r>
      <w:r w:rsidR="00E5602E" w:rsidRPr="00CF6812">
        <w:rPr>
          <w:rFonts w:cs="Arial"/>
          <w:bCs/>
          <w:szCs w:val="22"/>
        </w:rPr>
        <w:t>2 916</w:t>
      </w:r>
      <w:r w:rsidR="00D54D37" w:rsidRPr="00CF6812">
        <w:rPr>
          <w:rFonts w:cs="Arial"/>
          <w:bCs/>
          <w:szCs w:val="22"/>
        </w:rPr>
        <w:t xml:space="preserve"> M Ft halasztott bevétel feloldás jelenik meg az egyéb bevételek között. Így a halasztott bevételek nélküli értékcsökkenés </w:t>
      </w:r>
      <w:r w:rsidR="00E5602E" w:rsidRPr="00CF6812">
        <w:rPr>
          <w:rFonts w:cs="Arial"/>
          <w:bCs/>
          <w:szCs w:val="22"/>
        </w:rPr>
        <w:t>252</w:t>
      </w:r>
      <w:r w:rsidR="00CF6812" w:rsidRPr="00CF6812">
        <w:rPr>
          <w:rFonts w:cs="Arial"/>
          <w:bCs/>
          <w:szCs w:val="22"/>
        </w:rPr>
        <w:t xml:space="preserve"> M Ft</w:t>
      </w:r>
      <w:r w:rsidR="00D54D37" w:rsidRPr="00CF6812">
        <w:rPr>
          <w:rFonts w:cs="Arial"/>
          <w:bCs/>
          <w:szCs w:val="22"/>
        </w:rPr>
        <w:t xml:space="preserve"> (2014-ben a halasztott bevétel feloldás </w:t>
      </w:r>
      <w:r w:rsidR="00A813BA" w:rsidRPr="00CF6812">
        <w:rPr>
          <w:rFonts w:cs="Arial"/>
          <w:bCs/>
          <w:szCs w:val="22"/>
        </w:rPr>
        <w:t>428</w:t>
      </w:r>
      <w:r w:rsidR="00E5602E" w:rsidRPr="00CF6812">
        <w:rPr>
          <w:rFonts w:cs="Arial"/>
          <w:bCs/>
          <w:szCs w:val="22"/>
        </w:rPr>
        <w:t xml:space="preserve"> M Ft volt.)</w:t>
      </w:r>
    </w:p>
    <w:p w:rsidR="00CF6812" w:rsidRDefault="00CF6812" w:rsidP="00CF6812"/>
    <w:tbl>
      <w:tblPr>
        <w:tblW w:w="7805" w:type="dxa"/>
        <w:tblInd w:w="6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10"/>
        <w:gridCol w:w="1205"/>
        <w:gridCol w:w="1205"/>
        <w:gridCol w:w="1134"/>
        <w:gridCol w:w="851"/>
      </w:tblGrid>
      <w:tr w:rsidR="00CF6812" w:rsidRPr="005D7746" w:rsidTr="00CF6812">
        <w:trPr>
          <w:trHeight w:hRule="exact" w:val="300"/>
        </w:trPr>
        <w:tc>
          <w:tcPr>
            <w:tcW w:w="3410" w:type="dxa"/>
            <w:vMerge w:val="restart"/>
            <w:shd w:val="clear" w:color="auto" w:fill="auto"/>
            <w:noWrap/>
            <w:vAlign w:val="center"/>
            <w:hideMark/>
          </w:tcPr>
          <w:p w:rsidR="00CF6812" w:rsidRPr="005D7746" w:rsidRDefault="00CF6812" w:rsidP="00F232F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</w:rPr>
              <w:t>Megnevezés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CF6812" w:rsidRPr="005D7746" w:rsidRDefault="00CF6812" w:rsidP="00CF681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CF6812" w:rsidRPr="005D7746" w:rsidRDefault="00CF6812" w:rsidP="00CF681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CF6812" w:rsidRPr="005D7746" w:rsidRDefault="00CF6812" w:rsidP="00F232F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Változás</w:t>
            </w:r>
          </w:p>
        </w:tc>
      </w:tr>
      <w:tr w:rsidR="00CF6812" w:rsidRPr="005D7746" w:rsidTr="00CF6812">
        <w:trPr>
          <w:trHeight w:val="300"/>
        </w:trPr>
        <w:tc>
          <w:tcPr>
            <w:tcW w:w="3410" w:type="dxa"/>
            <w:vMerge/>
            <w:shd w:val="clear" w:color="auto" w:fill="auto"/>
            <w:noWrap/>
            <w:vAlign w:val="center"/>
            <w:hideMark/>
          </w:tcPr>
          <w:p w:rsidR="00CF6812" w:rsidRPr="005D7746" w:rsidRDefault="00CF6812" w:rsidP="00F232F6">
            <w:pPr>
              <w:jc w:val="lef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CF6812" w:rsidRPr="005D7746" w:rsidRDefault="00CF6812" w:rsidP="00CF681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CF6812" w:rsidRPr="005D7746" w:rsidRDefault="00CF6812" w:rsidP="00CF681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F6812" w:rsidRPr="005D7746" w:rsidRDefault="00CF6812" w:rsidP="00CF6812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ezer Ft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F6812" w:rsidRPr="005D7746" w:rsidRDefault="00CF6812" w:rsidP="00F232F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5D7746">
              <w:rPr>
                <w:rFonts w:cs="Arial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CF6812" w:rsidRPr="004411DE" w:rsidTr="00CF6812">
        <w:trPr>
          <w:trHeight w:hRule="exact" w:val="300"/>
        </w:trPr>
        <w:tc>
          <w:tcPr>
            <w:tcW w:w="3410" w:type="dxa"/>
            <w:shd w:val="clear" w:color="auto" w:fill="auto"/>
            <w:noWrap/>
            <w:vAlign w:val="bottom"/>
            <w:hideMark/>
          </w:tcPr>
          <w:p w:rsidR="00CF6812" w:rsidRDefault="00CF681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Értékcsökkenési leírás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F6812" w:rsidRDefault="00CF6812" w:rsidP="00CF68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610 687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CF6812" w:rsidRDefault="00CF6812" w:rsidP="00CF68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3 167 925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F6812" w:rsidRDefault="00CF681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2 557 238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F6812" w:rsidRDefault="00CF681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518,7%</w:t>
            </w:r>
          </w:p>
        </w:tc>
      </w:tr>
      <w:tr w:rsidR="00CF6812" w:rsidRPr="004411DE" w:rsidTr="00CF6812">
        <w:trPr>
          <w:trHeight w:hRule="exact" w:val="300"/>
        </w:trPr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F609D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Halasztott b</w:t>
            </w:r>
            <w:r w:rsidR="00CF6812">
              <w:rPr>
                <w:rFonts w:cs="Arial"/>
                <w:color w:val="000000"/>
                <w:sz w:val="18"/>
                <w:szCs w:val="18"/>
              </w:rPr>
              <w:t xml:space="preserve">evétellel fedezett 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 w:rsidP="00CF68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-428 415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 w:rsidP="00CF68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-2 915 793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-2 487 378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680,6%</w:t>
            </w:r>
          </w:p>
        </w:tc>
      </w:tr>
      <w:tr w:rsidR="00CF6812" w:rsidRPr="004411DE" w:rsidTr="00CF6812">
        <w:trPr>
          <w:trHeight w:hRule="exact" w:val="300"/>
        </w:trPr>
        <w:tc>
          <w:tcPr>
            <w:tcW w:w="3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Értékcsökkenési leírás tisztított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 w:rsidP="00CF68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182 272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 w:rsidP="00CF681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252 132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69 860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12" w:rsidRDefault="00CF681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138,3%</w:t>
            </w:r>
          </w:p>
        </w:tc>
      </w:tr>
    </w:tbl>
    <w:p w:rsidR="00CF6812" w:rsidRDefault="00CF6812" w:rsidP="00CF6812"/>
    <w:p w:rsidR="00CF6812" w:rsidRDefault="00CF6812" w:rsidP="00CF6812"/>
    <w:p w:rsidR="000A37E9" w:rsidRDefault="000A37E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:rsidR="00AC65E3" w:rsidRPr="004D02F3" w:rsidRDefault="00AC65E3" w:rsidP="004D02F3">
      <w:pPr>
        <w:pStyle w:val="Listaszerbekezds"/>
        <w:keepNext/>
        <w:widowControl w:val="0"/>
        <w:overflowPunct/>
        <w:autoSpaceDE/>
        <w:autoSpaceDN/>
        <w:adjustRightInd/>
        <w:spacing w:line="360" w:lineRule="auto"/>
        <w:ind w:left="0"/>
        <w:textAlignment w:val="auto"/>
        <w:rPr>
          <w:rFonts w:cs="Arial"/>
          <w:b/>
          <w:bCs/>
          <w:szCs w:val="22"/>
        </w:rPr>
      </w:pPr>
      <w:r w:rsidRPr="00FA1A59">
        <w:rPr>
          <w:rFonts w:cs="Arial"/>
          <w:b/>
          <w:bCs/>
          <w:szCs w:val="22"/>
        </w:rPr>
        <w:lastRenderedPageBreak/>
        <w:t>Humánpolitikai célkitűzések, létszám és bér (C3 tábla)</w:t>
      </w:r>
    </w:p>
    <w:tbl>
      <w:tblPr>
        <w:tblW w:w="907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520"/>
        <w:gridCol w:w="1171"/>
        <w:gridCol w:w="1134"/>
        <w:gridCol w:w="992"/>
        <w:gridCol w:w="751"/>
        <w:gridCol w:w="751"/>
        <w:gridCol w:w="751"/>
      </w:tblGrid>
      <w:tr w:rsidR="00CF51CA" w:rsidRPr="00840BC5" w:rsidTr="0017115A">
        <w:trPr>
          <w:trHeight w:val="259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F478A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BKK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C21A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C21A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color w:val="000000"/>
                <w:sz w:val="18"/>
                <w:szCs w:val="18"/>
              </w:rPr>
              <w:t>Változás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color w:val="000000"/>
                <w:sz w:val="18"/>
                <w:szCs w:val="18"/>
              </w:rPr>
              <w:t>Megoszlás</w:t>
            </w:r>
          </w:p>
        </w:tc>
      </w:tr>
      <w:tr w:rsidR="00CF51CA" w:rsidRPr="00840BC5" w:rsidTr="0017115A">
        <w:trPr>
          <w:trHeight w:val="259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21AEB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21AEB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color w:val="000000"/>
                <w:sz w:val="18"/>
                <w:szCs w:val="18"/>
              </w:rPr>
              <w:t>ezer Ft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A" w:rsidRPr="00840BC5" w:rsidRDefault="00CF51CA" w:rsidP="009B52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C21AEB" w:rsidRPr="009C0563" w:rsidTr="00C21AEB">
        <w:trPr>
          <w:trHeight w:val="25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9C0563" w:rsidRDefault="00C21AEB" w:rsidP="003857A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9C0563">
              <w:rPr>
                <w:rFonts w:cs="Arial"/>
                <w:color w:val="000000"/>
                <w:sz w:val="18"/>
                <w:szCs w:val="18"/>
              </w:rPr>
              <w:t>Bérköltség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7 674 586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8 313 492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638 906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108,3%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71,4%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70,8%</w:t>
            </w:r>
          </w:p>
        </w:tc>
      </w:tr>
      <w:tr w:rsidR="00C21AEB" w:rsidRPr="009C0563" w:rsidTr="00C21AEB">
        <w:trPr>
          <w:trHeight w:val="259"/>
        </w:trPr>
        <w:tc>
          <w:tcPr>
            <w:tcW w:w="3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9C0563" w:rsidRDefault="00C21AEB" w:rsidP="003857A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9C0563">
              <w:rPr>
                <w:rFonts w:cs="Arial"/>
                <w:color w:val="000000"/>
                <w:sz w:val="18"/>
                <w:szCs w:val="18"/>
              </w:rPr>
              <w:t>Személyi jellegű egyéb kifizetések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746 982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860 830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113 848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115,2%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7,3%</w:t>
            </w:r>
          </w:p>
        </w:tc>
      </w:tr>
      <w:tr w:rsidR="00C21AEB" w:rsidRPr="009C0563" w:rsidTr="00C21AEB">
        <w:trPr>
          <w:trHeight w:val="25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9C0563" w:rsidRDefault="00C21AEB" w:rsidP="003857A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9C0563">
              <w:rPr>
                <w:rFonts w:cs="Arial"/>
                <w:color w:val="000000"/>
                <w:sz w:val="18"/>
                <w:szCs w:val="18"/>
              </w:rPr>
              <w:t>Bérjárulékok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2 329 595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2 564 384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234 789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110,1%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21,7%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Default="00C21AEB" w:rsidP="00C21AE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21,8%</w:t>
            </w:r>
          </w:p>
        </w:tc>
      </w:tr>
      <w:tr w:rsidR="00C21AEB" w:rsidRPr="00840BC5" w:rsidTr="00C21AEB">
        <w:trPr>
          <w:trHeight w:val="25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840BC5" w:rsidRDefault="00C21AEB" w:rsidP="003857A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40BC5">
              <w:rPr>
                <w:rFonts w:cs="Arial"/>
                <w:b/>
                <w:bCs/>
                <w:color w:val="000000"/>
                <w:sz w:val="18"/>
                <w:szCs w:val="18"/>
              </w:rPr>
              <w:t>Személyi jellegű ráfordítások összesen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C21AEB" w:rsidRDefault="00C21AEB" w:rsidP="00C21AEB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C21AEB">
              <w:rPr>
                <w:rFonts w:cs="Arial"/>
                <w:b/>
                <w:color w:val="000000"/>
                <w:sz w:val="18"/>
                <w:szCs w:val="18"/>
              </w:rPr>
              <w:t>10 751 163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C21AEB" w:rsidRDefault="00C21AEB" w:rsidP="00C21AEB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C21AEB">
              <w:rPr>
                <w:rFonts w:cs="Arial"/>
                <w:b/>
                <w:color w:val="000000"/>
                <w:sz w:val="18"/>
                <w:szCs w:val="18"/>
              </w:rPr>
              <w:t>11 738 706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C21AEB" w:rsidRDefault="00C21AEB" w:rsidP="00C21AEB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C21AEB">
              <w:rPr>
                <w:rFonts w:cs="Arial"/>
                <w:b/>
                <w:color w:val="000000"/>
                <w:sz w:val="18"/>
                <w:szCs w:val="18"/>
              </w:rPr>
              <w:t>987 543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C21AEB" w:rsidRDefault="00C21AEB" w:rsidP="00C21AEB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C21AEB">
              <w:rPr>
                <w:rFonts w:cs="Arial"/>
                <w:b/>
                <w:color w:val="000000"/>
                <w:sz w:val="18"/>
                <w:szCs w:val="18"/>
              </w:rPr>
              <w:t>109,2%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C21AEB" w:rsidRDefault="00C21AEB" w:rsidP="00C21AEB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C21AEB">
              <w:rPr>
                <w:rFonts w:cs="Arial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EB" w:rsidRPr="00C21AEB" w:rsidRDefault="00C21AEB" w:rsidP="00C21AEB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C21AEB">
              <w:rPr>
                <w:rFonts w:cs="Arial"/>
                <w:b/>
                <w:color w:val="000000"/>
                <w:sz w:val="18"/>
                <w:szCs w:val="18"/>
              </w:rPr>
              <w:t>100,0%</w:t>
            </w:r>
          </w:p>
        </w:tc>
      </w:tr>
    </w:tbl>
    <w:p w:rsidR="009C0563" w:rsidRDefault="009C0563" w:rsidP="009B52BE">
      <w:pPr>
        <w:rPr>
          <w:noProof/>
        </w:rPr>
      </w:pPr>
    </w:p>
    <w:p w:rsidR="00AE4FFC" w:rsidRDefault="009B52BE" w:rsidP="00AE4FFC">
      <w:r w:rsidRPr="00B9797A">
        <w:t xml:space="preserve">A </w:t>
      </w:r>
      <w:r w:rsidR="00BB5ECC">
        <w:t>Társaság</w:t>
      </w:r>
      <w:r w:rsidRPr="00B9797A">
        <w:t xml:space="preserve"> a </w:t>
      </w:r>
      <w:proofErr w:type="spellStart"/>
      <w:r>
        <w:t>B</w:t>
      </w:r>
      <w:r w:rsidRPr="00B9797A">
        <w:t>udget</w:t>
      </w:r>
      <w:proofErr w:type="spellEnd"/>
      <w:r w:rsidRPr="00B9797A">
        <w:t xml:space="preserve"> program „C</w:t>
      </w:r>
      <w:r>
        <w:t>3</w:t>
      </w:r>
      <w:r w:rsidRPr="00B9797A">
        <w:t xml:space="preserve"> BÉRKÖLTSÉG ÉS BÉRJÁRULÉK” táblán tervezte meg </w:t>
      </w:r>
      <w:r>
        <w:t xml:space="preserve">foglalkoztatási csoportonként a létszám és béradatokat. </w:t>
      </w:r>
    </w:p>
    <w:p w:rsidR="00CF1CE0" w:rsidRDefault="00E846F0" w:rsidP="00AE4FFC">
      <w:r w:rsidRPr="009B52BE">
        <w:t>A személyi jellegű ráfordítások 201</w:t>
      </w:r>
      <w:r w:rsidR="009B52BE" w:rsidRPr="009B52BE">
        <w:t>5</w:t>
      </w:r>
      <w:r w:rsidRPr="009B52BE">
        <w:t xml:space="preserve">. évre tervezett összege </w:t>
      </w:r>
      <w:r w:rsidR="00265D2F">
        <w:t>11 739</w:t>
      </w:r>
      <w:r w:rsidRPr="009B52BE">
        <w:t xml:space="preserve"> M Ft, mely</w:t>
      </w:r>
      <w:r w:rsidR="002865E5">
        <w:t xml:space="preserve"> </w:t>
      </w:r>
      <w:r w:rsidR="00EA1BBB">
        <w:t>987</w:t>
      </w:r>
      <w:r w:rsidRPr="009B52BE">
        <w:t xml:space="preserve"> M Ft-tal (</w:t>
      </w:r>
      <w:r w:rsidR="00EA1BBB">
        <w:t>9</w:t>
      </w:r>
      <w:r w:rsidR="00265D2F">
        <w:t>,2</w:t>
      </w:r>
      <w:r w:rsidRPr="009B52BE">
        <w:t>%-kal</w:t>
      </w:r>
      <w:r w:rsidR="006F0DBC" w:rsidRPr="009B52BE">
        <w:t xml:space="preserve">) </w:t>
      </w:r>
      <w:r w:rsidR="00BB5ECC">
        <w:t>több az előző évinél</w:t>
      </w:r>
      <w:r w:rsidR="00CF1CE0">
        <w:t>.</w:t>
      </w:r>
    </w:p>
    <w:p w:rsidR="00AC65E3" w:rsidRDefault="00CF1CE0" w:rsidP="00AE4FFC">
      <w:r>
        <w:t>A</w:t>
      </w:r>
      <w:r w:rsidR="006F0DBC" w:rsidRPr="009B52BE">
        <w:t xml:space="preserve"> bérköltség tervezett összege </w:t>
      </w:r>
      <w:r w:rsidR="00265D2F">
        <w:t>8 313</w:t>
      </w:r>
      <w:r w:rsidR="006F0DBC" w:rsidRPr="009B52BE">
        <w:t xml:space="preserve"> M Ft.</w:t>
      </w:r>
      <w:r w:rsidR="00AE4FFC">
        <w:t xml:space="preserve"> Az egy főre jutó átlagos bérköltség </w:t>
      </w:r>
      <w:r w:rsidR="00265D2F">
        <w:t>3</w:t>
      </w:r>
      <w:r w:rsidR="00EA1BBB">
        <w:t>53</w:t>
      </w:r>
      <w:r w:rsidR="00AE4FFC">
        <w:t xml:space="preserve"> </w:t>
      </w:r>
      <w:proofErr w:type="spellStart"/>
      <w:r w:rsidR="00AE4FFC">
        <w:t>eFt</w:t>
      </w:r>
      <w:proofErr w:type="spellEnd"/>
      <w:r w:rsidR="00AE4FFC">
        <w:t>/fő/hó.</w:t>
      </w:r>
    </w:p>
    <w:p w:rsidR="00137B70" w:rsidRDefault="00137B70" w:rsidP="00AE4FFC"/>
    <w:p w:rsidR="006E3A47" w:rsidRDefault="00157701" w:rsidP="00F0708F">
      <w:proofErr w:type="gramStart"/>
      <w:r>
        <w:t>2015. évvégére</w:t>
      </w:r>
      <w:proofErr w:type="gramEnd"/>
      <w:r>
        <w:t xml:space="preserve"> tervezett létszám 1963 fő, mely </w:t>
      </w:r>
      <w:r w:rsidR="00137B70">
        <w:t xml:space="preserve">az alábbi </w:t>
      </w:r>
      <w:r>
        <w:t>45 fős létszámnöveked</w:t>
      </w:r>
      <w:r w:rsidR="00137B70">
        <w:t>éssel tervez:</w:t>
      </w:r>
    </w:p>
    <w:p w:rsidR="00F0708F" w:rsidRDefault="00F0708F" w:rsidP="00F0708F"/>
    <w:tbl>
      <w:tblPr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376"/>
        <w:gridCol w:w="1701"/>
      </w:tblGrid>
      <w:tr w:rsidR="00B61DAE" w:rsidRPr="00F6127F" w:rsidTr="00F6127F">
        <w:trPr>
          <w:trHeight w:val="259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B61DAE" w:rsidRPr="00F6127F" w:rsidRDefault="00B61DAE" w:rsidP="00B61D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F6127F">
              <w:rPr>
                <w:rFonts w:cs="Arial"/>
                <w:b/>
                <w:bCs/>
                <w:sz w:val="18"/>
                <w:szCs w:val="18"/>
              </w:rPr>
              <w:t>2015. évi létszámterv levezetése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61DAE" w:rsidRPr="00F6127F" w:rsidRDefault="00B61DAE" w:rsidP="00B61D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F6127F">
              <w:rPr>
                <w:rFonts w:cs="Arial"/>
                <w:b/>
                <w:bCs/>
                <w:sz w:val="18"/>
                <w:szCs w:val="18"/>
              </w:rPr>
              <w:t>2015. évi terv (fő)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7 új P+R parkoló nyitása, a parkolók kezelése, karbantartása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Teherforgalmi ellenőrzési rendszer bővítése, mobil ellenőrző járművek további bevezetése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Elektronikus jegyrendszer bevezetéséhez kapcsolódó feladatok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 xml:space="preserve">Megnövekedett ügyfélszolgálati feladatok a </w:t>
            </w:r>
            <w:proofErr w:type="spellStart"/>
            <w:r w:rsidRPr="00B61DAE">
              <w:rPr>
                <w:rFonts w:cs="Arial"/>
                <w:color w:val="000000"/>
                <w:sz w:val="18"/>
                <w:szCs w:val="18"/>
              </w:rPr>
              <w:t>call</w:t>
            </w:r>
            <w:proofErr w:type="spellEnd"/>
            <w:r w:rsidRPr="00B61DAE">
              <w:rPr>
                <w:rFonts w:cs="Arial"/>
                <w:color w:val="000000"/>
                <w:sz w:val="18"/>
                <w:szCs w:val="18"/>
              </w:rPr>
              <w:t xml:space="preserve"> center, a személyes ügyfélszolgálat, valamint a levelezés területén a MOL Bubi, a további jegy- és </w:t>
            </w:r>
            <w:proofErr w:type="spellStart"/>
            <w:r w:rsidRPr="00B61DAE">
              <w:rPr>
                <w:rFonts w:cs="Arial"/>
                <w:color w:val="000000"/>
                <w:sz w:val="18"/>
                <w:szCs w:val="18"/>
              </w:rPr>
              <w:t>bérletautomaták</w:t>
            </w:r>
            <w:proofErr w:type="spellEnd"/>
            <w:r w:rsidRPr="00B61DAE">
              <w:rPr>
                <w:rFonts w:cs="Arial"/>
                <w:color w:val="000000"/>
                <w:sz w:val="18"/>
                <w:szCs w:val="18"/>
              </w:rPr>
              <w:t>, valamint az elektronikus jegyrendszerhez kapcsolódóan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További 112 db BKK automata telepítéséhez, beüzemeléséhez kapcsolódó feladat-növekedés, valamint háttértámogatói feladatok ellátása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B61DAE">
              <w:rPr>
                <w:rFonts w:cs="Arial"/>
                <w:color w:val="000000"/>
                <w:sz w:val="18"/>
                <w:szCs w:val="18"/>
              </w:rPr>
              <w:t>járműparkcsere</w:t>
            </w:r>
            <w:proofErr w:type="spellEnd"/>
            <w:r w:rsidRPr="00B61DAE">
              <w:rPr>
                <w:rFonts w:cs="Arial"/>
                <w:color w:val="000000"/>
                <w:sz w:val="18"/>
                <w:szCs w:val="18"/>
              </w:rPr>
              <w:t xml:space="preserve"> folytatásához szükséges szaktudás beépítése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B61DAE" w:rsidRPr="00B61DAE" w:rsidTr="00F6127F">
        <w:trPr>
          <w:trHeight w:val="259"/>
        </w:trPr>
        <w:tc>
          <w:tcPr>
            <w:tcW w:w="73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Duna-parti ingatlanokhoz kapcsolódó új feladatok, valamint a hajózás fejlesztése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B61DAE" w:rsidRDefault="00B61DAE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B61DA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</w:tr>
      <w:tr w:rsidR="00B61DAE" w:rsidRPr="00F6127F" w:rsidTr="00F6127F">
        <w:trPr>
          <w:trHeight w:val="259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DAE" w:rsidRPr="00F6127F" w:rsidRDefault="009D73C0" w:rsidP="00B61D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Összesen tervezett növekedés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DAE" w:rsidRPr="00F6127F" w:rsidRDefault="009D73C0" w:rsidP="00B61D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45</w:t>
            </w:r>
          </w:p>
        </w:tc>
      </w:tr>
    </w:tbl>
    <w:p w:rsidR="00B61DAE" w:rsidRDefault="00B61DAE" w:rsidP="00AE4FFC">
      <w:pPr>
        <w:rPr>
          <w:rFonts w:cs="Arial"/>
        </w:rPr>
      </w:pPr>
    </w:p>
    <w:p w:rsidR="00CA27C2" w:rsidRPr="00395765" w:rsidRDefault="00CA27C2" w:rsidP="00CA27C2">
      <w:pPr>
        <w:spacing w:before="120"/>
        <w:rPr>
          <w:rFonts w:cs="Arial"/>
        </w:rPr>
      </w:pPr>
      <w:r w:rsidRPr="00CA27C2">
        <w:rPr>
          <w:rFonts w:cs="Arial"/>
        </w:rPr>
        <w:t>A személyi jellegű ráfordítások az üzemi/üzleti hozamok 4,3 %-át fedik le, és az üzemi/ üzleti ráfordításokon belül 4,3 %-ot képviselnek.</w:t>
      </w:r>
      <w:r w:rsidRPr="00395765">
        <w:rPr>
          <w:rFonts w:cs="Arial"/>
        </w:rPr>
        <w:t xml:space="preserve"> </w:t>
      </w:r>
      <w:r w:rsidR="00D432EE">
        <w:rPr>
          <w:rFonts w:cs="Arial"/>
        </w:rPr>
        <w:t>A BKK saját költséghez (</w:t>
      </w:r>
      <w:r w:rsidR="00B446C0">
        <w:rPr>
          <w:rFonts w:cs="Arial"/>
        </w:rPr>
        <w:t>33 768</w:t>
      </w:r>
      <w:r w:rsidR="00D432EE">
        <w:rPr>
          <w:rFonts w:cs="Arial"/>
        </w:rPr>
        <w:t xml:space="preserve"> M Ft</w:t>
      </w:r>
      <w:r w:rsidR="00B446C0">
        <w:rPr>
          <w:rFonts w:cs="Arial"/>
        </w:rPr>
        <w:t>*</w:t>
      </w:r>
      <w:r w:rsidR="00D432EE">
        <w:rPr>
          <w:rFonts w:cs="Arial"/>
        </w:rPr>
        <w:t xml:space="preserve">) viszonyítva a személyi jellegű ráfordítások </w:t>
      </w:r>
      <w:r w:rsidR="00B446C0">
        <w:rPr>
          <w:rFonts w:cs="Arial"/>
        </w:rPr>
        <w:t>34,8</w:t>
      </w:r>
      <w:r w:rsidR="00D432EE">
        <w:rPr>
          <w:rFonts w:cs="Arial"/>
        </w:rPr>
        <w:t>%-ot képviselnek.</w:t>
      </w:r>
    </w:p>
    <w:p w:rsidR="00CA27C2" w:rsidRPr="00B446C0" w:rsidRDefault="00B446C0" w:rsidP="00AE4FFC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>*</w:t>
      </w:r>
      <w:r w:rsidRPr="00B446C0">
        <w:rPr>
          <w:rFonts w:cs="Arial"/>
          <w:i/>
          <w:sz w:val="20"/>
        </w:rPr>
        <w:t xml:space="preserve">(Az adózás szintig felmerült összes ráfordítás csökkentve a közvetített szolgáltatások és </w:t>
      </w:r>
      <w:proofErr w:type="spellStart"/>
      <w:r w:rsidRPr="00B446C0">
        <w:rPr>
          <w:rFonts w:cs="Arial"/>
          <w:i/>
          <w:sz w:val="20"/>
        </w:rPr>
        <w:t>elábé</w:t>
      </w:r>
      <w:proofErr w:type="spellEnd"/>
      <w:r w:rsidRPr="00B446C0">
        <w:rPr>
          <w:rFonts w:cs="Arial"/>
          <w:i/>
          <w:sz w:val="20"/>
        </w:rPr>
        <w:t xml:space="preserve"> értékével valamint az igénybe vett szolgáltatások</w:t>
      </w:r>
      <w:r>
        <w:rPr>
          <w:rFonts w:cs="Arial"/>
          <w:i/>
          <w:sz w:val="20"/>
        </w:rPr>
        <w:t>nál</w:t>
      </w:r>
      <w:r w:rsidRPr="00B446C0">
        <w:rPr>
          <w:rFonts w:cs="Arial"/>
          <w:i/>
          <w:sz w:val="20"/>
        </w:rPr>
        <w:t xml:space="preserve"> bemutatott támogatási összeggel:</w:t>
      </w:r>
    </w:p>
    <w:p w:rsidR="00B446C0" w:rsidRPr="00B446C0" w:rsidRDefault="00B446C0" w:rsidP="00AE4FFC">
      <w:pPr>
        <w:rPr>
          <w:rFonts w:cs="Arial"/>
          <w:i/>
          <w:sz w:val="20"/>
        </w:rPr>
      </w:pPr>
      <w:r w:rsidRPr="00B446C0">
        <w:rPr>
          <w:rFonts w:cs="Arial"/>
          <w:i/>
          <w:sz w:val="20"/>
        </w:rPr>
        <w:t xml:space="preserve">273 906 944 </w:t>
      </w:r>
      <w:proofErr w:type="spellStart"/>
      <w:r w:rsidRPr="00B446C0">
        <w:rPr>
          <w:rFonts w:cs="Arial"/>
          <w:i/>
          <w:sz w:val="20"/>
        </w:rPr>
        <w:t>eFt</w:t>
      </w:r>
      <w:proofErr w:type="spellEnd"/>
      <w:r w:rsidRPr="00B446C0">
        <w:rPr>
          <w:rFonts w:cs="Arial"/>
          <w:i/>
          <w:sz w:val="20"/>
        </w:rPr>
        <w:t xml:space="preserve"> – 33 680 </w:t>
      </w:r>
      <w:proofErr w:type="spellStart"/>
      <w:r w:rsidRPr="00B446C0">
        <w:rPr>
          <w:rFonts w:cs="Arial"/>
          <w:i/>
          <w:sz w:val="20"/>
        </w:rPr>
        <w:t>eFt</w:t>
      </w:r>
      <w:proofErr w:type="spellEnd"/>
      <w:r w:rsidRPr="00B446C0">
        <w:rPr>
          <w:rFonts w:cs="Arial"/>
          <w:i/>
          <w:sz w:val="20"/>
        </w:rPr>
        <w:t xml:space="preserve"> – 175 472 039 </w:t>
      </w:r>
      <w:proofErr w:type="spellStart"/>
      <w:r w:rsidRPr="00B446C0">
        <w:rPr>
          <w:rFonts w:cs="Arial"/>
          <w:i/>
          <w:sz w:val="20"/>
        </w:rPr>
        <w:t>eFt</w:t>
      </w:r>
      <w:proofErr w:type="spellEnd"/>
      <w:r w:rsidRPr="00B446C0">
        <w:rPr>
          <w:rFonts w:cs="Arial"/>
          <w:i/>
          <w:sz w:val="20"/>
        </w:rPr>
        <w:t xml:space="preserve"> – 66 633 058 </w:t>
      </w:r>
      <w:proofErr w:type="spellStart"/>
      <w:r w:rsidRPr="00B446C0">
        <w:rPr>
          <w:rFonts w:cs="Arial"/>
          <w:i/>
          <w:sz w:val="20"/>
        </w:rPr>
        <w:t>eFt</w:t>
      </w:r>
      <w:proofErr w:type="spellEnd"/>
      <w:r w:rsidRPr="00B446C0">
        <w:rPr>
          <w:rFonts w:cs="Arial"/>
          <w:i/>
          <w:sz w:val="20"/>
        </w:rPr>
        <w:t xml:space="preserve"> = 33 768 166 </w:t>
      </w:r>
      <w:proofErr w:type="spellStart"/>
      <w:r w:rsidRPr="00B446C0">
        <w:rPr>
          <w:rFonts w:cs="Arial"/>
          <w:i/>
          <w:sz w:val="20"/>
        </w:rPr>
        <w:t>eFt</w:t>
      </w:r>
      <w:proofErr w:type="spellEnd"/>
      <w:r w:rsidRPr="00B446C0">
        <w:rPr>
          <w:rFonts w:cs="Arial"/>
          <w:i/>
          <w:sz w:val="20"/>
        </w:rPr>
        <w:t>)</w:t>
      </w:r>
    </w:p>
    <w:p w:rsidR="001F1EF4" w:rsidRDefault="001F1EF4" w:rsidP="00AE4FFC">
      <w:pPr>
        <w:rPr>
          <w:rFonts w:cs="Arial"/>
        </w:rPr>
      </w:pPr>
    </w:p>
    <w:p w:rsidR="000A37E9" w:rsidRDefault="000A37E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CA27C2" w:rsidRDefault="00CA27C2" w:rsidP="00AE4FFC">
      <w:pPr>
        <w:rPr>
          <w:rFonts w:cs="Arial"/>
        </w:rPr>
      </w:pPr>
    </w:p>
    <w:p w:rsidR="00AB05A3" w:rsidRPr="00FA1A59" w:rsidRDefault="003449BE" w:rsidP="003449BE">
      <w:pPr>
        <w:rPr>
          <w:rFonts w:cs="Arial"/>
          <w:b/>
        </w:rPr>
      </w:pPr>
      <w:r w:rsidRPr="00FA1A59">
        <w:rPr>
          <w:rFonts w:cs="Arial"/>
          <w:b/>
        </w:rPr>
        <w:t>M</w:t>
      </w:r>
      <w:r w:rsidR="008244CB" w:rsidRPr="00FA1A59">
        <w:rPr>
          <w:rFonts w:cs="Arial"/>
          <w:b/>
        </w:rPr>
        <w:t>érleg</w:t>
      </w:r>
    </w:p>
    <w:p w:rsidR="00B44B08" w:rsidRPr="00FA1A59" w:rsidRDefault="00B44B08" w:rsidP="00A85221">
      <w:pPr>
        <w:rPr>
          <w:rFonts w:cs="Arial"/>
          <w:bCs/>
        </w:rPr>
      </w:pPr>
    </w:p>
    <w:tbl>
      <w:tblPr>
        <w:tblW w:w="942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84"/>
        <w:gridCol w:w="1182"/>
        <w:gridCol w:w="1227"/>
        <w:gridCol w:w="1276"/>
        <w:gridCol w:w="751"/>
        <w:gridCol w:w="850"/>
        <w:gridCol w:w="852"/>
      </w:tblGrid>
      <w:tr w:rsidR="004D2C61" w:rsidRPr="00D44518" w:rsidTr="00525DEE">
        <w:trPr>
          <w:trHeight w:val="315"/>
        </w:trPr>
        <w:tc>
          <w:tcPr>
            <w:tcW w:w="3284" w:type="dxa"/>
            <w:vMerge w:val="restart"/>
            <w:shd w:val="clear" w:color="auto" w:fill="auto"/>
            <w:noWrap/>
            <w:vAlign w:val="center"/>
            <w:hideMark/>
          </w:tcPr>
          <w:p w:rsidR="004D2C61" w:rsidRPr="00D44518" w:rsidRDefault="002D5880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BKK</w:t>
            </w:r>
            <w:r w:rsidR="00525DEE">
              <w:rPr>
                <w:rFonts w:cs="Arial"/>
                <w:color w:val="000000"/>
                <w:sz w:val="18"/>
                <w:szCs w:val="18"/>
              </w:rPr>
              <w:t xml:space="preserve"> - mérlegterv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D2C61" w:rsidRPr="00D44518" w:rsidRDefault="004D2C61" w:rsidP="00525D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D2C61" w:rsidRPr="00D44518" w:rsidRDefault="004D2C61" w:rsidP="00525DE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027" w:type="dxa"/>
            <w:gridSpan w:val="2"/>
            <w:shd w:val="clear" w:color="auto" w:fill="auto"/>
            <w:noWrap/>
            <w:vAlign w:val="center"/>
            <w:hideMark/>
          </w:tcPr>
          <w:p w:rsidR="004D2C61" w:rsidRPr="00D44518" w:rsidRDefault="004D2C61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Változás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4D2C61" w:rsidRPr="00D44518" w:rsidRDefault="004D2C61" w:rsidP="00D55D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>Megoszlás</w:t>
            </w:r>
          </w:p>
        </w:tc>
      </w:tr>
      <w:tr w:rsidR="00973C09" w:rsidRPr="00D44518" w:rsidTr="00525DEE">
        <w:trPr>
          <w:trHeight w:val="300"/>
        </w:trPr>
        <w:tc>
          <w:tcPr>
            <w:tcW w:w="328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973C09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525DEE" w:rsidP="00D445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tény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525DEE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terv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4D2C61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ezer Ft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4D2C61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973C09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>2014. év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09" w:rsidRPr="00D44518" w:rsidRDefault="00973C09" w:rsidP="00A325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>2015. év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>A. BEFEKTETETT ESZKÖZÖK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59 046 324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146 241 901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87 195 577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247,7%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62,8%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86,5%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>B. FORGÓESZKÖZÖK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24 932 234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19 205 509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-5 726 725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77,0%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26,5%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11,4%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>C. Aktív időbeli elhatárolások</w:t>
            </w:r>
          </w:p>
        </w:tc>
        <w:tc>
          <w:tcPr>
            <w:tcW w:w="118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10 042 942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3 607 079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-6 435 863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35,9%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2,1%</w:t>
            </w:r>
          </w:p>
        </w:tc>
      </w:tr>
      <w:tr w:rsidR="001C7613" w:rsidRPr="00D44518" w:rsidTr="001C7613">
        <w:trPr>
          <w:trHeight w:val="315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482F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 xml:space="preserve">ESZKÖZÖK (AKTÍVÁK)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94 021 500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169 054 489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75 032 989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179,8%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100,0%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>D. SAJÁT TŐKE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4 723 503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4 782 723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59 220</w:t>
            </w:r>
          </w:p>
        </w:tc>
        <w:tc>
          <w:tcPr>
            <w:tcW w:w="7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101,3%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2,8%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D44518">
              <w:rPr>
                <w:rFonts w:cs="Arial"/>
                <w:color w:val="000000"/>
                <w:sz w:val="18"/>
                <w:szCs w:val="18"/>
              </w:rPr>
              <w:t>I.   Jegyzett</w:t>
            </w:r>
            <w:proofErr w:type="gramEnd"/>
            <w:r w:rsidRPr="00D44518">
              <w:rPr>
                <w:rFonts w:cs="Arial"/>
                <w:color w:val="000000"/>
                <w:sz w:val="18"/>
                <w:szCs w:val="18"/>
              </w:rPr>
              <w:t xml:space="preserve"> tőke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1 801 000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1 801 000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 xml:space="preserve">        III. Tőketartalék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2 424 491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2 424 491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1,4%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 xml:space="preserve">        IV. Eredménytartalék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346 758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493 599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146 841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142,3%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0,3%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0A69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    </w:t>
            </w:r>
            <w:proofErr w:type="gramStart"/>
            <w:r w:rsidRPr="00D44518">
              <w:rPr>
                <w:rFonts w:cs="Arial"/>
                <w:color w:val="000000"/>
                <w:sz w:val="18"/>
                <w:szCs w:val="18"/>
              </w:rPr>
              <w:t xml:space="preserve">V.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Lekötött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tartalék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 xml:space="preserve">        VII. Mérleg szerinti eredmény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150 467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62 846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-87 621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41,8%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>E. CÉLTARTALÉKOK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47 301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35 700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-11 601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75,5%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>F. KÖTELEZETTSÉGEK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25 129 997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35 459 910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10 329 913</w:t>
            </w:r>
          </w:p>
        </w:tc>
        <w:tc>
          <w:tcPr>
            <w:tcW w:w="7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141,1%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21,0%</w:t>
            </w:r>
          </w:p>
        </w:tc>
      </w:tr>
      <w:tr w:rsidR="001C7613" w:rsidRPr="00D44518" w:rsidTr="001C7613">
        <w:trPr>
          <w:trHeight w:val="300"/>
        </w:trPr>
        <w:tc>
          <w:tcPr>
            <w:tcW w:w="32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color w:val="000000"/>
                <w:sz w:val="18"/>
                <w:szCs w:val="18"/>
              </w:rPr>
              <w:t>G. Passzív időbeli elhatárolások</w:t>
            </w:r>
          </w:p>
        </w:tc>
        <w:tc>
          <w:tcPr>
            <w:tcW w:w="118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64 120 699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128 776 156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64 655 457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200,8%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76,2%</w:t>
            </w:r>
          </w:p>
        </w:tc>
      </w:tr>
      <w:tr w:rsidR="001C7613" w:rsidRPr="00D44518" w:rsidTr="001C7613">
        <w:trPr>
          <w:trHeight w:val="315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Pr="00D44518" w:rsidRDefault="001C7613" w:rsidP="00A3259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44518">
              <w:rPr>
                <w:rFonts w:cs="Arial"/>
                <w:bCs/>
                <w:color w:val="000000"/>
                <w:sz w:val="18"/>
                <w:szCs w:val="18"/>
              </w:rPr>
              <w:t xml:space="preserve">FORRÁSOK (PASSZÍVÁK)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94 021 500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169 054 489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75 032 989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179,8%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13" w:rsidRDefault="001C7613" w:rsidP="001C761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3C44E3" w:rsidRPr="00FA1A59" w:rsidRDefault="003C44E3" w:rsidP="00A85221">
      <w:pPr>
        <w:rPr>
          <w:rFonts w:cs="Arial"/>
          <w:bCs/>
        </w:rPr>
      </w:pPr>
    </w:p>
    <w:p w:rsidR="00F75E84" w:rsidRDefault="00220BEF" w:rsidP="00D55D7B">
      <w:pPr>
        <w:pStyle w:val="Listaszerbekezds"/>
        <w:overflowPunct/>
        <w:autoSpaceDE/>
        <w:autoSpaceDN/>
        <w:adjustRightInd/>
        <w:ind w:left="0"/>
        <w:textAlignment w:val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 mérlegfőösszeg</w:t>
      </w:r>
      <w:r w:rsidR="002F2981" w:rsidRPr="00FA1A59">
        <w:rPr>
          <w:rFonts w:cs="Arial"/>
          <w:bCs/>
          <w:szCs w:val="22"/>
        </w:rPr>
        <w:t xml:space="preserve"> 201</w:t>
      </w:r>
      <w:r>
        <w:rPr>
          <w:rFonts w:cs="Arial"/>
          <w:bCs/>
          <w:szCs w:val="22"/>
        </w:rPr>
        <w:t>5. év végé</w:t>
      </w:r>
      <w:r w:rsidR="00F75E84">
        <w:rPr>
          <w:rFonts w:cs="Arial"/>
          <w:bCs/>
          <w:szCs w:val="22"/>
        </w:rPr>
        <w:t xml:space="preserve">re </w:t>
      </w:r>
      <w:r w:rsidR="007127A5">
        <w:rPr>
          <w:rFonts w:cs="Arial"/>
          <w:bCs/>
          <w:szCs w:val="22"/>
        </w:rPr>
        <w:t>majd</w:t>
      </w:r>
      <w:r w:rsidR="00F75E84">
        <w:rPr>
          <w:rFonts w:cs="Arial"/>
          <w:bCs/>
          <w:szCs w:val="22"/>
        </w:rPr>
        <w:t xml:space="preserve"> </w:t>
      </w:r>
      <w:r w:rsidR="00372BA2">
        <w:rPr>
          <w:rFonts w:cs="Arial"/>
          <w:bCs/>
          <w:szCs w:val="22"/>
        </w:rPr>
        <w:t>kétszeresére</w:t>
      </w:r>
      <w:r w:rsidR="00F75E84">
        <w:rPr>
          <w:rFonts w:cs="Arial"/>
          <w:bCs/>
          <w:szCs w:val="22"/>
        </w:rPr>
        <w:t xml:space="preserve"> növekszik</w:t>
      </w:r>
      <w:r w:rsidR="000C4D96">
        <w:rPr>
          <w:rFonts w:cs="Arial"/>
          <w:bCs/>
          <w:szCs w:val="22"/>
        </w:rPr>
        <w:t>. A</w:t>
      </w:r>
      <w:r w:rsidR="00F75E84">
        <w:rPr>
          <w:rFonts w:cs="Arial"/>
          <w:bCs/>
          <w:szCs w:val="22"/>
        </w:rPr>
        <w:t>z eszköz oldalon növ</w:t>
      </w:r>
      <w:r w:rsidR="007127A5">
        <w:rPr>
          <w:rFonts w:cs="Arial"/>
          <w:bCs/>
          <w:szCs w:val="22"/>
        </w:rPr>
        <w:t>ekednek a befektetett eszközök, ezzel szemben a</w:t>
      </w:r>
      <w:r w:rsidR="00F75E84">
        <w:rPr>
          <w:rFonts w:cs="Arial"/>
          <w:bCs/>
          <w:szCs w:val="22"/>
        </w:rPr>
        <w:t xml:space="preserve"> </w:t>
      </w:r>
      <w:r w:rsidR="007127A5">
        <w:rPr>
          <w:rFonts w:cs="Arial"/>
          <w:bCs/>
          <w:szCs w:val="22"/>
        </w:rPr>
        <w:t>forrás oldalon a halasztott bevételek, melynek indoka a jelentős projekt tevékenység.</w:t>
      </w:r>
    </w:p>
    <w:p w:rsidR="00032808" w:rsidRDefault="00032808" w:rsidP="00D55D7B">
      <w:pPr>
        <w:pStyle w:val="Listaszerbekezds"/>
        <w:overflowPunct/>
        <w:autoSpaceDE/>
        <w:autoSpaceDN/>
        <w:adjustRightInd/>
        <w:ind w:left="0"/>
        <w:textAlignment w:val="auto"/>
        <w:rPr>
          <w:rFonts w:cs="Arial"/>
          <w:bCs/>
          <w:szCs w:val="22"/>
        </w:rPr>
      </w:pPr>
    </w:p>
    <w:p w:rsidR="00032808" w:rsidRDefault="00032808" w:rsidP="00032808">
      <w:pPr>
        <w:rPr>
          <w:rFonts w:eastAsiaTheme="minorHAnsi" w:cs="Arial"/>
          <w:lang w:eastAsia="en-US"/>
        </w:rPr>
      </w:pPr>
      <w:r w:rsidRPr="00E42C19">
        <w:rPr>
          <w:rFonts w:eastAsiaTheme="minorHAnsi" w:cs="Arial"/>
          <w:lang w:eastAsia="en-US"/>
        </w:rPr>
        <w:t xml:space="preserve">Az eszközállományon belül </w:t>
      </w:r>
      <w:r>
        <w:rPr>
          <w:rFonts w:eastAsiaTheme="minorHAnsi" w:cs="Arial"/>
          <w:lang w:eastAsia="en-US"/>
        </w:rPr>
        <w:t xml:space="preserve">a </w:t>
      </w:r>
      <w:r w:rsidRPr="003B19CB">
        <w:rPr>
          <w:rFonts w:eastAsiaTheme="minorHAnsi" w:cs="Arial"/>
          <w:u w:val="single"/>
          <w:lang w:eastAsia="en-US"/>
        </w:rPr>
        <w:t>befektetett eszközök</w:t>
      </w:r>
      <w:r>
        <w:rPr>
          <w:rFonts w:eastAsiaTheme="minorHAnsi" w:cs="Arial"/>
          <w:lang w:eastAsia="en-US"/>
        </w:rPr>
        <w:t xml:space="preserve"> egyre nagyobb arányt képviselnek: a 2015-re tervezetten az összes eszköz 86,5%-át teszik ki. A befektetett eszközökön belül a tárgyi eszközök </w:t>
      </w:r>
      <w:r w:rsidR="008760FE">
        <w:rPr>
          <w:rFonts w:eastAsiaTheme="minorHAnsi" w:cs="Arial"/>
          <w:lang w:eastAsia="en-US"/>
        </w:rPr>
        <w:t>89</w:t>
      </w:r>
      <w:r>
        <w:rPr>
          <w:rFonts w:eastAsiaTheme="minorHAnsi" w:cs="Arial"/>
          <w:lang w:eastAsia="en-US"/>
        </w:rPr>
        <w:t>,2%-ot tesznek ki a következő összetételben:</w:t>
      </w:r>
    </w:p>
    <w:p w:rsidR="00032808" w:rsidRDefault="00032808" w:rsidP="00D55D7B">
      <w:pPr>
        <w:pStyle w:val="Listaszerbekezds"/>
        <w:overflowPunct/>
        <w:autoSpaceDE/>
        <w:autoSpaceDN/>
        <w:adjustRightInd/>
        <w:ind w:left="0"/>
        <w:textAlignment w:val="auto"/>
        <w:rPr>
          <w:rFonts w:cs="Arial"/>
          <w:bCs/>
          <w:szCs w:val="22"/>
        </w:rPr>
      </w:pPr>
    </w:p>
    <w:tbl>
      <w:tblPr>
        <w:tblW w:w="85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92"/>
        <w:gridCol w:w="1248"/>
        <w:gridCol w:w="1141"/>
        <w:gridCol w:w="1094"/>
        <w:gridCol w:w="951"/>
        <w:gridCol w:w="834"/>
        <w:gridCol w:w="834"/>
      </w:tblGrid>
      <w:tr w:rsidR="00032808" w:rsidRPr="00032808" w:rsidTr="00032808">
        <w:trPr>
          <w:trHeight w:val="300"/>
        </w:trPr>
        <w:tc>
          <w:tcPr>
            <w:tcW w:w="2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032808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032808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Változás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Megoszlás</w:t>
            </w:r>
          </w:p>
        </w:tc>
      </w:tr>
      <w:tr w:rsidR="00032808" w:rsidRPr="00032808" w:rsidTr="00032808">
        <w:trPr>
          <w:trHeight w:val="300"/>
        </w:trPr>
        <w:tc>
          <w:tcPr>
            <w:tcW w:w="24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tény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terv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ezer Ft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8760FE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032808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808" w:rsidRPr="00032808" w:rsidRDefault="00032808" w:rsidP="00032808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color w:val="000000"/>
                <w:sz w:val="16"/>
                <w:szCs w:val="16"/>
              </w:rPr>
              <w:t>2015</w:t>
            </w:r>
          </w:p>
        </w:tc>
      </w:tr>
      <w:tr w:rsidR="00A548D2" w:rsidRPr="00032808" w:rsidTr="00A548D2">
        <w:trPr>
          <w:trHeight w:val="300"/>
        </w:trPr>
        <w:tc>
          <w:tcPr>
            <w:tcW w:w="2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032808" w:rsidRDefault="00A548D2" w:rsidP="008760F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color w:val="000000"/>
                <w:sz w:val="16"/>
                <w:szCs w:val="16"/>
              </w:rPr>
              <w:t>Ingatlanok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772 765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58 971 872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58 199 107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7631,3%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1,4%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45,2%</w:t>
            </w:r>
          </w:p>
        </w:tc>
      </w:tr>
      <w:tr w:rsidR="00A548D2" w:rsidRPr="00032808" w:rsidTr="00A548D2">
        <w:trPr>
          <w:trHeight w:val="300"/>
        </w:trPr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032808" w:rsidRDefault="00A548D2" w:rsidP="008760F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color w:val="000000"/>
                <w:sz w:val="16"/>
                <w:szCs w:val="16"/>
              </w:rPr>
              <w:t>Műszaki berendezések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2 606 263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4 773 043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2 166 780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183,1%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4,8%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3,7%</w:t>
            </w:r>
          </w:p>
        </w:tc>
      </w:tr>
      <w:tr w:rsidR="00A548D2" w:rsidRPr="00032808" w:rsidTr="00A548D2">
        <w:trPr>
          <w:trHeight w:val="300"/>
        </w:trPr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032808" w:rsidRDefault="00A548D2" w:rsidP="008760F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color w:val="000000"/>
                <w:sz w:val="16"/>
                <w:szCs w:val="16"/>
              </w:rPr>
              <w:t>Egyéb berendezések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433 537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24 813 419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24 379 882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5723,5%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0,8%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19,0%</w:t>
            </w:r>
          </w:p>
        </w:tc>
      </w:tr>
      <w:tr w:rsidR="00A548D2" w:rsidRPr="00032808" w:rsidTr="00A548D2">
        <w:trPr>
          <w:trHeight w:val="300"/>
        </w:trPr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032808" w:rsidRDefault="00A548D2" w:rsidP="008760F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41 253 014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30 161 310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-11 091 704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73,1%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76,6%</w:t>
            </w: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23,1%</w:t>
            </w:r>
          </w:p>
        </w:tc>
      </w:tr>
      <w:tr w:rsidR="00A548D2" w:rsidRPr="00032808" w:rsidTr="00A548D2">
        <w:trPr>
          <w:trHeight w:val="300"/>
        </w:trPr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032808" w:rsidRDefault="00A548D2" w:rsidP="008760F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color w:val="000000"/>
                <w:sz w:val="16"/>
                <w:szCs w:val="16"/>
              </w:rPr>
              <w:t>Beruházásokra adott előleg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8 804 107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11 741 028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2 936 921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133,4%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16,3%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color w:val="000000"/>
                <w:sz w:val="16"/>
                <w:szCs w:val="16"/>
              </w:rPr>
              <w:t>9,0%</w:t>
            </w:r>
          </w:p>
        </w:tc>
      </w:tr>
      <w:tr w:rsidR="00A548D2" w:rsidRPr="00032808" w:rsidTr="00A548D2">
        <w:trPr>
          <w:trHeight w:val="300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032808" w:rsidRDefault="00A548D2" w:rsidP="008760FE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32808">
              <w:rPr>
                <w:rFonts w:cs="Arial"/>
                <w:b/>
                <w:bCs/>
                <w:color w:val="000000"/>
                <w:sz w:val="16"/>
                <w:szCs w:val="16"/>
              </w:rPr>
              <w:t>Tárgyi eszközök összesen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b/>
                <w:bCs/>
                <w:color w:val="000000"/>
                <w:sz w:val="16"/>
                <w:szCs w:val="16"/>
              </w:rPr>
              <w:t>53 869 686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b/>
                <w:bCs/>
                <w:color w:val="000000"/>
                <w:sz w:val="16"/>
                <w:szCs w:val="16"/>
              </w:rPr>
              <w:t>130 460 672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b/>
                <w:bCs/>
                <w:color w:val="000000"/>
                <w:sz w:val="16"/>
                <w:szCs w:val="16"/>
              </w:rPr>
              <w:t>76 590 986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b/>
                <w:bCs/>
                <w:color w:val="000000"/>
                <w:sz w:val="16"/>
                <w:szCs w:val="16"/>
              </w:rPr>
              <w:t>242,2%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D2" w:rsidRPr="00A548D2" w:rsidRDefault="00A548D2" w:rsidP="00A548D2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48D2">
              <w:rPr>
                <w:rFonts w:cs="Arial"/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</w:tbl>
    <w:p w:rsidR="00032808" w:rsidRDefault="00032808" w:rsidP="00D55D7B">
      <w:pPr>
        <w:pStyle w:val="Listaszerbekezds"/>
        <w:overflowPunct/>
        <w:autoSpaceDE/>
        <w:autoSpaceDN/>
        <w:adjustRightInd/>
        <w:ind w:left="0"/>
        <w:textAlignment w:val="auto"/>
        <w:rPr>
          <w:rFonts w:cs="Arial"/>
          <w:bCs/>
          <w:szCs w:val="22"/>
        </w:rPr>
      </w:pPr>
    </w:p>
    <w:p w:rsidR="00032808" w:rsidRDefault="00032808" w:rsidP="008700BD"/>
    <w:p w:rsidR="008700BD" w:rsidRDefault="008700BD" w:rsidP="008700BD">
      <w:pPr>
        <w:rPr>
          <w:b/>
        </w:rPr>
      </w:pPr>
      <w:r w:rsidRPr="001D6C82">
        <w:rPr>
          <w:b/>
        </w:rPr>
        <w:t>Forrás oldal</w:t>
      </w:r>
    </w:p>
    <w:p w:rsidR="008700BD" w:rsidRPr="001D6C82" w:rsidRDefault="008700BD" w:rsidP="008700BD">
      <w:pPr>
        <w:rPr>
          <w:b/>
        </w:rPr>
      </w:pPr>
    </w:p>
    <w:p w:rsidR="008700BD" w:rsidRPr="001D6C82" w:rsidRDefault="008700BD" w:rsidP="008700BD">
      <w:r w:rsidRPr="001D6C82">
        <w:t xml:space="preserve">A mérlegfőösszeg </w:t>
      </w:r>
      <w:r>
        <w:t>2</w:t>
      </w:r>
      <w:r w:rsidRPr="001D6C82">
        <w:t>,8%-át teszi ki a saját tőke 4 </w:t>
      </w:r>
      <w:r>
        <w:t>782</w:t>
      </w:r>
      <w:r w:rsidRPr="001D6C82">
        <w:t>,</w:t>
      </w:r>
      <w:r>
        <w:t>7</w:t>
      </w:r>
      <w:r w:rsidRPr="001D6C82">
        <w:t> M </w:t>
      </w:r>
      <w:r>
        <w:t>Ft-tal.</w:t>
      </w:r>
    </w:p>
    <w:p w:rsidR="008700BD" w:rsidRDefault="008700BD" w:rsidP="008700BD"/>
    <w:p w:rsidR="008700BD" w:rsidRPr="001D6C82" w:rsidRDefault="008700BD" w:rsidP="008700BD">
      <w:pPr>
        <w:rPr>
          <w:noProof/>
        </w:rPr>
      </w:pPr>
      <w:r w:rsidRPr="00EB76BB">
        <w:rPr>
          <w:b/>
          <w:noProof/>
        </w:rPr>
        <w:t>Hosszú lejáratú kötelezettségek</w:t>
      </w:r>
      <w:r w:rsidRPr="001D6C82">
        <w:rPr>
          <w:noProof/>
        </w:rPr>
        <w:t xml:space="preserve"> </w:t>
      </w:r>
      <w:r>
        <w:rPr>
          <w:noProof/>
        </w:rPr>
        <w:t>143</w:t>
      </w:r>
      <w:r w:rsidRPr="001D6C82">
        <w:rPr>
          <w:noProof/>
        </w:rPr>
        <w:t xml:space="preserve"> M Ft-ról </w:t>
      </w:r>
      <w:r>
        <w:rPr>
          <w:noProof/>
        </w:rPr>
        <w:t>5 972</w:t>
      </w:r>
      <w:r w:rsidRPr="001D6C82">
        <w:rPr>
          <w:noProof/>
        </w:rPr>
        <w:t> M Ft-ra növekednek 201</w:t>
      </w:r>
      <w:r>
        <w:rPr>
          <w:noProof/>
        </w:rPr>
        <w:t>5-re az elektronikus jegyrendszerhez kapcsolódóan aláírt hitelszerződésből történő lehívások következtében.</w:t>
      </w:r>
      <w:r w:rsidRPr="001D6C82">
        <w:rPr>
          <w:noProof/>
        </w:rPr>
        <w:t xml:space="preserve"> </w:t>
      </w:r>
    </w:p>
    <w:p w:rsidR="008700BD" w:rsidRDefault="008700BD" w:rsidP="008700BD">
      <w:pPr>
        <w:rPr>
          <w:noProof/>
        </w:rPr>
      </w:pPr>
    </w:p>
    <w:p w:rsidR="008700BD" w:rsidRPr="001D6C82" w:rsidRDefault="008700BD" w:rsidP="008700BD">
      <w:pPr>
        <w:rPr>
          <w:noProof/>
        </w:rPr>
      </w:pPr>
      <w:r w:rsidRPr="001D6C82">
        <w:rPr>
          <w:noProof/>
        </w:rPr>
        <w:t xml:space="preserve">A </w:t>
      </w:r>
      <w:r w:rsidRPr="00EB76BB">
        <w:rPr>
          <w:b/>
          <w:noProof/>
        </w:rPr>
        <w:t>rövid lejáratú kötelezettségek</w:t>
      </w:r>
      <w:r w:rsidRPr="001D6C82">
        <w:rPr>
          <w:noProof/>
        </w:rPr>
        <w:t xml:space="preserve"> 201</w:t>
      </w:r>
      <w:r>
        <w:rPr>
          <w:noProof/>
        </w:rPr>
        <w:t>4</w:t>
      </w:r>
      <w:r w:rsidRPr="001D6C82">
        <w:rPr>
          <w:noProof/>
        </w:rPr>
        <w:t xml:space="preserve">. évi értéke </w:t>
      </w:r>
      <w:r>
        <w:rPr>
          <w:noProof/>
        </w:rPr>
        <w:t>24 986,6</w:t>
      </w:r>
      <w:r w:rsidRPr="001D6C82">
        <w:rPr>
          <w:noProof/>
        </w:rPr>
        <w:t xml:space="preserve"> M Ft, melynek </w:t>
      </w:r>
      <w:r>
        <w:rPr>
          <w:noProof/>
        </w:rPr>
        <w:t>növekedését</w:t>
      </w:r>
      <w:r w:rsidRPr="001D6C82">
        <w:rPr>
          <w:noProof/>
        </w:rPr>
        <w:t xml:space="preserve"> </w:t>
      </w:r>
      <w:r>
        <w:rPr>
          <w:noProof/>
        </w:rPr>
        <w:t>(+4 501</w:t>
      </w:r>
      <w:r w:rsidRPr="001D6C82">
        <w:rPr>
          <w:noProof/>
        </w:rPr>
        <w:t> M Ft-tal) tervezik 201</w:t>
      </w:r>
      <w:r>
        <w:rPr>
          <w:noProof/>
        </w:rPr>
        <w:t>5</w:t>
      </w:r>
      <w:r w:rsidRPr="001D6C82">
        <w:rPr>
          <w:noProof/>
        </w:rPr>
        <w:t xml:space="preserve">-re </w:t>
      </w:r>
      <w:r>
        <w:rPr>
          <w:noProof/>
        </w:rPr>
        <w:t>29 488</w:t>
      </w:r>
      <w:r w:rsidRPr="001D6C82">
        <w:rPr>
          <w:noProof/>
        </w:rPr>
        <w:t> M Ft záróértékkel. Ezen belül mindkét évben a szállítók képviselik a legnagyobb részarányt: 201</w:t>
      </w:r>
      <w:r>
        <w:rPr>
          <w:noProof/>
        </w:rPr>
        <w:t>5</w:t>
      </w:r>
      <w:r w:rsidRPr="001D6C82">
        <w:rPr>
          <w:noProof/>
        </w:rPr>
        <w:t xml:space="preserve">-ben a rövid lejáratú kötelezettségek </w:t>
      </w:r>
      <w:r>
        <w:rPr>
          <w:noProof/>
        </w:rPr>
        <w:t>82,6</w:t>
      </w:r>
      <w:r w:rsidRPr="001D6C82">
        <w:rPr>
          <w:noProof/>
        </w:rPr>
        <w:t>%</w:t>
      </w:r>
      <w:r>
        <w:rPr>
          <w:noProof/>
        </w:rPr>
        <w:t>-a.</w:t>
      </w:r>
    </w:p>
    <w:p w:rsidR="008700BD" w:rsidRDefault="008700BD" w:rsidP="008700BD">
      <w:pPr>
        <w:rPr>
          <w:noProof/>
        </w:rPr>
      </w:pPr>
    </w:p>
    <w:p w:rsidR="008700BD" w:rsidRDefault="008700BD" w:rsidP="008700BD">
      <w:pPr>
        <w:rPr>
          <w:noProof/>
        </w:rPr>
      </w:pPr>
      <w:r w:rsidRPr="001D6C82">
        <w:rPr>
          <w:noProof/>
        </w:rPr>
        <w:lastRenderedPageBreak/>
        <w:t xml:space="preserve">A forrásszerkezeten belül meghatározó a </w:t>
      </w:r>
      <w:r w:rsidRPr="00EB76BB">
        <w:rPr>
          <w:b/>
          <w:noProof/>
        </w:rPr>
        <w:t>halasztott bevételek</w:t>
      </w:r>
      <w:r w:rsidRPr="001D6C82">
        <w:rPr>
          <w:noProof/>
        </w:rPr>
        <w:t xml:space="preserve"> </w:t>
      </w:r>
      <w:r>
        <w:rPr>
          <w:noProof/>
        </w:rPr>
        <w:t>114 311</w:t>
      </w:r>
      <w:r w:rsidRPr="001D6C82">
        <w:rPr>
          <w:noProof/>
        </w:rPr>
        <w:t xml:space="preserve"> M Ft-ra tervezett értéke, ami a passzív időbeli elhatárolások döntő része (a mérlegfőösszeg </w:t>
      </w:r>
      <w:r>
        <w:rPr>
          <w:noProof/>
        </w:rPr>
        <w:t>67,6</w:t>
      </w:r>
      <w:r w:rsidRPr="001D6C82">
        <w:rPr>
          <w:noProof/>
        </w:rPr>
        <w:t xml:space="preserve">%-a). Ez a bázisnál </w:t>
      </w:r>
      <w:r>
        <w:rPr>
          <w:noProof/>
        </w:rPr>
        <w:t>71 175</w:t>
      </w:r>
      <w:r w:rsidRPr="001D6C82">
        <w:rPr>
          <w:noProof/>
        </w:rPr>
        <w:t> M </w:t>
      </w:r>
      <w:r>
        <w:rPr>
          <w:noProof/>
        </w:rPr>
        <w:t>Ft-tal</w:t>
      </w:r>
      <w:r w:rsidRPr="001D6C82">
        <w:rPr>
          <w:noProof/>
        </w:rPr>
        <w:t xml:space="preserve"> nagyobb értéket mutat.</w:t>
      </w:r>
    </w:p>
    <w:p w:rsidR="00032808" w:rsidRDefault="00032808" w:rsidP="008700BD"/>
    <w:p w:rsidR="00D80858" w:rsidRPr="00FA1A59" w:rsidRDefault="00D80858" w:rsidP="00D80858">
      <w:pPr>
        <w:pStyle w:val="Listaszerbekezds"/>
        <w:keepNext/>
        <w:widowControl w:val="0"/>
        <w:overflowPunct/>
        <w:autoSpaceDE/>
        <w:autoSpaceDN/>
        <w:adjustRightInd/>
        <w:spacing w:line="360" w:lineRule="auto"/>
        <w:ind w:left="0"/>
        <w:textAlignment w:val="auto"/>
        <w:rPr>
          <w:rFonts w:cs="Arial"/>
          <w:b/>
          <w:bCs/>
          <w:szCs w:val="22"/>
        </w:rPr>
      </w:pPr>
      <w:r w:rsidRPr="00FA1A59">
        <w:rPr>
          <w:rFonts w:cs="Arial"/>
          <w:b/>
          <w:bCs/>
          <w:szCs w:val="22"/>
        </w:rPr>
        <w:t>Saját tőke összetétele</w:t>
      </w:r>
    </w:p>
    <w:p w:rsidR="00D80858" w:rsidRPr="00FA1A59" w:rsidRDefault="006716CD" w:rsidP="00A85221">
      <w:pPr>
        <w:rPr>
          <w:rFonts w:cs="Arial"/>
          <w:bCs/>
          <w:szCs w:val="22"/>
        </w:rPr>
      </w:pPr>
      <w:r>
        <w:rPr>
          <w:rFonts w:cs="Arial"/>
          <w:bCs/>
          <w:noProof/>
          <w:szCs w:val="22"/>
        </w:rPr>
        <w:drawing>
          <wp:inline distT="0" distB="0" distL="0" distR="0">
            <wp:extent cx="4819650" cy="3028950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8C" w:rsidRPr="00FA1A59" w:rsidRDefault="003C4F8C" w:rsidP="00E125D7"/>
    <w:p w:rsidR="003C4F8C" w:rsidRPr="00FA1A59" w:rsidRDefault="003C4F8C" w:rsidP="003C4F8C">
      <w:pPr>
        <w:rPr>
          <w:rFonts w:cs="Arial"/>
          <w:b/>
          <w:bCs/>
        </w:rPr>
      </w:pPr>
      <w:r w:rsidRPr="00FA1A59">
        <w:rPr>
          <w:rFonts w:cs="Arial"/>
          <w:b/>
          <w:bCs/>
        </w:rPr>
        <w:t>Beruházási terv</w:t>
      </w:r>
    </w:p>
    <w:p w:rsidR="003C4F8C" w:rsidRPr="00FA1A59" w:rsidRDefault="003C4F8C" w:rsidP="00E125D7"/>
    <w:p w:rsidR="003C4F8C" w:rsidRDefault="003C4F8C" w:rsidP="003C4F8C">
      <w:pPr>
        <w:rPr>
          <w:rFonts w:cs="Arial"/>
          <w:bCs/>
        </w:rPr>
      </w:pPr>
      <w:r w:rsidRPr="00FA1A59">
        <w:rPr>
          <w:rFonts w:cs="Arial"/>
          <w:bCs/>
        </w:rPr>
        <w:t xml:space="preserve">A Társaság saját forrásból </w:t>
      </w:r>
      <w:r w:rsidR="00515318">
        <w:rPr>
          <w:rFonts w:cs="Arial"/>
          <w:bCs/>
        </w:rPr>
        <w:t>410</w:t>
      </w:r>
      <w:r w:rsidR="001326AC">
        <w:rPr>
          <w:rFonts w:cs="Arial"/>
          <w:bCs/>
        </w:rPr>
        <w:t xml:space="preserve"> M</w:t>
      </w:r>
      <w:r w:rsidRPr="00FA1A59">
        <w:rPr>
          <w:rFonts w:cs="Arial"/>
          <w:bCs/>
        </w:rPr>
        <w:t xml:space="preserve"> Ft értékű </w:t>
      </w:r>
      <w:r w:rsidR="008700BD">
        <w:rPr>
          <w:rFonts w:cs="Arial"/>
          <w:bCs/>
        </w:rPr>
        <w:t xml:space="preserve">saját </w:t>
      </w:r>
      <w:r w:rsidRPr="00FA1A59">
        <w:rPr>
          <w:rFonts w:cs="Arial"/>
          <w:bCs/>
        </w:rPr>
        <w:t>beruházást</w:t>
      </w:r>
      <w:r w:rsidRPr="0044238C">
        <w:rPr>
          <w:rFonts w:cs="Arial"/>
          <w:bCs/>
        </w:rPr>
        <w:t xml:space="preserve"> </w:t>
      </w:r>
      <w:r w:rsidRPr="00FA1A59">
        <w:rPr>
          <w:rFonts w:cs="Arial"/>
          <w:bCs/>
        </w:rPr>
        <w:t>tervez</w:t>
      </w:r>
      <w:r>
        <w:rPr>
          <w:rFonts w:cs="Arial"/>
          <w:bCs/>
        </w:rPr>
        <w:t>.</w:t>
      </w:r>
    </w:p>
    <w:p w:rsidR="006D7F8A" w:rsidRDefault="006D7F8A" w:rsidP="003C4F8C">
      <w:pPr>
        <w:rPr>
          <w:rFonts w:cs="Arial"/>
          <w:bCs/>
        </w:rPr>
      </w:pPr>
      <w:r>
        <w:rPr>
          <w:rFonts w:cs="Arial"/>
          <w:bCs/>
        </w:rPr>
        <w:t>Ezen felül a projekt tevékenység keretébe</w:t>
      </w:r>
      <w:r w:rsidR="00691B50">
        <w:rPr>
          <w:rFonts w:cs="Arial"/>
          <w:bCs/>
        </w:rPr>
        <w:t>n különféle támogatási forrásokból (Fővárosi és Európai Uniós) közel 96 Mrd Ft értékű projekt megvalósítása van folyamatban 2015-ben. Ezekről részletes bemutatást nyújt az üzleti terv 1. számú melléklete.</w:t>
      </w:r>
    </w:p>
    <w:p w:rsidR="003C4F8C" w:rsidRPr="00FA1A59" w:rsidRDefault="003C4F8C" w:rsidP="00E125D7"/>
    <w:p w:rsidR="008244CB" w:rsidRPr="00FA1A59" w:rsidRDefault="008244CB" w:rsidP="00E125D7">
      <w:pPr>
        <w:rPr>
          <w:rFonts w:cs="Arial"/>
          <w:b/>
          <w:bCs/>
        </w:rPr>
      </w:pPr>
      <w:r w:rsidRPr="00FA1A59">
        <w:rPr>
          <w:rFonts w:cs="Arial"/>
          <w:b/>
          <w:bCs/>
        </w:rPr>
        <w:t>Likviditási terv</w:t>
      </w:r>
    </w:p>
    <w:p w:rsidR="00D80858" w:rsidRPr="00FA1A59" w:rsidRDefault="00D80858" w:rsidP="00E125D7">
      <w:pPr>
        <w:rPr>
          <w:rFonts w:cs="Arial"/>
          <w:b/>
          <w:bCs/>
        </w:rPr>
      </w:pPr>
    </w:p>
    <w:p w:rsidR="003F2652" w:rsidRDefault="003F2652" w:rsidP="00E125D7">
      <w:pPr>
        <w:rPr>
          <w:szCs w:val="22"/>
        </w:rPr>
      </w:pPr>
      <w:r w:rsidRPr="00267488">
        <w:rPr>
          <w:szCs w:val="22"/>
        </w:rPr>
        <w:t xml:space="preserve">A likviditási terv szerint a Társaságnál nem várható likviditási probléma a kifizetések teljesítése terén. A likviditási </w:t>
      </w:r>
      <w:proofErr w:type="gramStart"/>
      <w:r w:rsidRPr="00267488">
        <w:rPr>
          <w:szCs w:val="22"/>
        </w:rPr>
        <w:t>terv záró</w:t>
      </w:r>
      <w:proofErr w:type="gramEnd"/>
      <w:r w:rsidRPr="00267488">
        <w:rPr>
          <w:szCs w:val="22"/>
        </w:rPr>
        <w:t xml:space="preserve"> pénzkészlete</w:t>
      </w:r>
      <w:r w:rsidR="00C46970">
        <w:rPr>
          <w:szCs w:val="22"/>
        </w:rPr>
        <w:t xml:space="preserve"> (</w:t>
      </w:r>
      <w:r w:rsidR="00A04F9B">
        <w:rPr>
          <w:szCs w:val="22"/>
        </w:rPr>
        <w:t>13 415</w:t>
      </w:r>
      <w:r w:rsidR="00C46970">
        <w:rPr>
          <w:szCs w:val="22"/>
        </w:rPr>
        <w:t xml:space="preserve"> M Ft)</w:t>
      </w:r>
      <w:r w:rsidRPr="00267488">
        <w:rPr>
          <w:szCs w:val="22"/>
        </w:rPr>
        <w:t xml:space="preserve"> megegyezik a mérlegben kimutatott záró pénzkészlettel.</w:t>
      </w:r>
    </w:p>
    <w:p w:rsidR="00E125D7" w:rsidRDefault="00E125D7" w:rsidP="003F2652">
      <w:pPr>
        <w:rPr>
          <w:szCs w:val="22"/>
        </w:rPr>
      </w:pPr>
    </w:p>
    <w:p w:rsidR="00D80858" w:rsidRPr="00FA1A59" w:rsidRDefault="006D7F8A" w:rsidP="00A85221">
      <w:pPr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>
            <wp:extent cx="3429000" cy="2571750"/>
            <wp:effectExtent l="1905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5D7" w:rsidRDefault="00E125D7" w:rsidP="00D80858">
      <w:pPr>
        <w:contextualSpacing/>
        <w:rPr>
          <w:rFonts w:cs="Arial"/>
          <w:sz w:val="16"/>
          <w:szCs w:val="16"/>
        </w:rPr>
      </w:pP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lastRenderedPageBreak/>
        <w:t>Az ábra adatainak értelmezése: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b/>
          <w:sz w:val="16"/>
          <w:szCs w:val="16"/>
        </w:rPr>
        <w:t>A fedezeti tőke tartalma</w:t>
      </w:r>
      <w:r w:rsidRPr="00FA1A59">
        <w:rPr>
          <w:rFonts w:cs="Arial"/>
          <w:sz w:val="16"/>
          <w:szCs w:val="16"/>
        </w:rPr>
        <w:t xml:space="preserve">: 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>Saját tőke + hátrasorolt kötelezettségek + halasztott bevételek (Passzív időbeli elhatárolásból)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b/>
          <w:sz w:val="16"/>
          <w:szCs w:val="16"/>
        </w:rPr>
        <w:t>Folyó források tartalma</w:t>
      </w:r>
      <w:r w:rsidRPr="00FA1A59">
        <w:rPr>
          <w:rFonts w:cs="Arial"/>
          <w:sz w:val="16"/>
          <w:szCs w:val="16"/>
        </w:rPr>
        <w:t>: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 xml:space="preserve">Rövid lejáratú kötelezettségek + céltartalékok + bevételek passzív időbeli elhatárolása + költségek passzív időbeli elhatárolása 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b/>
          <w:sz w:val="16"/>
          <w:szCs w:val="16"/>
        </w:rPr>
        <w:t>Tartós források tartalma</w:t>
      </w:r>
      <w:r w:rsidRPr="00FA1A59">
        <w:rPr>
          <w:rFonts w:cs="Arial"/>
          <w:sz w:val="16"/>
          <w:szCs w:val="16"/>
        </w:rPr>
        <w:t>: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>Fedezeti tőke + hosszú lejáratú kötelezettségek</w:t>
      </w:r>
    </w:p>
    <w:p w:rsidR="00D80858" w:rsidRPr="00FA1A59" w:rsidRDefault="00D80858" w:rsidP="00D80858">
      <w:pPr>
        <w:contextualSpacing/>
        <w:rPr>
          <w:rFonts w:cs="Arial"/>
          <w:b/>
          <w:sz w:val="16"/>
          <w:szCs w:val="16"/>
        </w:rPr>
      </w:pPr>
      <w:r w:rsidRPr="00FA1A59">
        <w:rPr>
          <w:rFonts w:cs="Arial"/>
          <w:b/>
          <w:sz w:val="16"/>
          <w:szCs w:val="16"/>
        </w:rPr>
        <w:t>Forgóeszközök tartalma: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>Forgóeszközök + aktív időbeli elhatárolások</w:t>
      </w:r>
    </w:p>
    <w:p w:rsidR="00D80858" w:rsidRPr="00FA1A59" w:rsidRDefault="00D80858" w:rsidP="00D80858">
      <w:pPr>
        <w:contextualSpacing/>
        <w:rPr>
          <w:rFonts w:cs="Arial"/>
          <w:b/>
          <w:sz w:val="16"/>
          <w:szCs w:val="16"/>
        </w:rPr>
      </w:pPr>
      <w:r w:rsidRPr="00FA1A59">
        <w:rPr>
          <w:rFonts w:cs="Arial"/>
          <w:b/>
          <w:sz w:val="16"/>
          <w:szCs w:val="16"/>
        </w:rPr>
        <w:t xml:space="preserve">Likviditási mutató: </w:t>
      </w:r>
    </w:p>
    <w:p w:rsidR="00D80858" w:rsidRPr="00FA1A59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 xml:space="preserve">Forgóeszközök / Folyó források </w:t>
      </w:r>
    </w:p>
    <w:p w:rsidR="00D80858" w:rsidRPr="00FA1A59" w:rsidRDefault="00D80858" w:rsidP="00D80858">
      <w:pPr>
        <w:pStyle w:val="Listaszerbekezds"/>
        <w:overflowPunct/>
        <w:autoSpaceDE/>
        <w:autoSpaceDN/>
        <w:adjustRightInd/>
        <w:spacing w:line="360" w:lineRule="auto"/>
        <w:ind w:left="0"/>
        <w:textAlignment w:val="auto"/>
        <w:rPr>
          <w:rFonts w:cs="Arial"/>
          <w:bCs/>
          <w:sz w:val="18"/>
          <w:szCs w:val="18"/>
          <w:highlight w:val="yellow"/>
        </w:rPr>
      </w:pPr>
    </w:p>
    <w:p w:rsidR="00F558CF" w:rsidRDefault="00D80858" w:rsidP="00F558CF">
      <w:pPr>
        <w:rPr>
          <w:rFonts w:eastAsiaTheme="minorHAnsi"/>
        </w:rPr>
      </w:pPr>
      <w:r w:rsidRPr="00FA1A59">
        <w:rPr>
          <w:rFonts w:cs="Arial"/>
          <w:szCs w:val="22"/>
        </w:rPr>
        <w:t>A 201</w:t>
      </w:r>
      <w:r w:rsidR="00A80E12">
        <w:rPr>
          <w:rFonts w:cs="Arial"/>
          <w:szCs w:val="22"/>
        </w:rPr>
        <w:t>5</w:t>
      </w:r>
      <w:r w:rsidRPr="00FA1A59">
        <w:rPr>
          <w:rFonts w:cs="Arial"/>
          <w:szCs w:val="22"/>
        </w:rPr>
        <w:t xml:space="preserve">. évi terv szerint a Társaság fedezeti tőkéje – melyet a saját tőke </w:t>
      </w:r>
      <w:r w:rsidR="00EF147C">
        <w:rPr>
          <w:rFonts w:cs="Arial"/>
          <w:szCs w:val="22"/>
        </w:rPr>
        <w:t xml:space="preserve">és a halasztott bevételek </w:t>
      </w:r>
      <w:r w:rsidRPr="00FA1A59">
        <w:rPr>
          <w:rFonts w:cs="Arial"/>
          <w:szCs w:val="22"/>
        </w:rPr>
        <w:t>alkot</w:t>
      </w:r>
      <w:r w:rsidR="00EF147C">
        <w:rPr>
          <w:rFonts w:cs="Arial"/>
          <w:szCs w:val="22"/>
        </w:rPr>
        <w:t>nak</w:t>
      </w:r>
      <w:r w:rsidRPr="00FA1A59">
        <w:rPr>
          <w:rFonts w:cs="Arial"/>
          <w:szCs w:val="22"/>
        </w:rPr>
        <w:t xml:space="preserve"> -, az összes forrás </w:t>
      </w:r>
      <w:r w:rsidR="006D7F8A">
        <w:rPr>
          <w:rFonts w:cs="Arial"/>
          <w:szCs w:val="22"/>
        </w:rPr>
        <w:t>70</w:t>
      </w:r>
      <w:r w:rsidRPr="00FA1A59">
        <w:rPr>
          <w:rFonts w:cs="Arial"/>
          <w:szCs w:val="22"/>
        </w:rPr>
        <w:t>%-át teszi ki.</w:t>
      </w:r>
      <w:r w:rsidR="00F558CF">
        <w:rPr>
          <w:rFonts w:cs="Arial"/>
          <w:szCs w:val="22"/>
        </w:rPr>
        <w:t xml:space="preserve"> </w:t>
      </w:r>
      <w:r w:rsidR="00F558CF">
        <w:rPr>
          <w:rFonts w:eastAsiaTheme="minorHAnsi"/>
        </w:rPr>
        <w:t>Ez teljes mértékben a Társaság befektetett eszközeit finanszírozza, sőt ez nem elegendő és 13%-ban a folyó források fedezik a befektetett eszközöket.</w:t>
      </w:r>
    </w:p>
    <w:p w:rsidR="00D80858" w:rsidRPr="00FA1A59" w:rsidRDefault="00D80858" w:rsidP="00D80858">
      <w:pPr>
        <w:contextualSpacing/>
        <w:rPr>
          <w:rFonts w:cs="Arial"/>
          <w:szCs w:val="22"/>
        </w:rPr>
      </w:pPr>
    </w:p>
    <w:p w:rsidR="00D80858" w:rsidRPr="00FA1A59" w:rsidRDefault="00D80858" w:rsidP="00D80858">
      <w:pPr>
        <w:keepNext/>
        <w:spacing w:before="120" w:after="240"/>
        <w:contextualSpacing/>
        <w:rPr>
          <w:rFonts w:cs="Arial"/>
          <w:i/>
          <w:szCs w:val="22"/>
          <w:highlight w:val="yellow"/>
          <w:u w:val="single"/>
        </w:rPr>
      </w:pPr>
    </w:p>
    <w:p w:rsidR="00D80858" w:rsidRPr="00FA1A59" w:rsidRDefault="00D80858" w:rsidP="00D80858">
      <w:pPr>
        <w:keepNext/>
        <w:spacing w:before="120" w:after="240"/>
        <w:contextualSpacing/>
        <w:rPr>
          <w:rFonts w:cs="Arial"/>
          <w:i/>
          <w:szCs w:val="22"/>
          <w:u w:val="single"/>
        </w:rPr>
      </w:pPr>
      <w:r w:rsidRPr="00FA1A59">
        <w:rPr>
          <w:rFonts w:cs="Arial"/>
          <w:i/>
          <w:szCs w:val="22"/>
          <w:u w:val="single"/>
        </w:rPr>
        <w:t>Az ábra tartalma alapján alkotott vélemény:</w:t>
      </w:r>
    </w:p>
    <w:p w:rsidR="00D80858" w:rsidRPr="00FA1A59" w:rsidRDefault="00D80858" w:rsidP="00D80858">
      <w:pPr>
        <w:keepNext/>
        <w:contextualSpacing/>
        <w:rPr>
          <w:rFonts w:cs="Arial"/>
          <w:szCs w:val="22"/>
          <w:highlight w:val="yellow"/>
        </w:rPr>
      </w:pPr>
    </w:p>
    <w:p w:rsidR="00F558CF" w:rsidRPr="00455847" w:rsidRDefault="00F558CF" w:rsidP="00F558CF">
      <w:pPr>
        <w:rPr>
          <w:rFonts w:eastAsiaTheme="minorHAnsi"/>
        </w:rPr>
      </w:pPr>
      <w:r w:rsidRPr="00455847">
        <w:rPr>
          <w:rFonts w:eastAsiaTheme="minorHAnsi"/>
        </w:rPr>
        <w:t xml:space="preserve">A fedezeti tőke </w:t>
      </w:r>
      <w:r>
        <w:rPr>
          <w:rFonts w:eastAsiaTheme="minorHAnsi"/>
        </w:rPr>
        <w:t>nem</w:t>
      </w:r>
      <w:r w:rsidRPr="00455847">
        <w:rPr>
          <w:rFonts w:eastAsiaTheme="minorHAnsi"/>
        </w:rPr>
        <w:t xml:space="preserve"> képes finanszírozni a befektetett eszközöket. </w:t>
      </w:r>
    </w:p>
    <w:p w:rsidR="00F558CF" w:rsidRPr="00455847" w:rsidRDefault="00F558CF" w:rsidP="00F558CF">
      <w:pPr>
        <w:rPr>
          <w:rFonts w:eastAsiaTheme="minorHAnsi"/>
        </w:rPr>
      </w:pPr>
      <w:r w:rsidRPr="00455847">
        <w:rPr>
          <w:rFonts w:eastAsiaTheme="minorHAnsi"/>
        </w:rPr>
        <w:t xml:space="preserve">Keresztbefinanszírozás (forgóeszközök finanszírozási többlete) </w:t>
      </w:r>
      <w:r>
        <w:rPr>
          <w:rFonts w:eastAsiaTheme="minorHAnsi"/>
        </w:rPr>
        <w:t xml:space="preserve">13%-os </w:t>
      </w:r>
      <w:r w:rsidRPr="00455847">
        <w:rPr>
          <w:rFonts w:eastAsiaTheme="minorHAnsi"/>
        </w:rPr>
        <w:t>a Társaságnál.</w:t>
      </w:r>
    </w:p>
    <w:p w:rsidR="00F558CF" w:rsidRDefault="00F558CF" w:rsidP="00F558CF">
      <w:pPr>
        <w:rPr>
          <w:rFonts w:eastAsiaTheme="minorHAnsi"/>
        </w:rPr>
      </w:pPr>
      <w:r w:rsidRPr="00455847">
        <w:rPr>
          <w:rFonts w:eastAsiaTheme="minorHAnsi"/>
        </w:rPr>
        <w:t>A fedez</w:t>
      </w:r>
      <w:r>
        <w:rPr>
          <w:rFonts w:eastAsiaTheme="minorHAnsi"/>
        </w:rPr>
        <w:t>eti tőke tervévi növekedése kedvezően hat a pénzügyi biztonságra.</w:t>
      </w:r>
    </w:p>
    <w:p w:rsidR="00F558CF" w:rsidRPr="00455847" w:rsidRDefault="00F558CF" w:rsidP="00F558CF">
      <w:pPr>
        <w:rPr>
          <w:rFonts w:eastAsiaTheme="minorHAnsi"/>
        </w:rPr>
      </w:pPr>
      <w:r w:rsidRPr="00455847">
        <w:rPr>
          <w:rFonts w:eastAsiaTheme="minorHAnsi"/>
        </w:rPr>
        <w:t xml:space="preserve">Hosszú lejáratú kötelezettsége </w:t>
      </w:r>
      <w:r>
        <w:rPr>
          <w:rFonts w:eastAsiaTheme="minorHAnsi"/>
        </w:rPr>
        <w:t>jelentősen növekszik a tervévben</w:t>
      </w:r>
      <w:r w:rsidRPr="00455847">
        <w:rPr>
          <w:rFonts w:eastAsiaTheme="minorHAnsi"/>
        </w:rPr>
        <w:t xml:space="preserve">. </w:t>
      </w:r>
    </w:p>
    <w:p w:rsidR="00F558CF" w:rsidRDefault="00F558CF" w:rsidP="00F558CF">
      <w:pPr>
        <w:rPr>
          <w:rFonts w:eastAsiaTheme="minorHAnsi"/>
        </w:rPr>
      </w:pPr>
      <w:r w:rsidRPr="00B2754F">
        <w:rPr>
          <w:rFonts w:eastAsiaTheme="minorHAnsi"/>
        </w:rPr>
        <w:t xml:space="preserve">Az év végi állapotot tükröző </w:t>
      </w:r>
      <w:r>
        <w:rPr>
          <w:rFonts w:eastAsiaTheme="minorHAnsi"/>
        </w:rPr>
        <w:t>0,52</w:t>
      </w:r>
      <w:r w:rsidRPr="00B2754F">
        <w:rPr>
          <w:rFonts w:eastAsiaTheme="minorHAnsi"/>
        </w:rPr>
        <w:t xml:space="preserve"> értékű teljes likviditási mutató </w:t>
      </w:r>
      <w:r>
        <w:rPr>
          <w:rFonts w:eastAsiaTheme="minorHAnsi"/>
        </w:rPr>
        <w:t>kedvezőtlen.</w:t>
      </w:r>
    </w:p>
    <w:p w:rsidR="00691B50" w:rsidRDefault="00691B5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Cs/>
        </w:rPr>
      </w:pPr>
    </w:p>
    <w:p w:rsidR="009C01AE" w:rsidRPr="005049FC" w:rsidRDefault="009C01AE" w:rsidP="009C01AE">
      <w:pPr>
        <w:rPr>
          <w:rFonts w:eastAsiaTheme="minorHAnsi"/>
          <w:u w:val="single"/>
        </w:rPr>
      </w:pPr>
      <w:r w:rsidRPr="005049FC">
        <w:rPr>
          <w:rFonts w:eastAsiaTheme="minorHAnsi"/>
          <w:u w:val="single"/>
        </w:rPr>
        <w:t>Korrigált ábra</w:t>
      </w:r>
      <w:r>
        <w:rPr>
          <w:rFonts w:eastAsiaTheme="minorHAnsi"/>
          <w:u w:val="single"/>
        </w:rPr>
        <w:t xml:space="preserve"> 1</w:t>
      </w:r>
    </w:p>
    <w:p w:rsidR="009C01AE" w:rsidRDefault="009C01AE" w:rsidP="009C01AE">
      <w:pPr>
        <w:rPr>
          <w:rFonts w:eastAsiaTheme="minorHAnsi"/>
        </w:rPr>
      </w:pPr>
      <w:r>
        <w:rPr>
          <w:rFonts w:eastAsiaTheme="minorHAnsi"/>
        </w:rPr>
        <w:t xml:space="preserve">A „pénzügyi helyzet” ábrán látható kedvezőtlen helyzet a magas szállítói állomány következtében alakult ki. Azonban a szállítók jelentős része beruházásokhoz kapcsolódik, melyek finanszírozását támogatási források biztosítják. A szállítók kiegyenlítését követően ezek átkerülnek a halasztott bevételek közé. </w:t>
      </w:r>
    </w:p>
    <w:p w:rsidR="009C01AE" w:rsidRDefault="009C01AE" w:rsidP="009C01AE">
      <w:pPr>
        <w:rPr>
          <w:rFonts w:eastAsiaTheme="minorHAnsi"/>
        </w:rPr>
      </w:pPr>
      <w:r>
        <w:rPr>
          <w:rFonts w:eastAsiaTheme="minorHAnsi"/>
        </w:rPr>
        <w:t>Ennek szemléltetésére 1</w:t>
      </w:r>
      <w:r w:rsidR="00780B36">
        <w:rPr>
          <w:rFonts w:eastAsiaTheme="minorHAnsi"/>
        </w:rPr>
        <w:t>8,2</w:t>
      </w:r>
      <w:r>
        <w:rPr>
          <w:rFonts w:eastAsiaTheme="minorHAnsi"/>
        </w:rPr>
        <w:t xml:space="preserve"> Mrd Ft összegű szállítót átsoroltunk a halasztott bevételek közé és így a pénzügyi helyzet lényegesen kedvezőbb képet mutat:</w:t>
      </w:r>
    </w:p>
    <w:p w:rsidR="009C01AE" w:rsidRDefault="008A0B8A" w:rsidP="009C01AE">
      <w:pPr>
        <w:rPr>
          <w:rFonts w:eastAsiaTheme="minorHAnsi"/>
        </w:rPr>
      </w:pPr>
      <w:r>
        <w:rPr>
          <w:rFonts w:eastAsiaTheme="minorHAnsi"/>
        </w:rPr>
        <w:t>A</w:t>
      </w:r>
      <w:r w:rsidR="009C01AE">
        <w:rPr>
          <w:rFonts w:eastAsiaTheme="minorHAnsi"/>
        </w:rPr>
        <w:t xml:space="preserve"> keresztbefinanszírozás </w:t>
      </w:r>
      <w:r>
        <w:rPr>
          <w:rFonts w:eastAsiaTheme="minorHAnsi"/>
        </w:rPr>
        <w:t xml:space="preserve">minimálisra csökkent (2%) </w:t>
      </w:r>
      <w:r w:rsidR="009C01AE">
        <w:rPr>
          <w:rFonts w:eastAsiaTheme="minorHAnsi"/>
        </w:rPr>
        <w:t xml:space="preserve">és a likviditási mutató </w:t>
      </w:r>
      <w:r>
        <w:rPr>
          <w:rFonts w:eastAsiaTheme="minorHAnsi"/>
        </w:rPr>
        <w:t>is jobb</w:t>
      </w:r>
      <w:r w:rsidR="009C01AE">
        <w:rPr>
          <w:rFonts w:eastAsiaTheme="minorHAnsi"/>
        </w:rPr>
        <w:t xml:space="preserve"> értéket (</w:t>
      </w:r>
      <w:r>
        <w:rPr>
          <w:rFonts w:eastAsiaTheme="minorHAnsi"/>
        </w:rPr>
        <w:t>0,88</w:t>
      </w:r>
      <w:r w:rsidR="009C01AE">
        <w:rPr>
          <w:rFonts w:eastAsiaTheme="minorHAnsi"/>
        </w:rPr>
        <w:t>) mutat.</w:t>
      </w:r>
    </w:p>
    <w:p w:rsidR="00F558CF" w:rsidRDefault="00F558CF" w:rsidP="00FB3241">
      <w:pPr>
        <w:spacing w:line="360" w:lineRule="auto"/>
        <w:rPr>
          <w:rFonts w:cs="Arial"/>
          <w:bCs/>
        </w:rPr>
      </w:pPr>
    </w:p>
    <w:p w:rsidR="009C01AE" w:rsidRDefault="009C01AE" w:rsidP="00FB3241">
      <w:pPr>
        <w:spacing w:line="360" w:lineRule="auto"/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>
            <wp:extent cx="3048000" cy="2286000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CF" w:rsidRPr="00FA1A59" w:rsidRDefault="00F558CF" w:rsidP="00FB3241">
      <w:pPr>
        <w:spacing w:line="360" w:lineRule="auto"/>
        <w:rPr>
          <w:rFonts w:cs="Arial"/>
          <w:bCs/>
        </w:rPr>
      </w:pPr>
    </w:p>
    <w:p w:rsidR="005F387F" w:rsidRPr="00FA1A59" w:rsidRDefault="005F387F" w:rsidP="00A85221">
      <w:pPr>
        <w:rPr>
          <w:rFonts w:cs="Arial"/>
          <w:bCs/>
        </w:rPr>
      </w:pPr>
    </w:p>
    <w:p w:rsidR="00B21CA3" w:rsidRPr="00FA1A59" w:rsidRDefault="00B21CA3" w:rsidP="00A85221">
      <w:pPr>
        <w:rPr>
          <w:rFonts w:cs="Arial"/>
          <w:bCs/>
        </w:rPr>
      </w:pPr>
    </w:p>
    <w:p w:rsidR="00D80858" w:rsidRPr="00FA1A59" w:rsidRDefault="00D80858" w:rsidP="00D80858">
      <w:pPr>
        <w:keepNext/>
        <w:widowControl w:val="0"/>
        <w:rPr>
          <w:rFonts w:cs="Arial"/>
          <w:b/>
          <w:szCs w:val="22"/>
        </w:rPr>
      </w:pPr>
      <w:r w:rsidRPr="00FA1A59">
        <w:rPr>
          <w:rFonts w:cs="Arial"/>
          <w:b/>
          <w:szCs w:val="22"/>
        </w:rPr>
        <w:lastRenderedPageBreak/>
        <w:t>Biztonság és jövedelmezőségi minősítés</w:t>
      </w:r>
    </w:p>
    <w:p w:rsidR="00FB3241" w:rsidRPr="00FA1A59" w:rsidRDefault="00FB3241" w:rsidP="00D80858">
      <w:pPr>
        <w:keepNext/>
        <w:widowControl w:val="0"/>
        <w:rPr>
          <w:rFonts w:cs="Arial"/>
          <w:b/>
          <w:szCs w:val="22"/>
        </w:rPr>
      </w:pPr>
    </w:p>
    <w:p w:rsidR="00D80858" w:rsidRPr="00FA1A59" w:rsidRDefault="0082346F" w:rsidP="00A85221">
      <w:pPr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>
            <wp:extent cx="3810000" cy="2857500"/>
            <wp:effectExtent l="19050" t="0" r="0" b="0"/>
            <wp:docPr id="8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58" w:rsidRPr="00FA1A59" w:rsidRDefault="00D80858" w:rsidP="00D80858">
      <w:pPr>
        <w:keepNext/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>Az ábra adatainak értelmezése:</w:t>
      </w:r>
    </w:p>
    <w:p w:rsidR="00D80858" w:rsidRDefault="00D80858" w:rsidP="00D80858">
      <w:pPr>
        <w:contextualSpacing/>
        <w:rPr>
          <w:rFonts w:cs="Arial"/>
          <w:sz w:val="16"/>
          <w:szCs w:val="16"/>
        </w:rPr>
      </w:pPr>
      <w:r w:rsidRPr="00FA1A59">
        <w:rPr>
          <w:rFonts w:cs="Arial"/>
          <w:sz w:val="16"/>
          <w:szCs w:val="16"/>
        </w:rPr>
        <w:t>A vízszintes tengely a jövedelmezőség szerinti besorolást jeleníti meg egy 100-as skálán, a függőleges tengely pedig a biztonságot, vagyis kockázatviselő képességet.</w:t>
      </w:r>
    </w:p>
    <w:p w:rsidR="004E162D" w:rsidRPr="00A70F45" w:rsidRDefault="004E162D" w:rsidP="004E162D">
      <w:pPr>
        <w:rPr>
          <w:rFonts w:eastAsiaTheme="minorHAnsi"/>
          <w:i/>
          <w:sz w:val="18"/>
          <w:szCs w:val="18"/>
        </w:rPr>
      </w:pPr>
      <w:r w:rsidRPr="00A70F45">
        <w:rPr>
          <w:rFonts w:eastAsiaTheme="minorHAnsi"/>
          <w:i/>
          <w:sz w:val="18"/>
          <w:szCs w:val="18"/>
        </w:rPr>
        <w:t>Az 1</w:t>
      </w:r>
      <w:r>
        <w:rPr>
          <w:rFonts w:eastAsiaTheme="minorHAnsi"/>
          <w:i/>
          <w:sz w:val="18"/>
          <w:szCs w:val="18"/>
        </w:rPr>
        <w:t>4</w:t>
      </w:r>
      <w:r w:rsidRPr="00A70F45">
        <w:rPr>
          <w:rFonts w:eastAsiaTheme="minorHAnsi"/>
          <w:i/>
          <w:sz w:val="18"/>
          <w:szCs w:val="18"/>
        </w:rPr>
        <w:t>. pont a 201</w:t>
      </w:r>
      <w:r>
        <w:rPr>
          <w:rFonts w:eastAsiaTheme="minorHAnsi"/>
          <w:i/>
          <w:sz w:val="18"/>
          <w:szCs w:val="18"/>
        </w:rPr>
        <w:t>4</w:t>
      </w:r>
      <w:r w:rsidRPr="00A70F45">
        <w:rPr>
          <w:rFonts w:eastAsiaTheme="minorHAnsi"/>
          <w:i/>
          <w:sz w:val="18"/>
          <w:szCs w:val="18"/>
        </w:rPr>
        <w:t xml:space="preserve">. évi </w:t>
      </w:r>
      <w:r w:rsidR="0082346F">
        <w:rPr>
          <w:rFonts w:eastAsiaTheme="minorHAnsi"/>
          <w:i/>
          <w:sz w:val="18"/>
          <w:szCs w:val="18"/>
        </w:rPr>
        <w:t>tény</w:t>
      </w:r>
      <w:r w:rsidRPr="00A70F45">
        <w:rPr>
          <w:rFonts w:eastAsiaTheme="minorHAnsi"/>
          <w:i/>
          <w:sz w:val="18"/>
          <w:szCs w:val="18"/>
        </w:rPr>
        <w:t>, a 1</w:t>
      </w:r>
      <w:r>
        <w:rPr>
          <w:rFonts w:eastAsiaTheme="minorHAnsi"/>
          <w:i/>
          <w:sz w:val="18"/>
          <w:szCs w:val="18"/>
        </w:rPr>
        <w:t>5</w:t>
      </w:r>
      <w:r w:rsidRPr="00A70F45">
        <w:rPr>
          <w:rFonts w:eastAsiaTheme="minorHAnsi"/>
          <w:i/>
          <w:sz w:val="18"/>
          <w:szCs w:val="18"/>
        </w:rPr>
        <w:t>. pont a 201</w:t>
      </w:r>
      <w:r>
        <w:rPr>
          <w:rFonts w:eastAsiaTheme="minorHAnsi"/>
          <w:i/>
          <w:sz w:val="18"/>
          <w:szCs w:val="18"/>
        </w:rPr>
        <w:t>5</w:t>
      </w:r>
      <w:r w:rsidRPr="00A70F45">
        <w:rPr>
          <w:rFonts w:eastAsiaTheme="minorHAnsi"/>
          <w:i/>
          <w:sz w:val="18"/>
          <w:szCs w:val="18"/>
        </w:rPr>
        <w:t>. évi tervet mutatja.</w:t>
      </w:r>
    </w:p>
    <w:p w:rsidR="004E162D" w:rsidRPr="00FA1A59" w:rsidRDefault="004E162D" w:rsidP="00D80858">
      <w:pPr>
        <w:contextualSpacing/>
        <w:rPr>
          <w:rFonts w:cs="Arial"/>
          <w:sz w:val="16"/>
          <w:szCs w:val="16"/>
        </w:rPr>
      </w:pPr>
    </w:p>
    <w:p w:rsidR="00D80858" w:rsidRPr="00FA1A59" w:rsidRDefault="00D80858" w:rsidP="00D80858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bCs/>
          <w:sz w:val="16"/>
          <w:szCs w:val="16"/>
          <w:highlight w:val="yellow"/>
        </w:rPr>
      </w:pPr>
    </w:p>
    <w:p w:rsidR="00D80858" w:rsidRPr="00FA1A59" w:rsidRDefault="00D80858" w:rsidP="00D80858">
      <w:pPr>
        <w:keepNext/>
        <w:spacing w:before="120" w:after="240"/>
        <w:contextualSpacing/>
        <w:rPr>
          <w:rFonts w:cs="Arial"/>
          <w:i/>
          <w:szCs w:val="22"/>
          <w:u w:val="single"/>
        </w:rPr>
      </w:pPr>
      <w:r w:rsidRPr="00FA1A59">
        <w:rPr>
          <w:rFonts w:cs="Arial"/>
          <w:i/>
          <w:szCs w:val="22"/>
          <w:u w:val="single"/>
        </w:rPr>
        <w:t>Az ábra tartalma alapján alkotott vélemény:</w:t>
      </w:r>
    </w:p>
    <w:p w:rsidR="00D80858" w:rsidRPr="00FA1A59" w:rsidRDefault="00D80858" w:rsidP="00D80858">
      <w:pPr>
        <w:contextualSpacing/>
        <w:rPr>
          <w:rFonts w:cs="Arial"/>
          <w:szCs w:val="22"/>
        </w:rPr>
      </w:pPr>
    </w:p>
    <w:p w:rsidR="00284B46" w:rsidRDefault="00D80858" w:rsidP="00284B46">
      <w:pPr>
        <w:contextualSpacing/>
        <w:rPr>
          <w:rFonts w:eastAsiaTheme="minorHAnsi" w:cs="Arial"/>
        </w:rPr>
      </w:pPr>
      <w:r w:rsidRPr="00FA1A59">
        <w:rPr>
          <w:rFonts w:cs="Arial"/>
          <w:szCs w:val="22"/>
        </w:rPr>
        <w:t>A fenti ábra szerint a Társaság 201</w:t>
      </w:r>
      <w:r w:rsidR="004E162D">
        <w:rPr>
          <w:rFonts w:cs="Arial"/>
          <w:szCs w:val="22"/>
        </w:rPr>
        <w:t>5</w:t>
      </w:r>
      <w:r w:rsidRPr="00FA1A59">
        <w:rPr>
          <w:rFonts w:cs="Arial"/>
          <w:szCs w:val="22"/>
        </w:rPr>
        <w:t xml:space="preserve">. évi tervezett működését az előző évihez </w:t>
      </w:r>
      <w:r w:rsidR="00F665B1">
        <w:rPr>
          <w:rFonts w:cs="Arial"/>
          <w:szCs w:val="22"/>
        </w:rPr>
        <w:t>hasonló</w:t>
      </w:r>
      <w:r w:rsidRPr="00FA1A59">
        <w:rPr>
          <w:rFonts w:cs="Arial"/>
          <w:szCs w:val="22"/>
        </w:rPr>
        <w:t xml:space="preserve"> jövedelmezőségi és </w:t>
      </w:r>
      <w:r w:rsidR="004E162D">
        <w:rPr>
          <w:rFonts w:cs="Arial"/>
          <w:szCs w:val="22"/>
        </w:rPr>
        <w:t>biztonsági szint jellemzi</w:t>
      </w:r>
      <w:r w:rsidR="00284B46">
        <w:rPr>
          <w:rFonts w:cs="Arial"/>
          <w:szCs w:val="22"/>
        </w:rPr>
        <w:t xml:space="preserve">. </w:t>
      </w:r>
      <w:r w:rsidR="00284B46">
        <w:rPr>
          <w:rFonts w:eastAsiaTheme="minorHAnsi" w:cs="Arial"/>
        </w:rPr>
        <w:t xml:space="preserve">Az </w:t>
      </w:r>
      <w:proofErr w:type="spellStart"/>
      <w:r w:rsidR="00284B46">
        <w:rPr>
          <w:rFonts w:eastAsiaTheme="minorHAnsi" w:cs="Arial"/>
        </w:rPr>
        <w:t>összminősítés</w:t>
      </w:r>
      <w:proofErr w:type="spellEnd"/>
      <w:r w:rsidR="00284B46" w:rsidRPr="00342A43">
        <w:rPr>
          <w:rFonts w:eastAsiaTheme="minorHAnsi" w:cs="Arial"/>
        </w:rPr>
        <w:t xml:space="preserve"> </w:t>
      </w:r>
      <w:r w:rsidR="00284B46">
        <w:rPr>
          <w:rFonts w:eastAsiaTheme="minorHAnsi" w:cs="Arial"/>
        </w:rPr>
        <w:t>56,4 — mely a két %-os érték átlagából ered —</w:t>
      </w:r>
      <w:r w:rsidR="009C0142">
        <w:rPr>
          <w:rFonts w:eastAsiaTheme="minorHAnsi" w:cs="Arial"/>
        </w:rPr>
        <w:t>tovább</w:t>
      </w:r>
      <w:r w:rsidR="00284B46">
        <w:rPr>
          <w:rFonts w:eastAsiaTheme="minorHAnsi" w:cs="Arial"/>
        </w:rPr>
        <w:t xml:space="preserve"> csökkent az előző évhez viszonyítva (58,8).</w:t>
      </w:r>
    </w:p>
    <w:p w:rsidR="00284B46" w:rsidRDefault="00284B46" w:rsidP="00D80858">
      <w:pPr>
        <w:contextualSpacing/>
        <w:rPr>
          <w:rFonts w:cs="Arial"/>
          <w:szCs w:val="22"/>
        </w:rPr>
      </w:pPr>
    </w:p>
    <w:p w:rsidR="00284B46" w:rsidRPr="005049FC" w:rsidRDefault="00284B46" w:rsidP="00284B46">
      <w:pPr>
        <w:contextualSpacing/>
        <w:rPr>
          <w:rFonts w:eastAsiaTheme="minorHAnsi" w:cs="Arial"/>
          <w:u w:val="single"/>
        </w:rPr>
      </w:pPr>
      <w:r w:rsidRPr="005049FC">
        <w:rPr>
          <w:rFonts w:eastAsiaTheme="minorHAnsi" w:cs="Arial"/>
          <w:u w:val="single"/>
        </w:rPr>
        <w:t>Korrigált ábra</w:t>
      </w:r>
      <w:r>
        <w:rPr>
          <w:rFonts w:eastAsiaTheme="minorHAnsi" w:cs="Arial"/>
          <w:u w:val="single"/>
        </w:rPr>
        <w:t xml:space="preserve"> 2</w:t>
      </w:r>
    </w:p>
    <w:p w:rsidR="00284B46" w:rsidRDefault="00284B46" w:rsidP="00284B46">
      <w:pPr>
        <w:contextualSpacing/>
        <w:rPr>
          <w:rFonts w:eastAsiaTheme="minorHAnsi" w:cs="Arial"/>
        </w:rPr>
      </w:pPr>
      <w:r w:rsidRPr="00F609D5">
        <w:rPr>
          <w:rFonts w:eastAsiaTheme="minorHAnsi" w:cs="Arial"/>
        </w:rPr>
        <w:t xml:space="preserve">A pénzügyi helyzetnél bemutatott korrekció a BKK biztonsági és jövedelmezőségi minősítését is megváltoztatja: a </w:t>
      </w:r>
      <w:r w:rsidR="00897860" w:rsidRPr="00F609D5">
        <w:rPr>
          <w:rFonts w:eastAsiaTheme="minorHAnsi" w:cs="Arial"/>
        </w:rPr>
        <w:t>magasabb</w:t>
      </w:r>
      <w:r w:rsidRPr="00F609D5">
        <w:rPr>
          <w:rFonts w:eastAsiaTheme="minorHAnsi" w:cs="Arial"/>
        </w:rPr>
        <w:t xml:space="preserve"> biztonsági szint jellemzi a Társaságot valamint az </w:t>
      </w:r>
      <w:proofErr w:type="spellStart"/>
      <w:r w:rsidRPr="00F609D5">
        <w:rPr>
          <w:rFonts w:eastAsiaTheme="minorHAnsi" w:cs="Arial"/>
        </w:rPr>
        <w:t>összminősítés</w:t>
      </w:r>
      <w:proofErr w:type="spellEnd"/>
      <w:r w:rsidRPr="00F609D5">
        <w:rPr>
          <w:rFonts w:eastAsiaTheme="minorHAnsi" w:cs="Arial"/>
        </w:rPr>
        <w:t xml:space="preserve"> (</w:t>
      </w:r>
      <w:r w:rsidR="008C660A" w:rsidRPr="00F609D5">
        <w:rPr>
          <w:rFonts w:eastAsiaTheme="minorHAnsi" w:cs="Arial"/>
        </w:rPr>
        <w:t>57</w:t>
      </w:r>
      <w:r w:rsidR="00897860" w:rsidRPr="00F609D5">
        <w:rPr>
          <w:rFonts w:eastAsiaTheme="minorHAnsi" w:cs="Arial"/>
        </w:rPr>
        <w:t xml:space="preserve">) </w:t>
      </w:r>
      <w:proofErr w:type="gramStart"/>
      <w:r w:rsidR="00897860" w:rsidRPr="00F609D5">
        <w:rPr>
          <w:rFonts w:eastAsiaTheme="minorHAnsi" w:cs="Arial"/>
        </w:rPr>
        <w:t>kis mértékű</w:t>
      </w:r>
      <w:proofErr w:type="gramEnd"/>
      <w:r w:rsidR="00897860" w:rsidRPr="00F609D5">
        <w:rPr>
          <w:rFonts w:eastAsiaTheme="minorHAnsi" w:cs="Arial"/>
        </w:rPr>
        <w:t xml:space="preserve"> javulást mutat</w:t>
      </w:r>
      <w:r w:rsidR="00F609D5" w:rsidRPr="00F609D5">
        <w:rPr>
          <w:rFonts w:eastAsiaTheme="minorHAnsi" w:cs="Arial"/>
        </w:rPr>
        <w:t>.</w:t>
      </w:r>
    </w:p>
    <w:p w:rsidR="009C0142" w:rsidRDefault="009C0142" w:rsidP="009C0142"/>
    <w:p w:rsidR="009C0142" w:rsidRDefault="009C0142" w:rsidP="009C0142"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9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142" w:rsidRPr="00FA1A59" w:rsidRDefault="009C0142" w:rsidP="009C0142"/>
    <w:p w:rsidR="00691B50" w:rsidRDefault="00691B5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D80858" w:rsidRPr="00FA1A59" w:rsidRDefault="00D80858" w:rsidP="00D80858">
      <w:pPr>
        <w:keepNext/>
        <w:spacing w:before="240" w:after="120"/>
        <w:contextualSpacing/>
        <w:rPr>
          <w:rFonts w:cs="Arial"/>
          <w:b/>
        </w:rPr>
      </w:pPr>
      <w:r w:rsidRPr="00FA1A59">
        <w:rPr>
          <w:rFonts w:cs="Arial"/>
          <w:b/>
        </w:rPr>
        <w:lastRenderedPageBreak/>
        <w:t xml:space="preserve">ÖSSZEFOGLALÓ ÉRTÉKELÉS </w:t>
      </w:r>
      <w:proofErr w:type="gramStart"/>
      <w:r w:rsidRPr="00FA1A59">
        <w:rPr>
          <w:rFonts w:cs="Arial"/>
          <w:b/>
        </w:rPr>
        <w:t>ÉS</w:t>
      </w:r>
      <w:proofErr w:type="gramEnd"/>
      <w:r w:rsidRPr="00FA1A59">
        <w:rPr>
          <w:rFonts w:cs="Arial"/>
          <w:b/>
        </w:rPr>
        <w:t xml:space="preserve"> JAVASLAT:</w:t>
      </w:r>
    </w:p>
    <w:p w:rsidR="00D80858" w:rsidRPr="00FA1A59" w:rsidRDefault="00D80858" w:rsidP="00D80858">
      <w:pPr>
        <w:keepNext/>
        <w:contextualSpacing/>
        <w:rPr>
          <w:rFonts w:cs="Arial"/>
        </w:rPr>
      </w:pPr>
    </w:p>
    <w:p w:rsidR="00C965CE" w:rsidRDefault="00F665B1" w:rsidP="00F665B1">
      <w:r>
        <w:t>A</w:t>
      </w:r>
      <w:r w:rsidR="00D80858" w:rsidRPr="00FA1A59">
        <w:t xml:space="preserve"> </w:t>
      </w:r>
      <w:r>
        <w:rPr>
          <w:b/>
        </w:rPr>
        <w:t>BKK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Zr</w:t>
      </w:r>
      <w:r w:rsidR="00D80858" w:rsidRPr="00FA1A59">
        <w:rPr>
          <w:b/>
          <w:bCs/>
          <w:color w:val="000000"/>
        </w:rPr>
        <w:t>t</w:t>
      </w:r>
      <w:proofErr w:type="spellEnd"/>
      <w:r w:rsidR="00D80858" w:rsidRPr="00FA1A59">
        <w:rPr>
          <w:b/>
          <w:bCs/>
          <w:color w:val="000000"/>
        </w:rPr>
        <w:t xml:space="preserve">. </w:t>
      </w:r>
      <w:r w:rsidR="00D80858" w:rsidRPr="00FA1A59">
        <w:t>201</w:t>
      </w:r>
      <w:r w:rsidR="004E162D">
        <w:t>5</w:t>
      </w:r>
      <w:r w:rsidR="00D80858" w:rsidRPr="00FA1A59">
        <w:t>. évi üzleti terv</w:t>
      </w:r>
      <w:r w:rsidR="00C965CE">
        <w:t>e</w:t>
      </w:r>
      <w:r w:rsidR="00D80858" w:rsidRPr="00FA1A59">
        <w:t xml:space="preserve"> a vonatkozó Közgyűlési ha</w:t>
      </w:r>
      <w:r w:rsidR="00C965CE">
        <w:t>tározat által előírt tartalommal és részletezettséggel mutatja be a Társaság 2015. évi tervezett teljesítményét.</w:t>
      </w:r>
    </w:p>
    <w:p w:rsidR="00C965CE" w:rsidRDefault="00C965CE" w:rsidP="00F665B1"/>
    <w:p w:rsidR="00F665B1" w:rsidRPr="00E35D4D" w:rsidRDefault="00F665B1" w:rsidP="00F665B1">
      <w:r w:rsidRPr="00E35D4D">
        <w:t xml:space="preserve">A társaság feladatai 2015-ben a </w:t>
      </w:r>
      <w:r w:rsidR="00E35D4D" w:rsidRPr="00E35D4D">
        <w:t xml:space="preserve">tervben bemutatott többlet feladatok </w:t>
      </w:r>
      <w:r w:rsidRPr="00E35D4D">
        <w:t xml:space="preserve">miatt bővülnek. Ennek következtében mind a forrásigénye, mind a ráfordításai jelentős mértékben növekednek. A közlekedésszervezői feladatokon belül — melyek meghatározó súlyúak a társaság életében — komoly feszültséget jelent a BKV </w:t>
      </w:r>
      <w:proofErr w:type="spellStart"/>
      <w:r w:rsidRPr="00E35D4D">
        <w:t>Zrt</w:t>
      </w:r>
      <w:proofErr w:type="spellEnd"/>
      <w:r w:rsidRPr="00E35D4D">
        <w:t xml:space="preserve"> által elérni kívánt forrás és a rendelkezésre álló forrás közötti jelentős eltérés. A BKK által tervezett közlekedésszervezői forrás fedezete jelenleg a Főváros költségvetésében a jelenlegi szinten sem áll rendelkezésre, azt külső, állami forrásnak kell kiegészítenie. Ennek elmaradása esetén azonnali beavatkozás szükséges az elvárt közlekedésszervezői teljesítmények csökkentése, illetve a többletforrások jegybevétel alapú, vagy más úton történő biztosítására.</w:t>
      </w:r>
    </w:p>
    <w:p w:rsidR="00F665B1" w:rsidRPr="00E35D4D" w:rsidRDefault="00F665B1" w:rsidP="00F665B1"/>
    <w:p w:rsidR="009C0142" w:rsidRPr="00E35D4D" w:rsidRDefault="009C0142" w:rsidP="009C0142">
      <w:pPr>
        <w:contextualSpacing/>
        <w:rPr>
          <w:rFonts w:cs="Arial"/>
        </w:rPr>
      </w:pPr>
      <w:r w:rsidRPr="00E35D4D">
        <w:rPr>
          <w:rFonts w:cs="Arial"/>
        </w:rPr>
        <w:t xml:space="preserve">Figyelembe véve a társaság üzleti tervében bemutatott adatokat és azok értelmezését, továbbá a finanszírozás módját figyelembe vevő korrekciók hatását (lásd korrigált ábra 1 – 2) a Társaság működését </w:t>
      </w:r>
      <w:r w:rsidR="00E35D4D" w:rsidRPr="00E35D4D">
        <w:rPr>
          <w:rFonts w:cs="Arial"/>
        </w:rPr>
        <w:t>elégséges</w:t>
      </w:r>
      <w:r w:rsidRPr="00E35D4D">
        <w:rPr>
          <w:rFonts w:cs="Arial"/>
        </w:rPr>
        <w:t xml:space="preserve"> jövedelmezőség és </w:t>
      </w:r>
      <w:r w:rsidR="00E35D4D" w:rsidRPr="00E35D4D">
        <w:rPr>
          <w:rFonts w:cs="Arial"/>
        </w:rPr>
        <w:t>megfelelő</w:t>
      </w:r>
      <w:r w:rsidRPr="00E35D4D">
        <w:rPr>
          <w:rFonts w:cs="Arial"/>
        </w:rPr>
        <w:t xml:space="preserve"> biztonsági szint jellemzi.</w:t>
      </w:r>
    </w:p>
    <w:p w:rsidR="009C0142" w:rsidRPr="006E1F30" w:rsidRDefault="009C0142" w:rsidP="00F665B1">
      <w:pPr>
        <w:rPr>
          <w:highlight w:val="yellow"/>
        </w:rPr>
      </w:pPr>
    </w:p>
    <w:p w:rsidR="00F665B1" w:rsidRDefault="00F665B1" w:rsidP="00F665B1">
      <w:r w:rsidRPr="00344A67">
        <w:t>Figyelembe véve a Társaság 201</w:t>
      </w:r>
      <w:r w:rsidR="009C0142">
        <w:t>5</w:t>
      </w:r>
      <w:r w:rsidRPr="00344A67">
        <w:t xml:space="preserve">. évi üzleti tervében bemutatott körülményeket, adatokat és azok értelmezését, véleményünk szerint a Társaság reálisan látja </w:t>
      </w:r>
      <w:r>
        <w:t xml:space="preserve">és mutatja be </w:t>
      </w:r>
      <w:r w:rsidRPr="00344A67">
        <w:t xml:space="preserve">a lehetséges kockázatokat. </w:t>
      </w:r>
    </w:p>
    <w:p w:rsidR="00F665B1" w:rsidRPr="00B90D28" w:rsidRDefault="00F665B1" w:rsidP="00F665B1"/>
    <w:p w:rsidR="0056397C" w:rsidRPr="004C66A4" w:rsidRDefault="0056397C" w:rsidP="00F665B1">
      <w:pPr>
        <w:rPr>
          <w:b/>
        </w:rPr>
      </w:pPr>
      <w:r w:rsidRPr="004C66A4">
        <w:rPr>
          <w:b/>
        </w:rPr>
        <w:t>A fentiek alapján javasoljuk a Társaság 2015. évi üzleti tervének elfogadását.</w:t>
      </w:r>
    </w:p>
    <w:p w:rsidR="00D80858" w:rsidRDefault="00D80858" w:rsidP="00F665B1"/>
    <w:p w:rsidR="00452A36" w:rsidRPr="00FA1A59" w:rsidRDefault="00452A36" w:rsidP="00F665B1"/>
    <w:p w:rsidR="00D80858" w:rsidRDefault="00D80858" w:rsidP="00F665B1">
      <w:r w:rsidRPr="00FA1A59">
        <w:t>Budapest</w:t>
      </w:r>
      <w:r w:rsidR="00B65641" w:rsidRPr="00FA1A59">
        <w:t>, 201</w:t>
      </w:r>
      <w:r w:rsidR="00E570C9">
        <w:t>5</w:t>
      </w:r>
      <w:r w:rsidR="00B65641" w:rsidRPr="00FA1A59">
        <w:t xml:space="preserve">. </w:t>
      </w:r>
      <w:r w:rsidR="00FB37A0">
        <w:t>június</w:t>
      </w:r>
      <w:r w:rsidR="00FB3241" w:rsidRPr="00FA1A59">
        <w:t xml:space="preserve"> </w:t>
      </w:r>
      <w:r w:rsidR="00FB37A0">
        <w:t>9</w:t>
      </w:r>
      <w:r w:rsidR="00FB3241" w:rsidRPr="00FA1A59">
        <w:t>.</w:t>
      </w:r>
    </w:p>
    <w:p w:rsidR="004E162D" w:rsidRPr="00FA1A59" w:rsidRDefault="004E162D" w:rsidP="00D80858">
      <w:pPr>
        <w:rPr>
          <w:rFonts w:cs="Arial"/>
          <w:szCs w:val="22"/>
        </w:rPr>
      </w:pPr>
    </w:p>
    <w:p w:rsidR="00375282" w:rsidRDefault="00375282" w:rsidP="00D80858">
      <w:pPr>
        <w:rPr>
          <w:rFonts w:cs="Arial"/>
          <w:szCs w:val="22"/>
        </w:rPr>
      </w:pPr>
    </w:p>
    <w:p w:rsidR="00375282" w:rsidRDefault="00375282" w:rsidP="00D80858">
      <w:pPr>
        <w:rPr>
          <w:rFonts w:cs="Arial"/>
          <w:szCs w:val="22"/>
        </w:rPr>
      </w:pPr>
    </w:p>
    <w:p w:rsidR="00375282" w:rsidRDefault="00375282" w:rsidP="00D80858">
      <w:pPr>
        <w:rPr>
          <w:rFonts w:cs="Arial"/>
          <w:szCs w:val="22"/>
        </w:rPr>
      </w:pPr>
      <w:bookmarkStart w:id="1" w:name="_GoBack"/>
      <w:bookmarkEnd w:id="1"/>
    </w:p>
    <w:p w:rsidR="004C66A4" w:rsidRDefault="004C66A4" w:rsidP="00D80858">
      <w:pPr>
        <w:rPr>
          <w:rFonts w:cs="Arial"/>
          <w:szCs w:val="22"/>
        </w:rPr>
      </w:pPr>
    </w:p>
    <w:p w:rsidR="00502479" w:rsidRDefault="00502479" w:rsidP="00D80858">
      <w:pPr>
        <w:rPr>
          <w:rFonts w:cs="Arial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E162D" w:rsidTr="004E162D">
        <w:tc>
          <w:tcPr>
            <w:tcW w:w="4606" w:type="dxa"/>
          </w:tcPr>
          <w:p w:rsidR="004E162D" w:rsidRDefault="004E162D" w:rsidP="004E16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</w:tcPr>
          <w:p w:rsidR="004E162D" w:rsidRDefault="004E162D" w:rsidP="004E162D">
            <w:pPr>
              <w:jc w:val="center"/>
              <w:rPr>
                <w:rFonts w:cs="Arial"/>
                <w:szCs w:val="22"/>
              </w:rPr>
            </w:pPr>
            <w:r w:rsidRPr="00FA1A59">
              <w:rPr>
                <w:rFonts w:cs="Arial"/>
                <w:szCs w:val="22"/>
              </w:rPr>
              <w:t>Nemesdy Ervin</w:t>
            </w:r>
          </w:p>
          <w:p w:rsidR="00EA1FF6" w:rsidRDefault="00EA1FF6" w:rsidP="004E162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Monitoring </w:t>
            </w:r>
            <w:r w:rsidR="00471EDE">
              <w:rPr>
                <w:rFonts w:cs="Arial"/>
                <w:szCs w:val="22"/>
              </w:rPr>
              <w:t>–</w:t>
            </w:r>
            <w:r>
              <w:rPr>
                <w:rFonts w:cs="Arial"/>
                <w:szCs w:val="22"/>
              </w:rPr>
              <w:t xml:space="preserve"> Controlling</w:t>
            </w:r>
            <w:r w:rsidR="00471EDE">
              <w:rPr>
                <w:rFonts w:cs="Arial"/>
                <w:szCs w:val="22"/>
              </w:rPr>
              <w:t xml:space="preserve"> Referatúra</w:t>
            </w:r>
          </w:p>
        </w:tc>
      </w:tr>
      <w:tr w:rsidR="004E162D" w:rsidTr="004E162D">
        <w:tc>
          <w:tcPr>
            <w:tcW w:w="4606" w:type="dxa"/>
          </w:tcPr>
          <w:p w:rsidR="004E162D" w:rsidRDefault="004E162D" w:rsidP="004E162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</w:tcPr>
          <w:p w:rsidR="004E162D" w:rsidRDefault="004E162D" w:rsidP="004E162D">
            <w:pPr>
              <w:jc w:val="center"/>
              <w:rPr>
                <w:rFonts w:cs="Arial"/>
                <w:szCs w:val="22"/>
              </w:rPr>
            </w:pPr>
            <w:proofErr w:type="gramStart"/>
            <w:r w:rsidRPr="00FA1A59">
              <w:rPr>
                <w:rFonts w:cs="Arial"/>
                <w:szCs w:val="22"/>
              </w:rPr>
              <w:t>referatúra vezető</w:t>
            </w:r>
            <w:proofErr w:type="gramEnd"/>
          </w:p>
        </w:tc>
      </w:tr>
    </w:tbl>
    <w:p w:rsidR="003709D8" w:rsidRDefault="003709D8" w:rsidP="00502479">
      <w:pPr>
        <w:rPr>
          <w:rFonts w:cs="Arial"/>
          <w:bCs/>
          <w:szCs w:val="22"/>
        </w:rPr>
      </w:pPr>
    </w:p>
    <w:p w:rsidR="009C0142" w:rsidRDefault="009C0142" w:rsidP="00502479">
      <w:pPr>
        <w:rPr>
          <w:rFonts w:cs="Arial"/>
          <w:bCs/>
          <w:szCs w:val="22"/>
        </w:rPr>
      </w:pPr>
    </w:p>
    <w:p w:rsidR="009C0142" w:rsidRDefault="009C0142" w:rsidP="00502479">
      <w:pPr>
        <w:rPr>
          <w:rFonts w:cs="Arial"/>
          <w:bCs/>
          <w:szCs w:val="22"/>
        </w:rPr>
      </w:pPr>
    </w:p>
    <w:sectPr w:rsidR="009C0142" w:rsidSect="00F6127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8F" w:rsidRDefault="00F0708F" w:rsidP="00293D85">
      <w:r>
        <w:separator/>
      </w:r>
    </w:p>
  </w:endnote>
  <w:endnote w:type="continuationSeparator" w:id="0">
    <w:p w:rsidR="00F0708F" w:rsidRDefault="00F0708F" w:rsidP="0029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1711"/>
      <w:docPartObj>
        <w:docPartGallery w:val="Page Numbers (Bottom of Page)"/>
        <w:docPartUnique/>
      </w:docPartObj>
    </w:sdtPr>
    <w:sdtContent>
      <w:p w:rsidR="00F0708F" w:rsidRDefault="00D66AC5">
        <w:pPr>
          <w:pStyle w:val="llb"/>
          <w:jc w:val="center"/>
        </w:pPr>
        <w:fldSimple w:instr=" PAGE   \* MERGEFORMAT ">
          <w:r w:rsidR="00FB37A0">
            <w:rPr>
              <w:noProof/>
            </w:rPr>
            <w:t>13</w:t>
          </w:r>
        </w:fldSimple>
      </w:p>
    </w:sdtContent>
  </w:sdt>
  <w:p w:rsidR="00F0708F" w:rsidRDefault="00F0708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8F" w:rsidRDefault="00F0708F" w:rsidP="00293D85">
      <w:r>
        <w:separator/>
      </w:r>
    </w:p>
  </w:footnote>
  <w:footnote w:type="continuationSeparator" w:id="0">
    <w:p w:rsidR="00F0708F" w:rsidRDefault="00F0708F" w:rsidP="00293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568C64"/>
    <w:lvl w:ilvl="0">
      <w:numFmt w:val="bullet"/>
      <w:lvlText w:val="*"/>
      <w:lvlJc w:val="left"/>
    </w:lvl>
  </w:abstractNum>
  <w:abstractNum w:abstractNumId="1">
    <w:nsid w:val="06505E16"/>
    <w:multiLevelType w:val="hybridMultilevel"/>
    <w:tmpl w:val="12803A3A"/>
    <w:lvl w:ilvl="0" w:tplc="A0824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408"/>
    <w:multiLevelType w:val="hybridMultilevel"/>
    <w:tmpl w:val="B12458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4117C"/>
    <w:multiLevelType w:val="hybridMultilevel"/>
    <w:tmpl w:val="FC8E9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511EC"/>
    <w:multiLevelType w:val="hybridMultilevel"/>
    <w:tmpl w:val="6A604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17F91"/>
    <w:multiLevelType w:val="hybridMultilevel"/>
    <w:tmpl w:val="58E82F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2E29C5"/>
    <w:multiLevelType w:val="hybridMultilevel"/>
    <w:tmpl w:val="3F065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760F3"/>
    <w:multiLevelType w:val="hybridMultilevel"/>
    <w:tmpl w:val="3F703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52B4"/>
    <w:multiLevelType w:val="hybridMultilevel"/>
    <w:tmpl w:val="E6E43C48"/>
    <w:lvl w:ilvl="0" w:tplc="60ECD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44A10"/>
    <w:multiLevelType w:val="hybridMultilevel"/>
    <w:tmpl w:val="C29085F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17262E"/>
    <w:multiLevelType w:val="hybridMultilevel"/>
    <w:tmpl w:val="F36E6A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266C60"/>
    <w:multiLevelType w:val="hybridMultilevel"/>
    <w:tmpl w:val="45509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1259"/>
    <w:multiLevelType w:val="hybridMultilevel"/>
    <w:tmpl w:val="81C008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84D6C"/>
    <w:multiLevelType w:val="hybridMultilevel"/>
    <w:tmpl w:val="D3062A56"/>
    <w:lvl w:ilvl="0" w:tplc="A3E874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4542D82"/>
    <w:multiLevelType w:val="hybridMultilevel"/>
    <w:tmpl w:val="099AC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6D1458"/>
    <w:multiLevelType w:val="hybridMultilevel"/>
    <w:tmpl w:val="2F2C28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54BAD"/>
    <w:multiLevelType w:val="hybridMultilevel"/>
    <w:tmpl w:val="12EEBCD8"/>
    <w:lvl w:ilvl="0" w:tplc="3FAAD920">
      <w:start w:val="4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FCA85B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57C78"/>
    <w:multiLevelType w:val="hybridMultilevel"/>
    <w:tmpl w:val="B0CC0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914D0"/>
    <w:multiLevelType w:val="hybridMultilevel"/>
    <w:tmpl w:val="4906DBB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33A4414"/>
    <w:multiLevelType w:val="hybridMultilevel"/>
    <w:tmpl w:val="117058A2"/>
    <w:lvl w:ilvl="0" w:tplc="CF824D8A">
      <w:numFmt w:val="bullet"/>
      <w:lvlText w:val="-"/>
      <w:lvlJc w:val="left"/>
      <w:pPr>
        <w:ind w:left="-1281" w:hanging="360"/>
      </w:pPr>
      <w:rPr>
        <w:rFonts w:ascii="Calibri" w:eastAsia="Calibri" w:hAnsi="Calibri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-56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</w:abstractNum>
  <w:abstractNum w:abstractNumId="20">
    <w:nsid w:val="4D312006"/>
    <w:multiLevelType w:val="hybridMultilevel"/>
    <w:tmpl w:val="2F30BF74"/>
    <w:lvl w:ilvl="0" w:tplc="040E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2058F1"/>
    <w:multiLevelType w:val="hybridMultilevel"/>
    <w:tmpl w:val="4C189BDA"/>
    <w:lvl w:ilvl="0" w:tplc="9286C2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9332A"/>
    <w:multiLevelType w:val="hybridMultilevel"/>
    <w:tmpl w:val="3A762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336DB"/>
    <w:multiLevelType w:val="hybridMultilevel"/>
    <w:tmpl w:val="766A3D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7B238C"/>
    <w:multiLevelType w:val="hybridMultilevel"/>
    <w:tmpl w:val="1136BC30"/>
    <w:lvl w:ilvl="0" w:tplc="252EDF7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07C12"/>
    <w:multiLevelType w:val="hybridMultilevel"/>
    <w:tmpl w:val="17185E28"/>
    <w:lvl w:ilvl="0" w:tplc="040E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DE5542"/>
    <w:multiLevelType w:val="hybridMultilevel"/>
    <w:tmpl w:val="2416C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4"/>
  </w:num>
  <w:num w:numId="4">
    <w:abstractNumId w:val="13"/>
  </w:num>
  <w:num w:numId="5">
    <w:abstractNumId w:val="20"/>
  </w:num>
  <w:num w:numId="6">
    <w:abstractNumId w:val="16"/>
  </w:num>
  <w:num w:numId="7">
    <w:abstractNumId w:val="7"/>
  </w:num>
  <w:num w:numId="8">
    <w:abstractNumId w:val="4"/>
  </w:num>
  <w:num w:numId="9">
    <w:abstractNumId w:val="19"/>
  </w:num>
  <w:num w:numId="10">
    <w:abstractNumId w:val="2"/>
  </w:num>
  <w:num w:numId="11">
    <w:abstractNumId w:val="14"/>
  </w:num>
  <w:num w:numId="12">
    <w:abstractNumId w:val="17"/>
  </w:num>
  <w:num w:numId="13">
    <w:abstractNumId w:val="11"/>
  </w:num>
  <w:num w:numId="14">
    <w:abstractNumId w:val="26"/>
  </w:num>
  <w:num w:numId="15">
    <w:abstractNumId w:val="3"/>
  </w:num>
  <w:num w:numId="16">
    <w:abstractNumId w:val="21"/>
  </w:num>
  <w:num w:numId="17">
    <w:abstractNumId w:val="8"/>
  </w:num>
  <w:num w:numId="18">
    <w:abstractNumId w:val="1"/>
  </w:num>
  <w:num w:numId="19">
    <w:abstractNumId w:val="10"/>
  </w:num>
  <w:num w:numId="20">
    <w:abstractNumId w:val="25"/>
  </w:num>
  <w:num w:numId="21">
    <w:abstractNumId w:val="22"/>
  </w:num>
  <w:num w:numId="22">
    <w:abstractNumId w:val="15"/>
  </w:num>
  <w:num w:numId="23">
    <w:abstractNumId w:val="9"/>
  </w:num>
  <w:num w:numId="24">
    <w:abstractNumId w:val="23"/>
  </w:num>
  <w:num w:numId="25">
    <w:abstractNumId w:val="18"/>
  </w:num>
  <w:num w:numId="26">
    <w:abstractNumId w:val="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9BD"/>
    <w:rsid w:val="00001589"/>
    <w:rsid w:val="00025F91"/>
    <w:rsid w:val="00026AA1"/>
    <w:rsid w:val="00027520"/>
    <w:rsid w:val="00031A77"/>
    <w:rsid w:val="00032808"/>
    <w:rsid w:val="00042D58"/>
    <w:rsid w:val="00045A75"/>
    <w:rsid w:val="00057DAE"/>
    <w:rsid w:val="00063657"/>
    <w:rsid w:val="0007380B"/>
    <w:rsid w:val="000755DE"/>
    <w:rsid w:val="00076762"/>
    <w:rsid w:val="0008319B"/>
    <w:rsid w:val="00085CEE"/>
    <w:rsid w:val="00086DF6"/>
    <w:rsid w:val="000A02E2"/>
    <w:rsid w:val="000A37E9"/>
    <w:rsid w:val="000A3978"/>
    <w:rsid w:val="000A69E9"/>
    <w:rsid w:val="000A790A"/>
    <w:rsid w:val="000B1937"/>
    <w:rsid w:val="000C1FB0"/>
    <w:rsid w:val="000C2297"/>
    <w:rsid w:val="000C4D96"/>
    <w:rsid w:val="000C591A"/>
    <w:rsid w:val="000D2825"/>
    <w:rsid w:val="000E133F"/>
    <w:rsid w:val="000E21FF"/>
    <w:rsid w:val="000E2D7C"/>
    <w:rsid w:val="000E72CF"/>
    <w:rsid w:val="000E72E0"/>
    <w:rsid w:val="0010051F"/>
    <w:rsid w:val="00103780"/>
    <w:rsid w:val="001100F3"/>
    <w:rsid w:val="0012023E"/>
    <w:rsid w:val="001228C1"/>
    <w:rsid w:val="0012590D"/>
    <w:rsid w:val="001326AC"/>
    <w:rsid w:val="00137B70"/>
    <w:rsid w:val="0014102C"/>
    <w:rsid w:val="00142DEE"/>
    <w:rsid w:val="00145291"/>
    <w:rsid w:val="00157701"/>
    <w:rsid w:val="00167189"/>
    <w:rsid w:val="0017115A"/>
    <w:rsid w:val="001711E9"/>
    <w:rsid w:val="00171CA7"/>
    <w:rsid w:val="0018400F"/>
    <w:rsid w:val="00191205"/>
    <w:rsid w:val="00194C8E"/>
    <w:rsid w:val="0019553A"/>
    <w:rsid w:val="00195A4F"/>
    <w:rsid w:val="00197DD0"/>
    <w:rsid w:val="001A6CDE"/>
    <w:rsid w:val="001B23D7"/>
    <w:rsid w:val="001B4CF3"/>
    <w:rsid w:val="001C2211"/>
    <w:rsid w:val="001C7613"/>
    <w:rsid w:val="001D255E"/>
    <w:rsid w:val="001D2999"/>
    <w:rsid w:val="001D5030"/>
    <w:rsid w:val="001E1047"/>
    <w:rsid w:val="001F006A"/>
    <w:rsid w:val="001F1EF4"/>
    <w:rsid w:val="001F3B1E"/>
    <w:rsid w:val="00202373"/>
    <w:rsid w:val="00206C58"/>
    <w:rsid w:val="00212DB6"/>
    <w:rsid w:val="00215264"/>
    <w:rsid w:val="002178A6"/>
    <w:rsid w:val="00220BEF"/>
    <w:rsid w:val="00225DE9"/>
    <w:rsid w:val="00234BA5"/>
    <w:rsid w:val="0023657C"/>
    <w:rsid w:val="00242009"/>
    <w:rsid w:val="00242138"/>
    <w:rsid w:val="002576B7"/>
    <w:rsid w:val="002609F1"/>
    <w:rsid w:val="00265D2F"/>
    <w:rsid w:val="0027716C"/>
    <w:rsid w:val="0028375C"/>
    <w:rsid w:val="002837EA"/>
    <w:rsid w:val="00284607"/>
    <w:rsid w:val="00284B46"/>
    <w:rsid w:val="002861F6"/>
    <w:rsid w:val="002865E5"/>
    <w:rsid w:val="00293D85"/>
    <w:rsid w:val="00296FE2"/>
    <w:rsid w:val="002A4573"/>
    <w:rsid w:val="002A7698"/>
    <w:rsid w:val="002B199D"/>
    <w:rsid w:val="002B5932"/>
    <w:rsid w:val="002B6737"/>
    <w:rsid w:val="002B7447"/>
    <w:rsid w:val="002C38B3"/>
    <w:rsid w:val="002C6F30"/>
    <w:rsid w:val="002D5880"/>
    <w:rsid w:val="002D5A27"/>
    <w:rsid w:val="002D79E0"/>
    <w:rsid w:val="002E0A70"/>
    <w:rsid w:val="002F16B6"/>
    <w:rsid w:val="002F2981"/>
    <w:rsid w:val="00306929"/>
    <w:rsid w:val="00307675"/>
    <w:rsid w:val="00326AFE"/>
    <w:rsid w:val="00327951"/>
    <w:rsid w:val="00327D28"/>
    <w:rsid w:val="003449BE"/>
    <w:rsid w:val="00344DAC"/>
    <w:rsid w:val="00346BE2"/>
    <w:rsid w:val="00347CC0"/>
    <w:rsid w:val="00347FB9"/>
    <w:rsid w:val="003511AD"/>
    <w:rsid w:val="0035643A"/>
    <w:rsid w:val="00365B09"/>
    <w:rsid w:val="003709D8"/>
    <w:rsid w:val="00372BA2"/>
    <w:rsid w:val="00375282"/>
    <w:rsid w:val="003857A0"/>
    <w:rsid w:val="003A0286"/>
    <w:rsid w:val="003B0903"/>
    <w:rsid w:val="003B0A42"/>
    <w:rsid w:val="003C1AEE"/>
    <w:rsid w:val="003C44E3"/>
    <w:rsid w:val="003C4F8C"/>
    <w:rsid w:val="003D0868"/>
    <w:rsid w:val="003D3BBD"/>
    <w:rsid w:val="003E1869"/>
    <w:rsid w:val="003F2652"/>
    <w:rsid w:val="003F4A67"/>
    <w:rsid w:val="003F7904"/>
    <w:rsid w:val="00400CE7"/>
    <w:rsid w:val="004076C6"/>
    <w:rsid w:val="00410CB3"/>
    <w:rsid w:val="004118D4"/>
    <w:rsid w:val="00414A19"/>
    <w:rsid w:val="00420A29"/>
    <w:rsid w:val="004226EE"/>
    <w:rsid w:val="00433BDA"/>
    <w:rsid w:val="004403FC"/>
    <w:rsid w:val="0044238C"/>
    <w:rsid w:val="0044368C"/>
    <w:rsid w:val="00452A36"/>
    <w:rsid w:val="00465F57"/>
    <w:rsid w:val="00471EDE"/>
    <w:rsid w:val="00482C9D"/>
    <w:rsid w:val="00482F37"/>
    <w:rsid w:val="00483F65"/>
    <w:rsid w:val="004855DC"/>
    <w:rsid w:val="00495D8C"/>
    <w:rsid w:val="004C2C9C"/>
    <w:rsid w:val="004C4BA8"/>
    <w:rsid w:val="004C66A4"/>
    <w:rsid w:val="004D02F3"/>
    <w:rsid w:val="004D2C61"/>
    <w:rsid w:val="004E162D"/>
    <w:rsid w:val="004E7087"/>
    <w:rsid w:val="005004DE"/>
    <w:rsid w:val="00502479"/>
    <w:rsid w:val="00511880"/>
    <w:rsid w:val="0051255F"/>
    <w:rsid w:val="00515318"/>
    <w:rsid w:val="00516AB3"/>
    <w:rsid w:val="00521C19"/>
    <w:rsid w:val="00525DEE"/>
    <w:rsid w:val="005265F9"/>
    <w:rsid w:val="00526F65"/>
    <w:rsid w:val="0056397C"/>
    <w:rsid w:val="00565571"/>
    <w:rsid w:val="00565BC7"/>
    <w:rsid w:val="00566B8F"/>
    <w:rsid w:val="005702D4"/>
    <w:rsid w:val="00572CAC"/>
    <w:rsid w:val="00573DC7"/>
    <w:rsid w:val="00575874"/>
    <w:rsid w:val="005758FA"/>
    <w:rsid w:val="00575B1D"/>
    <w:rsid w:val="00580C96"/>
    <w:rsid w:val="00583B04"/>
    <w:rsid w:val="005843CE"/>
    <w:rsid w:val="00585AFE"/>
    <w:rsid w:val="00587CD0"/>
    <w:rsid w:val="00592556"/>
    <w:rsid w:val="005A13DB"/>
    <w:rsid w:val="005A1E76"/>
    <w:rsid w:val="005A349A"/>
    <w:rsid w:val="005B3C81"/>
    <w:rsid w:val="005B6FE4"/>
    <w:rsid w:val="005E4323"/>
    <w:rsid w:val="005F387F"/>
    <w:rsid w:val="005F5582"/>
    <w:rsid w:val="00604CD5"/>
    <w:rsid w:val="00611B98"/>
    <w:rsid w:val="006142BA"/>
    <w:rsid w:val="006244A9"/>
    <w:rsid w:val="00630088"/>
    <w:rsid w:val="00635CAF"/>
    <w:rsid w:val="006428AB"/>
    <w:rsid w:val="006446A1"/>
    <w:rsid w:val="006457B2"/>
    <w:rsid w:val="00651DB6"/>
    <w:rsid w:val="006535C2"/>
    <w:rsid w:val="00653788"/>
    <w:rsid w:val="006556A4"/>
    <w:rsid w:val="0067054B"/>
    <w:rsid w:val="006716CD"/>
    <w:rsid w:val="0068002D"/>
    <w:rsid w:val="0068521A"/>
    <w:rsid w:val="00691B50"/>
    <w:rsid w:val="00694098"/>
    <w:rsid w:val="006A6AD1"/>
    <w:rsid w:val="006B0544"/>
    <w:rsid w:val="006B1B56"/>
    <w:rsid w:val="006B600E"/>
    <w:rsid w:val="006C6144"/>
    <w:rsid w:val="006D7F8A"/>
    <w:rsid w:val="006E3A47"/>
    <w:rsid w:val="006F0DBC"/>
    <w:rsid w:val="006F3A62"/>
    <w:rsid w:val="00706CCA"/>
    <w:rsid w:val="00710D84"/>
    <w:rsid w:val="007127A5"/>
    <w:rsid w:val="00712A94"/>
    <w:rsid w:val="00713EDC"/>
    <w:rsid w:val="0071471A"/>
    <w:rsid w:val="00715631"/>
    <w:rsid w:val="00716033"/>
    <w:rsid w:val="0071704D"/>
    <w:rsid w:val="007354B3"/>
    <w:rsid w:val="007359A0"/>
    <w:rsid w:val="00736887"/>
    <w:rsid w:val="007371FE"/>
    <w:rsid w:val="007379BD"/>
    <w:rsid w:val="007407E7"/>
    <w:rsid w:val="00745861"/>
    <w:rsid w:val="007467DF"/>
    <w:rsid w:val="0075252A"/>
    <w:rsid w:val="00770979"/>
    <w:rsid w:val="007752B6"/>
    <w:rsid w:val="00780753"/>
    <w:rsid w:val="007809DE"/>
    <w:rsid w:val="00780B36"/>
    <w:rsid w:val="0078610D"/>
    <w:rsid w:val="00786A35"/>
    <w:rsid w:val="00790A4A"/>
    <w:rsid w:val="00791825"/>
    <w:rsid w:val="00792032"/>
    <w:rsid w:val="00795ADD"/>
    <w:rsid w:val="007A1F93"/>
    <w:rsid w:val="007A6096"/>
    <w:rsid w:val="007C1AAD"/>
    <w:rsid w:val="007C23A1"/>
    <w:rsid w:val="007D5A62"/>
    <w:rsid w:val="007D6780"/>
    <w:rsid w:val="007E3D7C"/>
    <w:rsid w:val="007E69C8"/>
    <w:rsid w:val="007F0F66"/>
    <w:rsid w:val="00806531"/>
    <w:rsid w:val="008068CB"/>
    <w:rsid w:val="00811057"/>
    <w:rsid w:val="00813559"/>
    <w:rsid w:val="00813E53"/>
    <w:rsid w:val="00814328"/>
    <w:rsid w:val="00820BA0"/>
    <w:rsid w:val="0082346F"/>
    <w:rsid w:val="008244CB"/>
    <w:rsid w:val="00824A56"/>
    <w:rsid w:val="00825681"/>
    <w:rsid w:val="00831C8B"/>
    <w:rsid w:val="008359FD"/>
    <w:rsid w:val="00835C75"/>
    <w:rsid w:val="00840BC5"/>
    <w:rsid w:val="00844A44"/>
    <w:rsid w:val="00854541"/>
    <w:rsid w:val="00854E05"/>
    <w:rsid w:val="00855EBB"/>
    <w:rsid w:val="00856A39"/>
    <w:rsid w:val="00856AEE"/>
    <w:rsid w:val="0086177F"/>
    <w:rsid w:val="00863AC9"/>
    <w:rsid w:val="0086715E"/>
    <w:rsid w:val="008700BD"/>
    <w:rsid w:val="00872C83"/>
    <w:rsid w:val="008760FE"/>
    <w:rsid w:val="0088127B"/>
    <w:rsid w:val="008844A8"/>
    <w:rsid w:val="00892F10"/>
    <w:rsid w:val="0089383A"/>
    <w:rsid w:val="0089705D"/>
    <w:rsid w:val="00897860"/>
    <w:rsid w:val="008A0B8A"/>
    <w:rsid w:val="008A1604"/>
    <w:rsid w:val="008A226D"/>
    <w:rsid w:val="008A22B9"/>
    <w:rsid w:val="008A26FD"/>
    <w:rsid w:val="008B73C8"/>
    <w:rsid w:val="008C4348"/>
    <w:rsid w:val="008C660A"/>
    <w:rsid w:val="008D348C"/>
    <w:rsid w:val="008D4C2A"/>
    <w:rsid w:val="008F0BE9"/>
    <w:rsid w:val="008F75A8"/>
    <w:rsid w:val="00901D61"/>
    <w:rsid w:val="00903C33"/>
    <w:rsid w:val="00913F27"/>
    <w:rsid w:val="009148B6"/>
    <w:rsid w:val="00920D41"/>
    <w:rsid w:val="0092216B"/>
    <w:rsid w:val="009275CE"/>
    <w:rsid w:val="00933AFE"/>
    <w:rsid w:val="00935FB8"/>
    <w:rsid w:val="009369E7"/>
    <w:rsid w:val="00937656"/>
    <w:rsid w:val="009520F4"/>
    <w:rsid w:val="00960832"/>
    <w:rsid w:val="00967624"/>
    <w:rsid w:val="009701EE"/>
    <w:rsid w:val="009726D9"/>
    <w:rsid w:val="00973054"/>
    <w:rsid w:val="00973C09"/>
    <w:rsid w:val="0098545C"/>
    <w:rsid w:val="00987981"/>
    <w:rsid w:val="00992711"/>
    <w:rsid w:val="009B3AD4"/>
    <w:rsid w:val="009B52BE"/>
    <w:rsid w:val="009C0142"/>
    <w:rsid w:val="009C01AE"/>
    <w:rsid w:val="009C0563"/>
    <w:rsid w:val="009C0A28"/>
    <w:rsid w:val="009C1821"/>
    <w:rsid w:val="009C72BD"/>
    <w:rsid w:val="009D4BCD"/>
    <w:rsid w:val="009D542C"/>
    <w:rsid w:val="009D73C0"/>
    <w:rsid w:val="009E1180"/>
    <w:rsid w:val="009E42E7"/>
    <w:rsid w:val="009F17B6"/>
    <w:rsid w:val="009F1F63"/>
    <w:rsid w:val="009F2A07"/>
    <w:rsid w:val="009F5887"/>
    <w:rsid w:val="00A04F9B"/>
    <w:rsid w:val="00A06952"/>
    <w:rsid w:val="00A24A70"/>
    <w:rsid w:val="00A25D60"/>
    <w:rsid w:val="00A312DF"/>
    <w:rsid w:val="00A32593"/>
    <w:rsid w:val="00A3320C"/>
    <w:rsid w:val="00A42385"/>
    <w:rsid w:val="00A51FB5"/>
    <w:rsid w:val="00A548D2"/>
    <w:rsid w:val="00A745EA"/>
    <w:rsid w:val="00A76576"/>
    <w:rsid w:val="00A80E12"/>
    <w:rsid w:val="00A813BA"/>
    <w:rsid w:val="00A83757"/>
    <w:rsid w:val="00A85221"/>
    <w:rsid w:val="00AA2E03"/>
    <w:rsid w:val="00AB05A3"/>
    <w:rsid w:val="00AB617E"/>
    <w:rsid w:val="00AB7174"/>
    <w:rsid w:val="00AC3C3A"/>
    <w:rsid w:val="00AC44C0"/>
    <w:rsid w:val="00AC65E3"/>
    <w:rsid w:val="00AE060F"/>
    <w:rsid w:val="00AE2855"/>
    <w:rsid w:val="00AE47EA"/>
    <w:rsid w:val="00AE4FFC"/>
    <w:rsid w:val="00B05AB8"/>
    <w:rsid w:val="00B07175"/>
    <w:rsid w:val="00B10E29"/>
    <w:rsid w:val="00B1268A"/>
    <w:rsid w:val="00B172A1"/>
    <w:rsid w:val="00B17D6E"/>
    <w:rsid w:val="00B202EE"/>
    <w:rsid w:val="00B208FA"/>
    <w:rsid w:val="00B21CA3"/>
    <w:rsid w:val="00B23587"/>
    <w:rsid w:val="00B2785B"/>
    <w:rsid w:val="00B36E96"/>
    <w:rsid w:val="00B4175A"/>
    <w:rsid w:val="00B446C0"/>
    <w:rsid w:val="00B44B08"/>
    <w:rsid w:val="00B526B3"/>
    <w:rsid w:val="00B56519"/>
    <w:rsid w:val="00B61DAE"/>
    <w:rsid w:val="00B62F4B"/>
    <w:rsid w:val="00B63CD4"/>
    <w:rsid w:val="00B65641"/>
    <w:rsid w:val="00B67417"/>
    <w:rsid w:val="00B67E89"/>
    <w:rsid w:val="00B70B8A"/>
    <w:rsid w:val="00B71B65"/>
    <w:rsid w:val="00B767B5"/>
    <w:rsid w:val="00B83ABE"/>
    <w:rsid w:val="00B84E22"/>
    <w:rsid w:val="00B8546D"/>
    <w:rsid w:val="00B90057"/>
    <w:rsid w:val="00B94281"/>
    <w:rsid w:val="00B9522C"/>
    <w:rsid w:val="00BA105E"/>
    <w:rsid w:val="00BA40EC"/>
    <w:rsid w:val="00BA600A"/>
    <w:rsid w:val="00BA69FC"/>
    <w:rsid w:val="00BA6F94"/>
    <w:rsid w:val="00BB2AB1"/>
    <w:rsid w:val="00BB351F"/>
    <w:rsid w:val="00BB409C"/>
    <w:rsid w:val="00BB4808"/>
    <w:rsid w:val="00BB5ECC"/>
    <w:rsid w:val="00BC3199"/>
    <w:rsid w:val="00BC6C50"/>
    <w:rsid w:val="00BD1EAB"/>
    <w:rsid w:val="00BE52C5"/>
    <w:rsid w:val="00C0134E"/>
    <w:rsid w:val="00C0642B"/>
    <w:rsid w:val="00C12729"/>
    <w:rsid w:val="00C1706A"/>
    <w:rsid w:val="00C21AEB"/>
    <w:rsid w:val="00C25400"/>
    <w:rsid w:val="00C3777D"/>
    <w:rsid w:val="00C40AA9"/>
    <w:rsid w:val="00C432A7"/>
    <w:rsid w:val="00C468EA"/>
    <w:rsid w:val="00C46970"/>
    <w:rsid w:val="00C553A2"/>
    <w:rsid w:val="00C57CF6"/>
    <w:rsid w:val="00C605A5"/>
    <w:rsid w:val="00C6399E"/>
    <w:rsid w:val="00C760B0"/>
    <w:rsid w:val="00C76FDC"/>
    <w:rsid w:val="00C858B0"/>
    <w:rsid w:val="00C9207F"/>
    <w:rsid w:val="00C92F5F"/>
    <w:rsid w:val="00C92FDB"/>
    <w:rsid w:val="00C965CE"/>
    <w:rsid w:val="00CA24FF"/>
    <w:rsid w:val="00CA27C2"/>
    <w:rsid w:val="00CA2842"/>
    <w:rsid w:val="00CA4D59"/>
    <w:rsid w:val="00CA4FAF"/>
    <w:rsid w:val="00CA60B6"/>
    <w:rsid w:val="00CA61CD"/>
    <w:rsid w:val="00CB48B8"/>
    <w:rsid w:val="00CB69FB"/>
    <w:rsid w:val="00CC1FA7"/>
    <w:rsid w:val="00CC56C6"/>
    <w:rsid w:val="00CD36BC"/>
    <w:rsid w:val="00CD71AF"/>
    <w:rsid w:val="00CD72D8"/>
    <w:rsid w:val="00CE29BE"/>
    <w:rsid w:val="00CE41AD"/>
    <w:rsid w:val="00CE60E5"/>
    <w:rsid w:val="00CE73C3"/>
    <w:rsid w:val="00CF1CE0"/>
    <w:rsid w:val="00CF1DC9"/>
    <w:rsid w:val="00CF4248"/>
    <w:rsid w:val="00CF437B"/>
    <w:rsid w:val="00CF51CA"/>
    <w:rsid w:val="00CF6812"/>
    <w:rsid w:val="00CF7278"/>
    <w:rsid w:val="00D00AED"/>
    <w:rsid w:val="00D05608"/>
    <w:rsid w:val="00D07CA5"/>
    <w:rsid w:val="00D14FA6"/>
    <w:rsid w:val="00D176E6"/>
    <w:rsid w:val="00D20535"/>
    <w:rsid w:val="00D21D19"/>
    <w:rsid w:val="00D354F5"/>
    <w:rsid w:val="00D432EE"/>
    <w:rsid w:val="00D44518"/>
    <w:rsid w:val="00D54D37"/>
    <w:rsid w:val="00D55D7B"/>
    <w:rsid w:val="00D61D64"/>
    <w:rsid w:val="00D66AC5"/>
    <w:rsid w:val="00D67303"/>
    <w:rsid w:val="00D75834"/>
    <w:rsid w:val="00D80858"/>
    <w:rsid w:val="00D81529"/>
    <w:rsid w:val="00D82D6D"/>
    <w:rsid w:val="00D85DC1"/>
    <w:rsid w:val="00D92178"/>
    <w:rsid w:val="00D94F39"/>
    <w:rsid w:val="00D952C4"/>
    <w:rsid w:val="00D959F4"/>
    <w:rsid w:val="00DA2471"/>
    <w:rsid w:val="00DA7436"/>
    <w:rsid w:val="00DB77E2"/>
    <w:rsid w:val="00DC1BF7"/>
    <w:rsid w:val="00DC50BF"/>
    <w:rsid w:val="00DC634C"/>
    <w:rsid w:val="00DC687B"/>
    <w:rsid w:val="00DC6FCE"/>
    <w:rsid w:val="00DE683E"/>
    <w:rsid w:val="00DE68C2"/>
    <w:rsid w:val="00DF1DB3"/>
    <w:rsid w:val="00DF3C9D"/>
    <w:rsid w:val="00DF49BD"/>
    <w:rsid w:val="00DF4D3D"/>
    <w:rsid w:val="00E01EF7"/>
    <w:rsid w:val="00E04C70"/>
    <w:rsid w:val="00E108B8"/>
    <w:rsid w:val="00E125D7"/>
    <w:rsid w:val="00E12C50"/>
    <w:rsid w:val="00E2435B"/>
    <w:rsid w:val="00E35D4D"/>
    <w:rsid w:val="00E374E1"/>
    <w:rsid w:val="00E44F28"/>
    <w:rsid w:val="00E47AB5"/>
    <w:rsid w:val="00E50094"/>
    <w:rsid w:val="00E5602E"/>
    <w:rsid w:val="00E570C9"/>
    <w:rsid w:val="00E62B54"/>
    <w:rsid w:val="00E64459"/>
    <w:rsid w:val="00E64874"/>
    <w:rsid w:val="00E816DD"/>
    <w:rsid w:val="00E846F0"/>
    <w:rsid w:val="00E85231"/>
    <w:rsid w:val="00E92FE9"/>
    <w:rsid w:val="00E93757"/>
    <w:rsid w:val="00E94258"/>
    <w:rsid w:val="00EA1BBB"/>
    <w:rsid w:val="00EA1FF6"/>
    <w:rsid w:val="00EC1078"/>
    <w:rsid w:val="00EC4220"/>
    <w:rsid w:val="00EC6727"/>
    <w:rsid w:val="00ED61C2"/>
    <w:rsid w:val="00EE2D73"/>
    <w:rsid w:val="00EF147C"/>
    <w:rsid w:val="00F01206"/>
    <w:rsid w:val="00F04956"/>
    <w:rsid w:val="00F0708F"/>
    <w:rsid w:val="00F12619"/>
    <w:rsid w:val="00F221A1"/>
    <w:rsid w:val="00F22CBD"/>
    <w:rsid w:val="00F232F6"/>
    <w:rsid w:val="00F277C5"/>
    <w:rsid w:val="00F36729"/>
    <w:rsid w:val="00F441A4"/>
    <w:rsid w:val="00F478AA"/>
    <w:rsid w:val="00F5122E"/>
    <w:rsid w:val="00F558CF"/>
    <w:rsid w:val="00F5648A"/>
    <w:rsid w:val="00F609D5"/>
    <w:rsid w:val="00F6127F"/>
    <w:rsid w:val="00F65CE6"/>
    <w:rsid w:val="00F65DFE"/>
    <w:rsid w:val="00F665B1"/>
    <w:rsid w:val="00F71C5D"/>
    <w:rsid w:val="00F750C4"/>
    <w:rsid w:val="00F75E84"/>
    <w:rsid w:val="00F76B4F"/>
    <w:rsid w:val="00F861DB"/>
    <w:rsid w:val="00F87DEF"/>
    <w:rsid w:val="00F93AB5"/>
    <w:rsid w:val="00FA1A59"/>
    <w:rsid w:val="00FA2E4B"/>
    <w:rsid w:val="00FA470F"/>
    <w:rsid w:val="00FA73DC"/>
    <w:rsid w:val="00FB2A33"/>
    <w:rsid w:val="00FB3241"/>
    <w:rsid w:val="00FB37A0"/>
    <w:rsid w:val="00FB50C3"/>
    <w:rsid w:val="00FE14EE"/>
    <w:rsid w:val="00FF3CD2"/>
    <w:rsid w:val="00FF493E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D7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379BD"/>
    <w:pPr>
      <w:ind w:left="720"/>
      <w:contextualSpacing/>
    </w:pPr>
  </w:style>
  <w:style w:type="table" w:styleId="Rcsostblzat">
    <w:name w:val="Table Grid"/>
    <w:basedOn w:val="Normltblzat"/>
    <w:uiPriority w:val="59"/>
    <w:rsid w:val="0024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98798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A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B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93D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93D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3D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3D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2576B7"/>
    <w:pPr>
      <w:tabs>
        <w:tab w:val="left" w:pos="3740"/>
        <w:tab w:val="left" w:pos="5720"/>
      </w:tabs>
      <w:overflowPunct/>
      <w:autoSpaceDE/>
      <w:autoSpaceDN/>
      <w:adjustRightInd/>
      <w:spacing w:after="200" w:line="276" w:lineRule="auto"/>
      <w:textAlignment w:val="auto"/>
    </w:pPr>
    <w:rPr>
      <w:rFonts w:eastAsia="Calibri" w:cs="Arial"/>
      <w:szCs w:val="22"/>
    </w:rPr>
  </w:style>
  <w:style w:type="character" w:customStyle="1" w:styleId="BPszvegtestChar">
    <w:name w:val="BP_szövegtest Char"/>
    <w:basedOn w:val="Bekezdsalapbettpusa"/>
    <w:link w:val="BPszvegtest"/>
    <w:locked/>
    <w:rsid w:val="0092216B"/>
    <w:rPr>
      <w:rFonts w:ascii="Arial" w:eastAsia="Calibri" w:hAnsi="Arial" w:cs="Arial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76B4F"/>
    <w:rPr>
      <w:rFonts w:ascii="Arial" w:eastAsia="Times New Roman" w:hAnsi="Arial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B63CD4"/>
    <w:pPr>
      <w:jc w:val="left"/>
      <w:textAlignment w:val="auto"/>
    </w:pPr>
    <w:rPr>
      <w:rFonts w:eastAsiaTheme="minorEastAsia" w:cs="Arial"/>
      <w:sz w:val="24"/>
      <w:szCs w:val="24"/>
      <w:lang w:eastAsia="en-US" w:bidi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B63CD4"/>
    <w:rPr>
      <w:rFonts w:ascii="Arial" w:eastAsiaTheme="minorEastAsia" w:hAnsi="Arial" w:cs="Arial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D7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79BD"/>
    <w:pPr>
      <w:ind w:left="720"/>
      <w:contextualSpacing/>
    </w:pPr>
  </w:style>
  <w:style w:type="table" w:styleId="Rcsostblzat">
    <w:name w:val="Table Grid"/>
    <w:basedOn w:val="Normltblzat"/>
    <w:uiPriority w:val="59"/>
    <w:rsid w:val="0024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98798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A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B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93D8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93D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3D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3D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2576B7"/>
    <w:pPr>
      <w:tabs>
        <w:tab w:val="left" w:pos="3740"/>
        <w:tab w:val="left" w:pos="5720"/>
      </w:tabs>
      <w:overflowPunct/>
      <w:autoSpaceDE/>
      <w:autoSpaceDN/>
      <w:adjustRightInd/>
      <w:spacing w:after="200" w:line="276" w:lineRule="auto"/>
      <w:textAlignment w:val="auto"/>
    </w:pPr>
    <w:rPr>
      <w:rFonts w:eastAsia="Calibri" w:cs="Arial"/>
      <w:szCs w:val="22"/>
    </w:rPr>
  </w:style>
  <w:style w:type="character" w:customStyle="1" w:styleId="BPszvegtestChar">
    <w:name w:val="BP_szövegtest Char"/>
    <w:basedOn w:val="Bekezdsalapbettpusa"/>
    <w:link w:val="BPszvegtest"/>
    <w:locked/>
    <w:rsid w:val="0092216B"/>
    <w:rPr>
      <w:rFonts w:ascii="Arial" w:eastAsia="Calibri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13</Pages>
  <Words>3156</Words>
  <Characters>21784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Czinkóczi Csilla</dc:creator>
  <cp:lastModifiedBy>czinkoczics</cp:lastModifiedBy>
  <cp:revision>97</cp:revision>
  <cp:lastPrinted>2015-06-08T07:23:00Z</cp:lastPrinted>
  <dcterms:created xsi:type="dcterms:W3CDTF">2015-04-29T12:38:00Z</dcterms:created>
  <dcterms:modified xsi:type="dcterms:W3CDTF">2015-06-08T14:14:00Z</dcterms:modified>
</cp:coreProperties>
</file>