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14338"/>
        <w:gridCol w:w="546"/>
      </w:tblGrid>
      <w:tr w:rsidR="008D02A2" w:rsidTr="008D02A2">
        <w:tc>
          <w:tcPr>
            <w:tcW w:w="14338" w:type="dxa"/>
            <w:vAlign w:val="center"/>
          </w:tcPr>
          <w:tbl>
            <w:tblPr>
              <w:tblW w:w="14107" w:type="dxa"/>
              <w:tblLook w:val="01E0" w:firstRow="1" w:lastRow="1" w:firstColumn="1" w:lastColumn="1" w:noHBand="0" w:noVBand="0"/>
            </w:tblPr>
            <w:tblGrid>
              <w:gridCol w:w="938"/>
              <w:gridCol w:w="13169"/>
            </w:tblGrid>
            <w:tr w:rsidR="00D53E4D" w:rsidTr="00D53E4D">
              <w:tc>
                <w:tcPr>
                  <w:tcW w:w="938" w:type="dxa"/>
                  <w:shd w:val="clear" w:color="auto" w:fill="B3B3B3"/>
                  <w:hideMark/>
                </w:tcPr>
                <w:p w:rsidR="00D53E4D" w:rsidRDefault="00D53E4D" w:rsidP="00D53E4D">
                  <w:pPr>
                    <w:pStyle w:val="Cm"/>
                    <w:spacing w:line="256" w:lineRule="auto"/>
                    <w:ind w:left="-136"/>
                    <w:jc w:val="left"/>
                    <w:rPr>
                      <w:rFonts w:cs="Arial"/>
                      <w:bCs w:val="0"/>
                      <w:cap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69" w:type="dxa"/>
                  <w:shd w:val="clear" w:color="auto" w:fill="B3B3B3"/>
                  <w:vAlign w:val="center"/>
                  <w:hideMark/>
                </w:tcPr>
                <w:p w:rsidR="00D53E4D" w:rsidRDefault="00D53E4D" w:rsidP="00D53E4D">
                  <w:pPr>
                    <w:pStyle w:val="Cm"/>
                    <w:spacing w:line="256" w:lineRule="auto"/>
                    <w:ind w:left="-136"/>
                    <w:jc w:val="left"/>
                    <w:rPr>
                      <w:rFonts w:cs="Arial"/>
                      <w:bCs w:val="0"/>
                      <w:cap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="Arial"/>
                      <w:bCs w:val="0"/>
                      <w:caps w:val="0"/>
                      <w:sz w:val="24"/>
                      <w:szCs w:val="24"/>
                      <w:lang w:eastAsia="en-US"/>
                    </w:rPr>
                    <w:t>Budapest Főváros XXIII. kerület Soroksár Önkormányzata KÉSZ kidolgozásával összefüggésben TSZT módosítás kezdeményezése</w:t>
                  </w:r>
                </w:p>
              </w:tc>
            </w:tr>
            <w:tr w:rsidR="00D53E4D" w:rsidTr="00D53E4D">
              <w:tc>
                <w:tcPr>
                  <w:tcW w:w="938" w:type="dxa"/>
                  <w:vAlign w:val="center"/>
                </w:tcPr>
                <w:p w:rsidR="00D53E4D" w:rsidRDefault="00D53E4D" w:rsidP="00D53E4D">
                  <w:pPr>
                    <w:pStyle w:val="Cm"/>
                    <w:spacing w:line="256" w:lineRule="auto"/>
                    <w:ind w:left="-136"/>
                    <w:jc w:val="left"/>
                    <w:rPr>
                      <w:bCs w:val="0"/>
                      <w:i/>
                      <w:caps w:val="0"/>
                      <w:snapToGrid w:val="0"/>
                      <w:spacing w:val="2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169" w:type="dxa"/>
                  <w:vAlign w:val="center"/>
                  <w:hideMark/>
                </w:tcPr>
                <w:p w:rsidR="00D53E4D" w:rsidRDefault="00D53E4D" w:rsidP="00D53E4D">
                  <w:pPr>
                    <w:spacing w:before="40" w:after="40" w:line="256" w:lineRule="auto"/>
                    <w:ind w:left="-136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eastAsia="en-US"/>
                    </w:rPr>
                    <w:t>(Ügyiratszám: VI-2621-2/2017)</w:t>
                  </w:r>
                </w:p>
              </w:tc>
            </w:tr>
            <w:tr w:rsidR="00D53E4D" w:rsidTr="00D53E4D">
              <w:tc>
                <w:tcPr>
                  <w:tcW w:w="14107" w:type="dxa"/>
                  <w:gridSpan w:val="2"/>
                  <w:vAlign w:val="center"/>
                </w:tcPr>
                <w:p w:rsidR="00D53E4D" w:rsidRDefault="00D53E4D" w:rsidP="00D53E4D">
                  <w:pPr>
                    <w:spacing w:before="40" w:after="40" w:line="256" w:lineRule="auto"/>
                    <w:ind w:left="-136"/>
                    <w:rPr>
                      <w:rFonts w:ascii="Arial Narrow" w:eastAsiaTheme="minorHAnsi" w:hAnsi="Arial Narrow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D53E4D" w:rsidRDefault="00D53E4D" w:rsidP="00D53E4D">
                  <w:pPr>
                    <w:spacing w:before="40" w:after="40" w:line="256" w:lineRule="auto"/>
                    <w:ind w:left="-136"/>
                    <w:rPr>
                      <w:rFonts w:ascii="Arial Narrow" w:hAnsi="Arial Narrow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b/>
                      <w:bCs/>
                      <w:sz w:val="20"/>
                      <w:szCs w:val="20"/>
                      <w:lang w:eastAsia="en-US"/>
                    </w:rPr>
                    <w:t xml:space="preserve">Budapest </w:t>
                  </w:r>
                  <w:r>
                    <w:rPr>
                      <w:rFonts w:ascii="Arial Narrow" w:eastAsia="HiddenHorzOCR" w:hAnsi="Arial Narrow" w:cs="HiddenHorzOCR"/>
                      <w:b/>
                      <w:sz w:val="20"/>
                      <w:szCs w:val="20"/>
                      <w:lang w:eastAsia="en-US"/>
                    </w:rPr>
                    <w:t>Főváros</w:t>
                  </w:r>
                  <w:r>
                    <w:rPr>
                      <w:rFonts w:ascii="Arial Narrow" w:eastAsia="HiddenHorzOCR" w:hAnsi="Arial Narrow" w:cs="HiddenHorzOCR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 Narrow" w:eastAsiaTheme="minorHAnsi" w:hAnsi="Arial Narrow"/>
                      <w:b/>
                      <w:bCs/>
                      <w:sz w:val="20"/>
                      <w:szCs w:val="20"/>
                      <w:lang w:eastAsia="en-US"/>
                    </w:rPr>
                    <w:t xml:space="preserve">XXIII. kerület Soroksár Önkormányzat </w:t>
                  </w:r>
                  <w:r>
                    <w:rPr>
                      <w:rFonts w:ascii="Arial Narrow" w:eastAsia="HiddenHorzOCR" w:hAnsi="Arial Narrow" w:cs="HiddenHorzOCR"/>
                      <w:b/>
                      <w:sz w:val="20"/>
                      <w:szCs w:val="20"/>
                      <w:lang w:eastAsia="en-US"/>
                    </w:rPr>
                    <w:t>Képviselő</w:t>
                  </w:r>
                  <w:r>
                    <w:rPr>
                      <w:rFonts w:ascii="Arial Narrow" w:eastAsiaTheme="minorHAnsi" w:hAnsi="Arial Narrow"/>
                      <w:b/>
                      <w:bCs/>
                      <w:sz w:val="20"/>
                      <w:szCs w:val="20"/>
                      <w:lang w:eastAsia="en-US"/>
                    </w:rPr>
                    <w:t xml:space="preserve">testületének 2017. január 17. napján meghozott 45/2017. (1.17.) határozata </w:t>
                  </w:r>
                  <w:r>
                    <w:rPr>
                      <w:rFonts w:ascii="Arial Narrow" w:eastAsiaTheme="minorHAnsi" w:hAnsi="Arial Narrow"/>
                      <w:sz w:val="20"/>
                      <w:szCs w:val="20"/>
                      <w:lang w:eastAsia="en-US"/>
                    </w:rPr>
                    <w:t xml:space="preserve">a 314/2012.(Xl.8.) Korm. rendelet 32. § (2) bekezdése értelmében kezdeményezi a jelen határozat mellékletét </w:t>
                  </w:r>
                  <w:r>
                    <w:rPr>
                      <w:rFonts w:ascii="Arial Narrow" w:eastAsia="HiddenHorzOCR" w:hAnsi="Arial Narrow" w:cs="HiddenHorzOCR"/>
                      <w:sz w:val="20"/>
                      <w:szCs w:val="20"/>
                      <w:lang w:eastAsia="en-US"/>
                    </w:rPr>
                    <w:t xml:space="preserve">képező </w:t>
                  </w:r>
                  <w:r>
                    <w:rPr>
                      <w:rFonts w:ascii="Arial Narrow" w:eastAsiaTheme="minorHAnsi" w:hAnsi="Arial Narrow"/>
                      <w:sz w:val="20"/>
                      <w:szCs w:val="20"/>
                      <w:lang w:eastAsia="en-US"/>
                    </w:rPr>
                    <w:t xml:space="preserve">JT-05/a-d </w:t>
                  </w:r>
                  <w:r>
                    <w:rPr>
                      <w:rFonts w:ascii="Arial Narrow" w:eastAsia="HiddenHorzOCR" w:hAnsi="Arial Narrow" w:cs="HiddenHorzOCR"/>
                      <w:sz w:val="20"/>
                      <w:szCs w:val="20"/>
                      <w:lang w:eastAsia="en-US"/>
                    </w:rPr>
                    <w:t xml:space="preserve">jelű </w:t>
                  </w:r>
                  <w:r>
                    <w:rPr>
                      <w:rFonts w:ascii="Arial Narrow" w:eastAsiaTheme="minorHAnsi" w:hAnsi="Arial Narrow"/>
                      <w:sz w:val="20"/>
                      <w:szCs w:val="20"/>
                      <w:lang w:eastAsia="en-US"/>
                    </w:rPr>
                    <w:t xml:space="preserve">tervlapok szerint a Budapest </w:t>
                  </w:r>
                  <w:r w:rsidR="00766E38">
                    <w:rPr>
                      <w:rFonts w:ascii="Arial Narrow" w:eastAsia="HiddenHorzOCR" w:hAnsi="Arial Narrow" w:cs="HiddenHorzOCR"/>
                      <w:sz w:val="20"/>
                      <w:szCs w:val="20"/>
                      <w:lang w:eastAsia="en-US"/>
                    </w:rPr>
                    <w:t>f</w:t>
                  </w:r>
                  <w:r>
                    <w:rPr>
                      <w:rFonts w:ascii="Arial Narrow" w:eastAsia="HiddenHorzOCR" w:hAnsi="Arial Narrow" w:cs="HiddenHorzOCR"/>
                      <w:sz w:val="20"/>
                      <w:szCs w:val="20"/>
                      <w:lang w:eastAsia="en-US"/>
                    </w:rPr>
                    <w:t xml:space="preserve">őváros </w:t>
                  </w:r>
                  <w:r w:rsidR="00766E38">
                    <w:rPr>
                      <w:rFonts w:ascii="Arial Narrow" w:eastAsiaTheme="minorHAnsi" w:hAnsi="Arial Narrow"/>
                      <w:sz w:val="20"/>
                      <w:szCs w:val="20"/>
                      <w:lang w:eastAsia="en-US"/>
                    </w:rPr>
                    <w:t>t</w:t>
                  </w:r>
                  <w:r>
                    <w:rPr>
                      <w:rFonts w:ascii="Arial Narrow" w:eastAsiaTheme="minorHAnsi" w:hAnsi="Arial Narrow"/>
                      <w:sz w:val="20"/>
                      <w:szCs w:val="20"/>
                      <w:lang w:eastAsia="en-US"/>
                    </w:rPr>
                    <w:t>elepülésszerkezeti tervének módosítását az alábbi indokok alapján:</w:t>
                  </w:r>
                </w:p>
              </w:tc>
            </w:tr>
          </w:tbl>
          <w:p w:rsidR="008D02A2" w:rsidRDefault="008D02A2">
            <w:pPr>
              <w:spacing w:before="40" w:after="40" w:line="256" w:lineRule="auto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46" w:type="dxa"/>
          </w:tcPr>
          <w:p w:rsidR="008D02A2" w:rsidRDefault="008D02A2">
            <w:pPr>
              <w:spacing w:before="40" w:after="40" w:line="256" w:lineRule="auto"/>
              <w:rPr>
                <w:rFonts w:ascii="Arial Narrow" w:hAnsi="Arial Narrow" w:cs="Arial"/>
                <w:i/>
                <w:sz w:val="20"/>
                <w:szCs w:val="20"/>
                <w:lang w:eastAsia="en-US"/>
              </w:rPr>
            </w:pPr>
          </w:p>
        </w:tc>
      </w:tr>
    </w:tbl>
    <w:p w:rsidR="008D02A2" w:rsidRDefault="008D02A2" w:rsidP="008D02A2">
      <w:pPr>
        <w:rPr>
          <w:sz w:val="2"/>
          <w:szCs w:val="2"/>
        </w:rPr>
      </w:pPr>
    </w:p>
    <w:tbl>
      <w:tblPr>
        <w:tblW w:w="1419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5981"/>
        <w:gridCol w:w="6946"/>
      </w:tblGrid>
      <w:tr w:rsidR="008D02A2" w:rsidTr="008D02A2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</w:p>
        </w:tc>
      </w:tr>
      <w:tr w:rsidR="008D02A2" w:rsidTr="008D02A2">
        <w:tc>
          <w:tcPr>
            <w:tcW w:w="141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02A2" w:rsidRDefault="00766E38" w:rsidP="00D53E4D">
            <w:pPr>
              <w:spacing w:line="256" w:lineRule="auto"/>
              <w:ind w:left="-83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Cs w:val="20"/>
                <w:lang w:eastAsia="en-US"/>
              </w:rPr>
              <w:t>1. E</w:t>
            </w:r>
            <w:r w:rsidR="008D02A2">
              <w:rPr>
                <w:rFonts w:ascii="Arial Narrow" w:hAnsi="Arial Narrow" w:cs="Arial"/>
                <w:b/>
                <w:szCs w:val="20"/>
                <w:lang w:eastAsia="en-US"/>
              </w:rPr>
              <w:t xml:space="preserve">lfogadásra javasolt </w:t>
            </w:r>
            <w:r>
              <w:rPr>
                <w:rFonts w:ascii="Arial Narrow" w:hAnsi="Arial Narrow" w:cs="Arial"/>
                <w:b/>
                <w:szCs w:val="20"/>
                <w:lang w:eastAsia="en-US"/>
              </w:rPr>
              <w:t>kerületi kérelmek</w:t>
            </w:r>
          </w:p>
        </w:tc>
      </w:tr>
      <w:tr w:rsidR="008D02A2" w:rsidTr="008D02A2"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</w:p>
        </w:tc>
      </w:tr>
      <w:tr w:rsidR="008D02A2" w:rsidTr="008D02A2">
        <w:tc>
          <w:tcPr>
            <w:tcW w:w="14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Cs w:val="20"/>
                <w:lang w:eastAsia="en-US"/>
              </w:rPr>
              <w:t xml:space="preserve">JT-05/a </w:t>
            </w:r>
            <w:r>
              <w:rPr>
                <w:rFonts w:ascii="Arial Narrow" w:eastAsia="HiddenHorzOCR" w:hAnsi="Arial Narrow" w:cs="HiddenHorzOCR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szCs w:val="20"/>
                <w:lang w:eastAsia="en-US"/>
              </w:rPr>
              <w:t>tervlapon jelölt módosítások:</w:t>
            </w:r>
          </w:p>
        </w:tc>
      </w:tr>
      <w:tr w:rsidR="008D02A2" w:rsidTr="008D02A2"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</w:t>
            </w:r>
            <w:r w:rsidR="0042592E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/</w:t>
            </w: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JT-05/a_1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eastAsiaTheme="minorHAnsi" w:hAnsi="Arial Narrow"/>
                <w:iCs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Molnár utca elején, a volt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napközis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tábor és az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üdülőterületi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fejlesztésre kijelölt terület között kialakult, 186593/83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-ú belterületi telek </w:t>
            </w:r>
            <w:proofErr w:type="spellStart"/>
            <w:r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Üh</w:t>
            </w:r>
            <w:proofErr w:type="spellEnd"/>
            <w:r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üdülőterületként történő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jelölése javasolt infrastruktúra fejlesztése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előfeltétel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nélkül, mivel a hatályos kerületi szabályozási terv is már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üdülőterületi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építési övezetbe sorolja.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br/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Az 186593/83 </w:t>
            </w:r>
            <w:proofErr w:type="spellStart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-ú ingatlan </w:t>
            </w:r>
            <w:proofErr w:type="spellStart"/>
            <w:r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Üh</w:t>
            </w:r>
            <w:proofErr w:type="spellEnd"/>
            <w:r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>üdülőterületbe kerül átsorolásra.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</w:t>
            </w:r>
            <w:r w:rsidR="0042592E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/</w:t>
            </w: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2.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JT-05/a_2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Javasolt a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Hősök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tere Duna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felőli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végében található 185959, 185961, 185962, 185963, 185964, 185966, 185967, 186012 és 186013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.-ú ingatlanok és a 185965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-ú ingatlan érintett részének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Vt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-H kiemelt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jelentőségű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helyi központi területként való kijelölése, mivel ezek az ingatlanok szervesen a kerületközponthoz tartoznak.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A véleményben felsorolt ingatlanok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Vt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-H kiemelt jelentőségű helyi központi területbe kerülnek átsorolásra</w:t>
            </w:r>
          </w:p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</w:p>
        </w:tc>
      </w:tr>
      <w:tr w:rsidR="008D02A2" w:rsidTr="008D02A2">
        <w:trPr>
          <w:trHeight w:val="274"/>
        </w:trPr>
        <w:tc>
          <w:tcPr>
            <w:tcW w:w="14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Cs w:val="20"/>
                <w:lang w:eastAsia="en-US"/>
              </w:rPr>
              <w:t xml:space="preserve">JT-05/b </w:t>
            </w:r>
            <w:r>
              <w:rPr>
                <w:rFonts w:ascii="Arial Narrow" w:eastAsia="HiddenHorzOCR" w:hAnsi="Arial Narrow" w:cs="HiddenHorzOCR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szCs w:val="20"/>
                <w:lang w:eastAsia="en-US"/>
              </w:rPr>
              <w:t>tervlapon jelölt módosítások: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3.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JT-05/b_5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A Péterimajor közelében található területen jelenleg nincs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erdő,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ezért javasolt nem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meglévőként,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hanem tervezett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erdőterületként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feltüntetni.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 xml:space="preserve">A </w:t>
            </w:r>
            <w:r w:rsidR="00766E38"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kérelemnek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 xml:space="preserve"> megfelelően módosításra kerül.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4.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JT-05/b_8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 tervezett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Külső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kerületi körút </w:t>
            </w:r>
            <w:r>
              <w:rPr>
                <w:rFonts w:ascii="Arial Narrow" w:eastAsiaTheme="minorHAnsi" w:hAnsi="Arial Narrow"/>
                <w:color w:val="1E1E1E"/>
                <w:sz w:val="20"/>
                <w:szCs w:val="20"/>
                <w:lang w:eastAsia="en-US"/>
              </w:rPr>
              <w:t>nyom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vonalát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javasolt a Vecsés út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meglévő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nyomvonalán vezetni a vasút déli oldala helyett,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ezért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az érintett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szakaszon </w:t>
            </w:r>
            <w:proofErr w:type="spellStart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KÖu</w:t>
            </w:r>
            <w:proofErr w:type="spellEnd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közúti közlekedési terület jelölése indokolt.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„23.5 A Vecsés út folytatásában a Külső keleti körút nyomvonala a Nagy Burma északi oldalára kerül.”</w:t>
            </w:r>
          </w:p>
          <w:p w:rsidR="006B7F60" w:rsidRPr="006B7F60" w:rsidRDefault="006B7F60" w:rsidP="006B7F6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</w:pP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>Az 1/4., az 1/5. és az 1.9. javaslat összefügg.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5.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JT-05/b_10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JT-05/b_11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color w:val="1E1E1E"/>
                <w:sz w:val="20"/>
                <w:szCs w:val="20"/>
                <w:lang w:eastAsia="en-US"/>
              </w:rPr>
              <w:t>terv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ezett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külső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kerületi körút </w:t>
            </w:r>
            <w:r>
              <w:rPr>
                <w:rFonts w:ascii="Arial Narrow" w:eastAsiaTheme="minorHAnsi" w:hAnsi="Arial Narrow"/>
                <w:color w:val="1E1E1E"/>
                <w:sz w:val="20"/>
                <w:szCs w:val="20"/>
                <w:lang w:eastAsia="en-US"/>
              </w:rPr>
              <w:t xml:space="preserve">nyomvonalát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javasolt a Vecsés út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meglévő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nyomvonalán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vezetni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vasút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déli oldala helyett,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ezért az érintett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szakaszon </w:t>
            </w:r>
            <w:proofErr w:type="spellStart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KÖu</w:t>
            </w:r>
            <w:proofErr w:type="spellEnd"/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1E1E1E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közúti közlekedési terület, a megszüntetésre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  <w:lang w:eastAsia="en-US"/>
              </w:rPr>
              <w:t xml:space="preserve">kerülő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nyomvonal helyén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pedig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Ek </w:t>
            </w:r>
            <w:r>
              <w:rPr>
                <w:rFonts w:ascii="Arial Narrow" w:eastAsia="HiddenHorzOCR" w:hAnsi="Arial Narrow" w:cs="HiddenHorzOCR"/>
                <w:color w:val="1E1E1E"/>
                <w:sz w:val="20"/>
                <w:szCs w:val="20"/>
                <w:lang w:eastAsia="en-US"/>
              </w:rPr>
              <w:t>j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>e</w:t>
            </w:r>
            <w:r>
              <w:rPr>
                <w:rFonts w:ascii="Arial Narrow" w:eastAsia="HiddenHorzOCR" w:hAnsi="Arial Narrow" w:cs="HiddenHorzOCR"/>
                <w:color w:val="1E1E1E"/>
                <w:sz w:val="20"/>
                <w:szCs w:val="20"/>
                <w:lang w:eastAsia="en-US"/>
              </w:rPr>
              <w:t xml:space="preserve">lű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közjóléti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 xml:space="preserve">erdő </w:t>
            </w: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jelölése indokolt.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„23.5 A Vecsés út folytatásában a Külső keleti körút nyomvonala a Nagy Burma északi oldalára kerül.”</w:t>
            </w:r>
          </w:p>
          <w:p w:rsidR="006B7F60" w:rsidRPr="006B7F60" w:rsidRDefault="006B7F60" w:rsidP="006B7F6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</w:pP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>Az 1/4., az 1/5. és az 1.9. javaslat összefügg.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.</w:t>
            </w:r>
          </w:p>
        </w:tc>
      </w:tr>
      <w:tr w:rsidR="008D02A2" w:rsidTr="008D02A2">
        <w:trPr>
          <w:trHeight w:val="274"/>
        </w:trPr>
        <w:tc>
          <w:tcPr>
            <w:tcW w:w="14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Cs w:val="20"/>
                <w:lang w:eastAsia="en-US"/>
              </w:rPr>
              <w:lastRenderedPageBreak/>
              <w:t xml:space="preserve">JT-05/c </w:t>
            </w:r>
            <w:r>
              <w:rPr>
                <w:rFonts w:ascii="Arial Narrow" w:eastAsia="HiddenHorzOCR" w:hAnsi="Arial Narrow" w:cs="HiddenHorzOCR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szCs w:val="20"/>
                <w:lang w:eastAsia="en-US"/>
              </w:rPr>
              <w:t>tervlapon jelölt módosítások: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6.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JT-05/c_1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A Vízisport utca Dél-Pesti szennyvíztisztító telep felé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eső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végén az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üdülőterületi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besorolással teljesen azonos használatú 3 db telek található, melyek 1998-ig 21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jelű üdülőterület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besorolásba tartoztak. Tekintettel arra, hogy a jelzett ingatlanok esetében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meglévő,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több évtizede fennálló kialakult állapotról van szó, javasolt az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erdőterület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helyett 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Üh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  <w:lang w:eastAsia="en-US"/>
              </w:rPr>
              <w:t xml:space="preserve">üdülőterületbe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való jelölésük.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Az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Ev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 xml:space="preserve"> területfelhasználási egységbe sorolt 3 db ingatlan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>Üh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 xml:space="preserve"> területfelhasználási egységbe kerül átsorolásra.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7.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JT-05/c_4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hatályos KSZT lehatárolásával összhangban javasolt a Duna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szárazu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lat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ának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jelölt részét </w:t>
            </w:r>
            <w:proofErr w:type="spellStart"/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Vá</w:t>
            </w:r>
            <w:proofErr w:type="spellEnd"/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állóvizek medre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és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partja kategóriából Lke-1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kertvárosias lakóterületbe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soro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 xml:space="preserve">lni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184950 </w:t>
            </w:r>
            <w:proofErr w:type="spellStart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-ú építési telek normál téglalap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alakúra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történő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>ren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>d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 xml:space="preserve">ezhetősége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érdekében.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 xml:space="preserve">Az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184950 </w:t>
            </w:r>
            <w:proofErr w:type="spellStart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hrsz</w:t>
            </w:r>
            <w:proofErr w:type="spellEnd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-ú építési telek Lke-1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kertvárosias lakóterület területfelhasználási egységbe került átsorolásra.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8.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JT-05/c_5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Javasolt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a </w:t>
            </w:r>
            <w:proofErr w:type="spellStart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Klébl</w:t>
            </w:r>
            <w:proofErr w:type="spellEnd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 Márton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utc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végében található,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 xml:space="preserve">meglévő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lakótömb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va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ló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ságnak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megfelelő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lehatárolásának jelölése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Ek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>j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>e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>l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 xml:space="preserve">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közjóléti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  <w:lang w:eastAsia="en-US"/>
              </w:rPr>
              <w:t xml:space="preserve">erdőből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Lke-1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kertvárosias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lak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ó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t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erület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 xml:space="preserve">be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való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átsoro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lással.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  <w:t xml:space="preserve">A kialakult állapotnak megfelelően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Lke-1 </w:t>
            </w:r>
            <w:r>
              <w:rPr>
                <w:rFonts w:ascii="Arial Narrow" w:eastAsia="HiddenHorzOCR" w:hAnsi="Arial Narrow" w:cs="HiddenHorzOCR"/>
                <w:color w:val="1D1D1D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kertvárosias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lak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ó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t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erület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 xml:space="preserve">be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kerül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átsoro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lásra.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9.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JT-05/c_6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A tervezett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külső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kerületi körút nyomvonalát javasolt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a Vecsés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út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meglévő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nyomvonalán vezetni a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vas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út d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>é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 xml:space="preserve">li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oldala helyett,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ez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ért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az érintett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szakaszon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a megszüntetésre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kerülő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nyomvonal helyén K-</w:t>
            </w:r>
            <w:proofErr w:type="spellStart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>Mü</w:t>
            </w:r>
            <w:proofErr w:type="spellEnd"/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  <w:lang w:eastAsia="en-US"/>
              </w:rPr>
              <w:t xml:space="preserve">jelű mezőgazdasági 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üzemi </w:t>
            </w:r>
            <w:r>
              <w:rPr>
                <w:rFonts w:ascii="Arial Narrow" w:eastAsiaTheme="minorHAnsi" w:hAnsi="Arial Narrow"/>
                <w:color w:val="343434"/>
                <w:sz w:val="20"/>
                <w:szCs w:val="20"/>
                <w:lang w:eastAsia="en-US"/>
              </w:rPr>
              <w:t xml:space="preserve">terület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jelölés</w:t>
            </w:r>
            <w:r>
              <w:rPr>
                <w:rFonts w:ascii="Arial Narrow" w:eastAsiaTheme="minorHAnsi" w:hAnsi="Arial Narrow"/>
                <w:color w:val="484848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Arial Narrow" w:eastAsiaTheme="minorHAnsi" w:hAnsi="Arial Narrow"/>
                <w:color w:val="1D1D1D"/>
                <w:sz w:val="20"/>
                <w:szCs w:val="20"/>
                <w:lang w:eastAsia="en-US"/>
              </w:rPr>
              <w:t>indokolt.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color w:val="363636"/>
                <w:sz w:val="20"/>
                <w:szCs w:val="20"/>
                <w:lang w:eastAsia="en-US"/>
              </w:rPr>
              <w:t>A folyamatban lévő TSZT felülvizsgálati eljárásban is beérkezett vélemény.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63636"/>
                <w:sz w:val="20"/>
                <w:szCs w:val="20"/>
                <w:lang w:eastAsia="en-US"/>
              </w:rPr>
              <w:t>„23.5 A Vecsés út folytatásában a Külső keleti körút nyomvonala a Nagy Burma északi oldalára kerül.”</w:t>
            </w:r>
          </w:p>
          <w:p w:rsidR="006B7F60" w:rsidRPr="006B7F60" w:rsidRDefault="006B7F60" w:rsidP="006B7F6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</w:pP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>Az 1/4., az 1/5. és az 1.9. javaslat összefügg.</w:t>
            </w:r>
          </w:p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</w:p>
        </w:tc>
      </w:tr>
      <w:tr w:rsidR="008D02A2" w:rsidTr="008D02A2">
        <w:trPr>
          <w:trHeight w:val="274"/>
        </w:trPr>
        <w:tc>
          <w:tcPr>
            <w:tcW w:w="14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D02A2" w:rsidRDefault="008D02A2">
            <w:pPr>
              <w:spacing w:line="256" w:lineRule="auto"/>
              <w:rPr>
                <w:rFonts w:ascii="Arial Narrow" w:eastAsiaTheme="minorHAnsi" w:hAnsi="Arial Narrow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Cs w:val="20"/>
                <w:lang w:eastAsia="en-US"/>
              </w:rPr>
              <w:t xml:space="preserve">JT-05/d </w:t>
            </w:r>
            <w:r>
              <w:rPr>
                <w:rFonts w:ascii="Arial Narrow" w:eastAsia="HiddenHorzOCR" w:hAnsi="Arial Narrow" w:cs="HiddenHorzOCR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Theme="minorHAnsi" w:hAnsi="Arial Narrow"/>
                <w:szCs w:val="20"/>
                <w:lang w:eastAsia="en-US"/>
              </w:rPr>
              <w:t>tervlapon jelölt módosítások:</w:t>
            </w:r>
          </w:p>
        </w:tc>
      </w:tr>
      <w:tr w:rsidR="008D02A2" w:rsidTr="008D02A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02A2" w:rsidRDefault="0042592E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1/</w:t>
            </w:r>
            <w:r w:rsidR="008D02A2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  <w:t>10.</w:t>
            </w:r>
          </w:p>
          <w:p w:rsidR="008D02A2" w:rsidRDefault="008D02A2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  <w:lang w:eastAsia="en-US"/>
              </w:rPr>
              <w:t>JT-05/d_8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02A2" w:rsidRDefault="008D02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A Dél </w:t>
            </w:r>
            <w:r>
              <w:rPr>
                <w:rFonts w:ascii="Arial Narrow" w:eastAsiaTheme="minorHAnsi" w:hAnsi="Arial Narrow"/>
                <w:color w:val="242424"/>
                <w:sz w:val="20"/>
                <w:szCs w:val="20"/>
                <w:lang w:eastAsia="en-US"/>
              </w:rPr>
              <w:t xml:space="preserve">utca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mellet</w:t>
            </w:r>
            <w:r w:rsidR="006B7F60"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t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 talá</w:t>
            </w:r>
            <w:r>
              <w:rPr>
                <w:rFonts w:ascii="Arial Narrow" w:eastAsiaTheme="minorHAnsi" w:hAnsi="Arial Narrow"/>
                <w:color w:val="151515"/>
                <w:sz w:val="20"/>
                <w:szCs w:val="20"/>
                <w:lang w:eastAsia="en-US"/>
              </w:rPr>
              <w:t>lh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ató </w:t>
            </w:r>
            <w:r>
              <w:rPr>
                <w:rFonts w:ascii="Arial Narrow" w:eastAsia="HiddenHorzOCR" w:hAnsi="Arial Narrow" w:cs="HiddenHorzOCR"/>
                <w:color w:val="4C4C4C"/>
                <w:sz w:val="20"/>
                <w:szCs w:val="20"/>
                <w:lang w:eastAsia="en-US"/>
              </w:rPr>
              <w:t>e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  <w:lang w:eastAsia="en-US"/>
              </w:rPr>
              <w:t xml:space="preserve">rdősáv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Vi</w:t>
            </w:r>
            <w:r>
              <w:rPr>
                <w:rFonts w:ascii="Arial Narrow" w:eastAsiaTheme="minorHAnsi" w:hAnsi="Arial Narrow"/>
                <w:color w:val="151515"/>
                <w:sz w:val="20"/>
                <w:szCs w:val="20"/>
                <w:lang w:eastAsia="en-US"/>
              </w:rPr>
              <w:t>-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  <w:lang w:eastAsia="en-US"/>
              </w:rPr>
              <w:t>je</w:t>
            </w:r>
            <w:r>
              <w:rPr>
                <w:rFonts w:ascii="Arial Narrow" w:eastAsia="HiddenHorzOCR" w:hAnsi="Arial Narrow" w:cs="HiddenHorzOCR"/>
                <w:color w:val="151515"/>
                <w:sz w:val="20"/>
                <w:szCs w:val="20"/>
                <w:lang w:eastAsia="en-US"/>
              </w:rPr>
              <w:t xml:space="preserve">lű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vegyes </w:t>
            </w:r>
            <w:r>
              <w:rPr>
                <w:rFonts w:ascii="Arial Narrow" w:eastAsiaTheme="minorHAnsi" w:hAnsi="Arial Narrow"/>
                <w:color w:val="242424"/>
                <w:sz w:val="20"/>
                <w:szCs w:val="20"/>
                <w:lang w:eastAsia="en-US"/>
              </w:rPr>
              <w:t>int</w:t>
            </w:r>
            <w:r>
              <w:rPr>
                <w:rFonts w:ascii="Arial Narrow" w:eastAsiaTheme="minorHAnsi" w:hAnsi="Arial Narrow"/>
                <w:color w:val="4C4C4C"/>
                <w:sz w:val="20"/>
                <w:szCs w:val="20"/>
                <w:lang w:eastAsia="en-US"/>
              </w:rPr>
              <w:t>éz</w:t>
            </w:r>
            <w:r>
              <w:rPr>
                <w:rFonts w:ascii="Arial Narrow" w:eastAsiaTheme="minorHAnsi" w:hAnsi="Arial Narrow"/>
                <w:color w:val="242424"/>
                <w:sz w:val="20"/>
                <w:szCs w:val="20"/>
                <w:lang w:eastAsia="en-US"/>
              </w:rPr>
              <w:t xml:space="preserve">ményi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terü</w:t>
            </w:r>
            <w:r>
              <w:rPr>
                <w:rFonts w:ascii="Arial Narrow" w:eastAsiaTheme="minorHAnsi" w:hAnsi="Arial Narrow"/>
                <w:color w:val="151515"/>
                <w:sz w:val="20"/>
                <w:szCs w:val="20"/>
                <w:lang w:eastAsia="en-US"/>
              </w:rPr>
              <w:t>l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etbe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  <w:lang w:eastAsia="en-US"/>
              </w:rPr>
              <w:t xml:space="preserve">eső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részét </w:t>
            </w:r>
            <w:r>
              <w:rPr>
                <w:rFonts w:ascii="Arial Narrow" w:eastAsiaTheme="minorHAnsi" w:hAnsi="Arial Narrow"/>
                <w:color w:val="242424"/>
                <w:sz w:val="20"/>
                <w:szCs w:val="20"/>
                <w:lang w:eastAsia="en-US"/>
              </w:rPr>
              <w:t>j</w:t>
            </w:r>
            <w:r>
              <w:rPr>
                <w:rFonts w:ascii="Arial Narrow" w:eastAsiaTheme="minorHAnsi" w:hAnsi="Arial Narrow"/>
                <w:color w:val="4C4C4C"/>
                <w:sz w:val="20"/>
                <w:szCs w:val="20"/>
                <w:lang w:eastAsia="en-US"/>
              </w:rPr>
              <w:t xml:space="preserve">avasolt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a tényleges állapotnak </w:t>
            </w:r>
            <w:r>
              <w:rPr>
                <w:rFonts w:ascii="Arial Narrow" w:eastAsiaTheme="minorHAnsi" w:hAnsi="Arial Narrow"/>
                <w:color w:val="4C4C4C"/>
                <w:sz w:val="20"/>
                <w:szCs w:val="20"/>
                <w:lang w:eastAsia="en-US"/>
              </w:rPr>
              <w:t xml:space="preserve">és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  <w:lang w:eastAsia="en-US"/>
              </w:rPr>
              <w:t xml:space="preserve">művelési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ágnak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  <w:lang w:eastAsia="en-US"/>
              </w:rPr>
              <w:t xml:space="preserve">megfelelően </w:t>
            </w:r>
            <w:proofErr w:type="spellStart"/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Ev</w:t>
            </w:r>
            <w:proofErr w:type="spellEnd"/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  <w:lang w:eastAsia="en-US"/>
              </w:rPr>
              <w:t xml:space="preserve">jelű </w:t>
            </w:r>
            <w:r>
              <w:rPr>
                <w:rFonts w:ascii="Arial Narrow" w:eastAsia="HiddenHorzOCR" w:hAnsi="Arial Narrow" w:cs="HiddenHorzOCR"/>
                <w:color w:val="4C4C4C"/>
                <w:sz w:val="20"/>
                <w:szCs w:val="20"/>
                <w:lang w:eastAsia="en-US"/>
              </w:rPr>
              <w:t>vé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  <w:lang w:eastAsia="en-US"/>
              </w:rPr>
              <w:t xml:space="preserve">derdő </w:t>
            </w:r>
            <w:r>
              <w:rPr>
                <w:rFonts w:ascii="Arial Narrow" w:eastAsiaTheme="minorHAnsi" w:hAnsi="Arial Narrow"/>
                <w:color w:val="383838"/>
                <w:sz w:val="20"/>
                <w:szCs w:val="20"/>
                <w:lang w:eastAsia="en-US"/>
              </w:rPr>
              <w:t>területfelhasználási kategóriába 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B7F60" w:rsidRDefault="006B7F60" w:rsidP="006B7F60">
            <w:pPr>
              <w:spacing w:line="360" w:lineRule="auto"/>
              <w:jc w:val="both"/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</w:pPr>
          </w:p>
          <w:p w:rsidR="006B7F60" w:rsidRPr="006B7F60" w:rsidRDefault="006B7F60" w:rsidP="006B7F60">
            <w:pPr>
              <w:spacing w:line="360" w:lineRule="auto"/>
              <w:jc w:val="both"/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</w:pP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>A</w:t>
            </w: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 xml:space="preserve"> kérelem szerint elfogadásra javasolt.</w:t>
            </w:r>
            <w:bookmarkStart w:id="0" w:name="_GoBack"/>
            <w:bookmarkEnd w:id="0"/>
          </w:p>
          <w:p w:rsidR="006B7F60" w:rsidRPr="006B7F60" w:rsidRDefault="006B7F60" w:rsidP="006B7F60">
            <w:pPr>
              <w:spacing w:line="360" w:lineRule="auto"/>
              <w:jc w:val="both"/>
              <w:rPr>
                <w:rFonts w:ascii="Arial Narrow" w:hAnsi="Arial Narrow" w:cs="Arial"/>
                <w:snapToGrid w:val="0"/>
                <w:spacing w:val="20"/>
                <w:sz w:val="20"/>
                <w:szCs w:val="20"/>
              </w:rPr>
            </w:pPr>
            <w:r w:rsidRPr="006B7F60">
              <w:rPr>
                <w:rFonts w:ascii="Arial Narrow" w:eastAsiaTheme="minorHAnsi" w:hAnsi="Arial Narrow" w:cs="Arial"/>
                <w:color w:val="363636"/>
                <w:sz w:val="20"/>
                <w:szCs w:val="20"/>
              </w:rPr>
              <w:t>Az 1/10., a 2/12., a 2/13 és a 3/25 javaslat összefügg.</w:t>
            </w:r>
          </w:p>
          <w:p w:rsidR="008D02A2" w:rsidRDefault="008D02A2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eastAsia="en-US"/>
              </w:rPr>
            </w:pPr>
          </w:p>
        </w:tc>
      </w:tr>
      <w:tr w:rsidR="008D02A2" w:rsidTr="008D02A2">
        <w:tc>
          <w:tcPr>
            <w:tcW w:w="1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A2" w:rsidRDefault="008D02A2">
            <w:pPr>
              <w:spacing w:line="256" w:lineRule="auto"/>
              <w:rPr>
                <w:rFonts w:ascii="Arial Narrow" w:hAnsi="Arial Narrow" w:cs="Arial"/>
                <w:b/>
                <w:szCs w:val="20"/>
                <w:lang w:eastAsia="en-US"/>
              </w:rPr>
            </w:pPr>
          </w:p>
        </w:tc>
      </w:tr>
    </w:tbl>
    <w:p w:rsidR="008E2C3A" w:rsidRDefault="008E2C3A"/>
    <w:sectPr w:rsidR="008E2C3A" w:rsidSect="008D02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FE"/>
    <w:rsid w:val="0042592E"/>
    <w:rsid w:val="006B7F60"/>
    <w:rsid w:val="00766E38"/>
    <w:rsid w:val="007D2BFE"/>
    <w:rsid w:val="008D02A2"/>
    <w:rsid w:val="008E2C3A"/>
    <w:rsid w:val="00D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7916"/>
  <w15:chartTrackingRefBased/>
  <w15:docId w15:val="{6ABF4BE3-1DF3-47CA-B8BA-B9CCC47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53E4D"/>
    <w:pPr>
      <w:jc w:val="center"/>
    </w:pPr>
    <w:rPr>
      <w:rFonts w:ascii="Arial Narrow" w:hAnsi="Arial Narrow"/>
      <w:b/>
      <w:bCs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53E4D"/>
    <w:rPr>
      <w:rFonts w:ascii="Arial Narrow" w:eastAsia="Times New Roman" w:hAnsi="Arial Narrow" w:cs="Times New Roman"/>
      <w:b/>
      <w:bCs/>
      <w:cap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Koczpek Irén</dc:creator>
  <cp:keywords/>
  <dc:description/>
  <cp:lastModifiedBy>Koczpek Irén</cp:lastModifiedBy>
  <cp:revision>6</cp:revision>
  <dcterms:created xsi:type="dcterms:W3CDTF">2017-03-17T08:05:00Z</dcterms:created>
  <dcterms:modified xsi:type="dcterms:W3CDTF">2017-03-20T14:18:00Z</dcterms:modified>
</cp:coreProperties>
</file>