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9" w:type="dxa"/>
        <w:tblLook w:val="00A0" w:firstRow="1" w:lastRow="0" w:firstColumn="1" w:lastColumn="0" w:noHBand="0" w:noVBand="0"/>
      </w:tblPr>
      <w:tblGrid>
        <w:gridCol w:w="3369"/>
        <w:gridCol w:w="5670"/>
      </w:tblGrid>
      <w:tr w:rsidR="0056690E" w:rsidRPr="00F546AF" w14:paraId="6F3003D4" w14:textId="77777777" w:rsidTr="00DE158B">
        <w:trPr>
          <w:trHeight w:val="643"/>
        </w:trPr>
        <w:tc>
          <w:tcPr>
            <w:tcW w:w="3369" w:type="dxa"/>
          </w:tcPr>
          <w:p w14:paraId="1ECFCC17" w14:textId="77777777" w:rsidR="0038418E" w:rsidRPr="00F546AF" w:rsidRDefault="00DE158B" w:rsidP="005145A4">
            <w:pPr>
              <w:jc w:val="both"/>
              <w:rPr>
                <w:rFonts w:asciiTheme="minorHAnsi" w:hAnsiTheme="minorHAnsi" w:cstheme="minorHAnsi"/>
              </w:rPr>
            </w:pPr>
            <w:r w:rsidRPr="00F546AF">
              <w:rPr>
                <w:rFonts w:asciiTheme="minorHAnsi" w:hAnsiTheme="minorHAnsi" w:cstheme="minorHAnsi"/>
                <w:noProof/>
              </w:rPr>
              <w:drawing>
                <wp:inline distT="0" distB="0" distL="0" distR="0" wp14:anchorId="401F1DD7" wp14:editId="04C88C1D">
                  <wp:extent cx="898525" cy="4921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492125"/>
                          </a:xfrm>
                          <a:prstGeom prst="rect">
                            <a:avLst/>
                          </a:prstGeom>
                          <a:noFill/>
                        </pic:spPr>
                      </pic:pic>
                    </a:graphicData>
                  </a:graphic>
                </wp:inline>
              </w:drawing>
            </w:r>
            <w:r w:rsidRPr="00F546AF">
              <w:rPr>
                <w:rFonts w:asciiTheme="minorHAnsi" w:hAnsiTheme="minorHAnsi" w:cstheme="minorHAnsi"/>
                <w:noProof/>
              </w:rPr>
              <w:drawing>
                <wp:inline distT="0" distB="0" distL="0" distR="0" wp14:anchorId="1CB3E132" wp14:editId="3BD2F888">
                  <wp:extent cx="1061085" cy="49403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085" cy="494030"/>
                          </a:xfrm>
                          <a:prstGeom prst="rect">
                            <a:avLst/>
                          </a:prstGeom>
                          <a:noFill/>
                        </pic:spPr>
                      </pic:pic>
                    </a:graphicData>
                  </a:graphic>
                </wp:inline>
              </w:drawing>
            </w:r>
          </w:p>
        </w:tc>
        <w:tc>
          <w:tcPr>
            <w:tcW w:w="5670" w:type="dxa"/>
          </w:tcPr>
          <w:p w14:paraId="24D5602E" w14:textId="77777777" w:rsidR="0038418E" w:rsidRPr="00F546AF" w:rsidRDefault="0038418E" w:rsidP="00DE158B">
            <w:pPr>
              <w:pStyle w:val="lfej"/>
              <w:tabs>
                <w:tab w:val="left" w:pos="1451"/>
              </w:tabs>
              <w:ind w:left="1451"/>
              <w:rPr>
                <w:rFonts w:asciiTheme="minorHAnsi" w:hAnsiTheme="minorHAnsi" w:cstheme="minorHAnsi"/>
                <w:b/>
              </w:rPr>
            </w:pPr>
            <w:r w:rsidRPr="00F546AF">
              <w:rPr>
                <w:rFonts w:asciiTheme="minorHAnsi" w:hAnsiTheme="minorHAnsi" w:cstheme="minorHAnsi"/>
                <w:b/>
              </w:rPr>
              <w:t>Budapesti Közlekedési Zártkörűen Működő Részvénytársaság</w:t>
            </w:r>
          </w:p>
          <w:p w14:paraId="28D785AD" w14:textId="77777777" w:rsidR="0038418E" w:rsidRPr="00F546AF" w:rsidRDefault="0038418E" w:rsidP="000D0306">
            <w:pPr>
              <w:ind w:right="221"/>
              <w:jc w:val="center"/>
              <w:rPr>
                <w:rFonts w:asciiTheme="minorHAnsi" w:hAnsiTheme="minorHAnsi" w:cstheme="minorHAnsi"/>
              </w:rPr>
            </w:pPr>
          </w:p>
        </w:tc>
      </w:tr>
    </w:tbl>
    <w:p w14:paraId="200FCEE2" w14:textId="77777777" w:rsidR="0038418E" w:rsidRPr="00F546AF" w:rsidRDefault="0038418E" w:rsidP="0038418E">
      <w:pPr>
        <w:tabs>
          <w:tab w:val="left" w:pos="2700"/>
        </w:tabs>
        <w:spacing w:before="240"/>
        <w:ind w:left="1701" w:hanging="1701"/>
        <w:rPr>
          <w:rFonts w:asciiTheme="minorHAnsi" w:hAnsiTheme="minorHAnsi" w:cstheme="minorHAnsi"/>
          <w:b/>
          <w:i/>
        </w:rPr>
      </w:pPr>
    </w:p>
    <w:p w14:paraId="1980791D" w14:textId="77777777" w:rsidR="000D0306" w:rsidRPr="00F546AF" w:rsidRDefault="000D0306" w:rsidP="0038418E">
      <w:pPr>
        <w:tabs>
          <w:tab w:val="left" w:pos="2700"/>
        </w:tabs>
        <w:spacing w:before="240"/>
        <w:ind w:left="1701" w:hanging="1701"/>
        <w:rPr>
          <w:rFonts w:asciiTheme="minorHAnsi" w:hAnsiTheme="minorHAnsi" w:cstheme="minorHAnsi"/>
          <w:b/>
          <w:i/>
        </w:rPr>
      </w:pPr>
    </w:p>
    <w:p w14:paraId="70B30C2C" w14:textId="77777777" w:rsidR="00DA3F12" w:rsidRPr="00F546AF" w:rsidRDefault="00DA3F12" w:rsidP="0038418E">
      <w:pPr>
        <w:tabs>
          <w:tab w:val="left" w:pos="2700"/>
        </w:tabs>
        <w:spacing w:before="240"/>
        <w:ind w:left="1701" w:hanging="1701"/>
        <w:rPr>
          <w:rFonts w:asciiTheme="minorHAnsi" w:hAnsiTheme="minorHAnsi" w:cstheme="minorHAnsi"/>
          <w:b/>
          <w:i/>
        </w:rPr>
      </w:pPr>
    </w:p>
    <w:p w14:paraId="1FE6EE7F" w14:textId="77777777" w:rsidR="00DA3F12" w:rsidRPr="00F546AF" w:rsidRDefault="00DA3F12" w:rsidP="0038418E">
      <w:pPr>
        <w:tabs>
          <w:tab w:val="left" w:pos="2700"/>
        </w:tabs>
        <w:spacing w:before="240"/>
        <w:ind w:left="1701" w:hanging="1701"/>
        <w:rPr>
          <w:rFonts w:asciiTheme="minorHAnsi" w:hAnsiTheme="minorHAnsi" w:cstheme="minorHAnsi"/>
          <w:b/>
          <w:i/>
        </w:rPr>
      </w:pPr>
    </w:p>
    <w:p w14:paraId="79583103" w14:textId="77777777" w:rsidR="00DA3F12" w:rsidRPr="00F546AF" w:rsidRDefault="00DA3F12" w:rsidP="0038418E">
      <w:pPr>
        <w:tabs>
          <w:tab w:val="left" w:pos="2700"/>
        </w:tabs>
        <w:spacing w:before="240"/>
        <w:ind w:left="1701" w:hanging="1701"/>
        <w:rPr>
          <w:rFonts w:asciiTheme="minorHAnsi" w:hAnsiTheme="minorHAnsi" w:cstheme="minorHAnsi"/>
          <w:b/>
          <w:i/>
        </w:rPr>
      </w:pPr>
    </w:p>
    <w:p w14:paraId="475D26BE" w14:textId="77777777" w:rsidR="000D0306" w:rsidRPr="0056690E" w:rsidRDefault="000D0306" w:rsidP="000D0306">
      <w:pPr>
        <w:pBdr>
          <w:bottom w:val="single" w:sz="4" w:space="1" w:color="auto"/>
        </w:pBdr>
        <w:spacing w:before="1800"/>
        <w:jc w:val="center"/>
        <w:rPr>
          <w:rFonts w:asciiTheme="minorHAnsi" w:hAnsiTheme="minorHAnsi" w:cstheme="minorHAnsi"/>
          <w:smallCaps/>
          <w:spacing w:val="14"/>
          <w:sz w:val="90"/>
          <w:szCs w:val="90"/>
        </w:rPr>
      </w:pPr>
      <w:r w:rsidRPr="0056690E">
        <w:rPr>
          <w:rFonts w:asciiTheme="minorHAnsi" w:hAnsiTheme="minorHAnsi" w:cstheme="minorHAnsi"/>
          <w:smallCaps/>
          <w:spacing w:val="14"/>
          <w:sz w:val="90"/>
          <w:szCs w:val="90"/>
        </w:rPr>
        <w:t xml:space="preserve">Üzleti </w:t>
      </w:r>
      <w:r w:rsidR="00091E9C" w:rsidRPr="0056690E">
        <w:rPr>
          <w:rFonts w:asciiTheme="minorHAnsi" w:hAnsiTheme="minorHAnsi" w:cstheme="minorHAnsi"/>
          <w:smallCaps/>
          <w:spacing w:val="14"/>
          <w:sz w:val="90"/>
          <w:szCs w:val="90"/>
        </w:rPr>
        <w:t>Terv</w:t>
      </w:r>
    </w:p>
    <w:p w14:paraId="5BA41B2B" w14:textId="77777777" w:rsidR="000D0306" w:rsidRPr="0056690E" w:rsidRDefault="000D0306" w:rsidP="000D0306">
      <w:pPr>
        <w:jc w:val="center"/>
        <w:rPr>
          <w:rFonts w:asciiTheme="minorHAnsi" w:hAnsiTheme="minorHAnsi" w:cstheme="minorHAnsi"/>
          <w:b/>
          <w:sz w:val="40"/>
          <w:szCs w:val="40"/>
        </w:rPr>
      </w:pPr>
    </w:p>
    <w:p w14:paraId="41B319C9" w14:textId="77777777" w:rsidR="000D0306" w:rsidRPr="0056690E" w:rsidRDefault="000D0306" w:rsidP="000D0306">
      <w:pPr>
        <w:jc w:val="center"/>
        <w:rPr>
          <w:rFonts w:asciiTheme="minorHAnsi" w:hAnsiTheme="minorHAnsi" w:cstheme="minorHAnsi"/>
          <w:b/>
          <w:sz w:val="40"/>
          <w:szCs w:val="40"/>
        </w:rPr>
      </w:pPr>
      <w:r w:rsidRPr="0056690E">
        <w:rPr>
          <w:rFonts w:asciiTheme="minorHAnsi" w:hAnsiTheme="minorHAnsi" w:cstheme="minorHAnsi"/>
          <w:b/>
          <w:sz w:val="40"/>
          <w:szCs w:val="40"/>
        </w:rPr>
        <w:t xml:space="preserve">A Budapesti Közlekedési </w:t>
      </w:r>
    </w:p>
    <w:p w14:paraId="0EF113B5" w14:textId="77777777" w:rsidR="000D0306" w:rsidRPr="0056690E" w:rsidRDefault="000D0306" w:rsidP="000D0306">
      <w:pPr>
        <w:jc w:val="center"/>
        <w:rPr>
          <w:rFonts w:asciiTheme="minorHAnsi" w:hAnsiTheme="minorHAnsi" w:cstheme="minorHAnsi"/>
          <w:b/>
          <w:sz w:val="40"/>
          <w:szCs w:val="40"/>
        </w:rPr>
      </w:pPr>
      <w:r w:rsidRPr="0056690E">
        <w:rPr>
          <w:rFonts w:asciiTheme="minorHAnsi" w:hAnsiTheme="minorHAnsi" w:cstheme="minorHAnsi"/>
          <w:b/>
          <w:sz w:val="40"/>
          <w:szCs w:val="40"/>
        </w:rPr>
        <w:t xml:space="preserve">Zártkörűen Működő Részvénytársaság </w:t>
      </w:r>
    </w:p>
    <w:p w14:paraId="518DB881" w14:textId="77777777" w:rsidR="000D0306" w:rsidRPr="0056690E" w:rsidRDefault="00B67387" w:rsidP="000D0306">
      <w:pPr>
        <w:jc w:val="center"/>
        <w:rPr>
          <w:rFonts w:asciiTheme="minorHAnsi" w:hAnsiTheme="minorHAnsi" w:cstheme="minorHAnsi"/>
          <w:b/>
          <w:sz w:val="40"/>
          <w:szCs w:val="40"/>
        </w:rPr>
      </w:pPr>
      <w:r w:rsidRPr="0056690E">
        <w:rPr>
          <w:rFonts w:asciiTheme="minorHAnsi" w:hAnsiTheme="minorHAnsi" w:cstheme="minorHAnsi"/>
          <w:b/>
          <w:sz w:val="40"/>
          <w:szCs w:val="40"/>
        </w:rPr>
        <w:t>20</w:t>
      </w:r>
      <w:r w:rsidR="000D0306" w:rsidRPr="0056690E">
        <w:rPr>
          <w:rFonts w:asciiTheme="minorHAnsi" w:hAnsiTheme="minorHAnsi" w:cstheme="minorHAnsi"/>
          <w:b/>
          <w:sz w:val="40"/>
          <w:szCs w:val="40"/>
        </w:rPr>
        <w:t>1</w:t>
      </w:r>
      <w:r w:rsidR="004B629D" w:rsidRPr="0056690E">
        <w:rPr>
          <w:rFonts w:asciiTheme="minorHAnsi" w:hAnsiTheme="minorHAnsi" w:cstheme="minorHAnsi"/>
          <w:b/>
          <w:sz w:val="40"/>
          <w:szCs w:val="40"/>
        </w:rPr>
        <w:t>8</w:t>
      </w:r>
      <w:r w:rsidR="000D0306" w:rsidRPr="0056690E">
        <w:rPr>
          <w:rFonts w:asciiTheme="minorHAnsi" w:hAnsiTheme="minorHAnsi" w:cstheme="minorHAnsi"/>
          <w:b/>
          <w:sz w:val="40"/>
          <w:szCs w:val="40"/>
        </w:rPr>
        <w:t>. évi</w:t>
      </w:r>
      <w:r w:rsidR="004B629D" w:rsidRPr="0056690E">
        <w:rPr>
          <w:rFonts w:asciiTheme="minorHAnsi" w:hAnsiTheme="minorHAnsi" w:cstheme="minorHAnsi"/>
          <w:b/>
          <w:sz w:val="40"/>
          <w:szCs w:val="40"/>
        </w:rPr>
        <w:t xml:space="preserve"> </w:t>
      </w:r>
      <w:r w:rsidR="000D0306" w:rsidRPr="0056690E">
        <w:rPr>
          <w:rFonts w:asciiTheme="minorHAnsi" w:hAnsiTheme="minorHAnsi" w:cstheme="minorHAnsi"/>
          <w:b/>
          <w:sz w:val="40"/>
          <w:szCs w:val="40"/>
        </w:rPr>
        <w:t>Üzleti Terve</w:t>
      </w:r>
    </w:p>
    <w:p w14:paraId="44EC1E14" w14:textId="77777777" w:rsidR="000D0306" w:rsidRPr="00F546AF" w:rsidRDefault="000D0306" w:rsidP="000D0306">
      <w:pPr>
        <w:rPr>
          <w:rFonts w:asciiTheme="minorHAnsi" w:hAnsiTheme="minorHAnsi" w:cstheme="minorHAnsi"/>
        </w:rPr>
      </w:pPr>
    </w:p>
    <w:p w14:paraId="314AD0B7" w14:textId="77777777" w:rsidR="000D0306" w:rsidRPr="00F546AF" w:rsidRDefault="000D0306" w:rsidP="000D0306">
      <w:pPr>
        <w:rPr>
          <w:rFonts w:asciiTheme="minorHAnsi" w:hAnsiTheme="minorHAnsi" w:cstheme="minorHAnsi"/>
        </w:rPr>
      </w:pPr>
    </w:p>
    <w:p w14:paraId="1E35C217" w14:textId="77777777" w:rsidR="000D0306" w:rsidRPr="00F546AF" w:rsidRDefault="000D0306" w:rsidP="000D0306">
      <w:pPr>
        <w:rPr>
          <w:rFonts w:asciiTheme="minorHAnsi" w:hAnsiTheme="minorHAnsi" w:cstheme="minorHAnsi"/>
        </w:rPr>
      </w:pPr>
    </w:p>
    <w:p w14:paraId="0F63BC62" w14:textId="77777777" w:rsidR="0045170E" w:rsidRPr="00F546AF" w:rsidRDefault="0045170E" w:rsidP="000D0306">
      <w:pPr>
        <w:rPr>
          <w:rFonts w:asciiTheme="minorHAnsi" w:hAnsiTheme="minorHAnsi" w:cstheme="minorHAnsi"/>
        </w:rPr>
      </w:pPr>
    </w:p>
    <w:p w14:paraId="003EAEC8" w14:textId="77777777" w:rsidR="00D15A4F" w:rsidRPr="00F546AF" w:rsidRDefault="00D15A4F" w:rsidP="000D0306">
      <w:pPr>
        <w:rPr>
          <w:rFonts w:asciiTheme="minorHAnsi" w:hAnsiTheme="minorHAnsi" w:cstheme="minorHAnsi"/>
        </w:rPr>
      </w:pPr>
    </w:p>
    <w:p w14:paraId="7FC3E474" w14:textId="77777777" w:rsidR="00D15A4F" w:rsidRPr="00F546AF" w:rsidRDefault="00D15A4F" w:rsidP="000D0306">
      <w:pPr>
        <w:rPr>
          <w:rFonts w:asciiTheme="minorHAnsi" w:hAnsiTheme="minorHAnsi" w:cstheme="minorHAnsi"/>
        </w:rPr>
      </w:pPr>
    </w:p>
    <w:p w14:paraId="19202005" w14:textId="77777777" w:rsidR="00D15A4F" w:rsidRPr="00F546AF" w:rsidRDefault="00D15A4F" w:rsidP="000D0306">
      <w:pPr>
        <w:rPr>
          <w:rFonts w:asciiTheme="minorHAnsi" w:hAnsiTheme="minorHAnsi" w:cstheme="minorHAnsi"/>
        </w:rPr>
      </w:pPr>
    </w:p>
    <w:p w14:paraId="007914A5" w14:textId="77777777" w:rsidR="00D15A4F" w:rsidRPr="00F546AF" w:rsidRDefault="00D15A4F" w:rsidP="000D0306">
      <w:pPr>
        <w:rPr>
          <w:rFonts w:asciiTheme="minorHAnsi" w:hAnsiTheme="minorHAnsi" w:cstheme="minorHAnsi"/>
        </w:rPr>
      </w:pPr>
    </w:p>
    <w:p w14:paraId="4019B397" w14:textId="77777777" w:rsidR="00D15A4F" w:rsidRPr="00F546AF" w:rsidRDefault="00D15A4F" w:rsidP="000D0306">
      <w:pPr>
        <w:rPr>
          <w:rFonts w:asciiTheme="minorHAnsi" w:hAnsiTheme="minorHAnsi" w:cstheme="minorHAnsi"/>
        </w:rPr>
      </w:pPr>
    </w:p>
    <w:p w14:paraId="350B83CB" w14:textId="77777777" w:rsidR="00D15A4F" w:rsidRPr="00F546AF" w:rsidRDefault="00D15A4F" w:rsidP="000D0306">
      <w:pPr>
        <w:rPr>
          <w:rFonts w:asciiTheme="minorHAnsi" w:hAnsiTheme="minorHAnsi" w:cstheme="minorHAnsi"/>
        </w:rPr>
      </w:pPr>
    </w:p>
    <w:p w14:paraId="15CBE32F" w14:textId="77777777" w:rsidR="000D0306" w:rsidRPr="00F546AF" w:rsidRDefault="000D0306" w:rsidP="000D0306">
      <w:pPr>
        <w:rPr>
          <w:rFonts w:asciiTheme="minorHAnsi" w:hAnsiTheme="minorHAnsi" w:cstheme="minorHAnsi"/>
        </w:rPr>
      </w:pPr>
    </w:p>
    <w:p w14:paraId="49D72CC8" w14:textId="77777777" w:rsidR="00D15A4F" w:rsidRPr="00F546AF" w:rsidRDefault="00D15A4F" w:rsidP="00D15A4F">
      <w:pPr>
        <w:ind w:left="5580"/>
        <w:jc w:val="center"/>
        <w:rPr>
          <w:rFonts w:asciiTheme="minorHAnsi" w:hAnsiTheme="minorHAnsi" w:cstheme="minorHAnsi"/>
        </w:rPr>
      </w:pPr>
      <w:r w:rsidRPr="00F546AF">
        <w:rPr>
          <w:rFonts w:asciiTheme="minorHAnsi" w:hAnsiTheme="minorHAnsi" w:cstheme="minorHAnsi"/>
        </w:rPr>
        <w:t>Bolla Tibor</w:t>
      </w:r>
    </w:p>
    <w:p w14:paraId="5EDDE306" w14:textId="77777777" w:rsidR="00D15A4F" w:rsidRPr="00F546AF" w:rsidRDefault="00D15A4F" w:rsidP="00D15A4F">
      <w:pPr>
        <w:ind w:left="5580"/>
        <w:jc w:val="center"/>
        <w:rPr>
          <w:rFonts w:asciiTheme="minorHAnsi" w:hAnsiTheme="minorHAnsi" w:cstheme="minorHAnsi"/>
        </w:rPr>
      </w:pPr>
      <w:r w:rsidRPr="00F546AF">
        <w:rPr>
          <w:rFonts w:asciiTheme="minorHAnsi" w:hAnsiTheme="minorHAnsi" w:cstheme="minorHAnsi"/>
        </w:rPr>
        <w:t>elnök-vezérigazgató</w:t>
      </w:r>
    </w:p>
    <w:p w14:paraId="015B4C61" w14:textId="77777777" w:rsidR="00D15A4F" w:rsidRPr="00F546AF" w:rsidRDefault="00D15A4F" w:rsidP="00D15A4F">
      <w:pPr>
        <w:ind w:left="5580"/>
        <w:jc w:val="center"/>
        <w:rPr>
          <w:rFonts w:asciiTheme="minorHAnsi" w:hAnsiTheme="minorHAnsi" w:cstheme="minorHAnsi"/>
        </w:rPr>
      </w:pPr>
      <w:r w:rsidRPr="00F546AF">
        <w:rPr>
          <w:rFonts w:asciiTheme="minorHAnsi" w:hAnsiTheme="minorHAnsi" w:cstheme="minorHAnsi"/>
        </w:rPr>
        <w:t>BKV Zrt.</w:t>
      </w:r>
    </w:p>
    <w:p w14:paraId="268DC7A2" w14:textId="77777777" w:rsidR="000D0306" w:rsidRPr="00F546AF" w:rsidRDefault="000D0306" w:rsidP="000D0306">
      <w:pPr>
        <w:rPr>
          <w:rFonts w:asciiTheme="minorHAnsi" w:hAnsiTheme="minorHAnsi" w:cstheme="minorHAnsi"/>
        </w:rPr>
      </w:pPr>
    </w:p>
    <w:p w14:paraId="283053A4" w14:textId="77777777" w:rsidR="000D0306" w:rsidRPr="00F546AF" w:rsidRDefault="000D0306" w:rsidP="000D0306">
      <w:pPr>
        <w:rPr>
          <w:rFonts w:asciiTheme="minorHAnsi" w:hAnsiTheme="minorHAnsi" w:cstheme="minorHAnsi"/>
        </w:rPr>
      </w:pPr>
    </w:p>
    <w:p w14:paraId="61058BFC" w14:textId="77777777" w:rsidR="000D0306" w:rsidRPr="0056690E" w:rsidRDefault="00F5201F" w:rsidP="000D0306">
      <w:pPr>
        <w:tabs>
          <w:tab w:val="left" w:pos="6237"/>
        </w:tabs>
        <w:spacing w:before="240"/>
        <w:ind w:left="1701" w:hanging="1701"/>
        <w:jc w:val="center"/>
        <w:rPr>
          <w:rFonts w:asciiTheme="minorHAnsi" w:hAnsiTheme="minorHAnsi" w:cstheme="minorHAnsi"/>
        </w:rPr>
        <w:sectPr w:rsidR="000D0306" w:rsidRPr="0056690E" w:rsidSect="00F81709">
          <w:headerReference w:type="default" r:id="rId10"/>
          <w:footerReference w:type="default" r:id="rId11"/>
          <w:headerReference w:type="first" r:id="rId12"/>
          <w:pgSz w:w="11906" w:h="16838"/>
          <w:pgMar w:top="1418" w:right="1418" w:bottom="1418" w:left="1418" w:header="709" w:footer="709" w:gutter="0"/>
          <w:cols w:space="708"/>
          <w:titlePg/>
          <w:docGrid w:linePitch="360"/>
        </w:sectPr>
      </w:pPr>
      <w:r w:rsidRPr="0056690E">
        <w:rPr>
          <w:rFonts w:asciiTheme="minorHAnsi" w:hAnsiTheme="minorHAnsi" w:cstheme="minorHAnsi"/>
        </w:rPr>
        <w:t>Budapest, 201</w:t>
      </w:r>
      <w:r w:rsidR="00E65A4E" w:rsidRPr="0056690E">
        <w:rPr>
          <w:rFonts w:asciiTheme="minorHAnsi" w:hAnsiTheme="minorHAnsi" w:cstheme="minorHAnsi"/>
        </w:rPr>
        <w:t>8</w:t>
      </w:r>
      <w:r w:rsidR="007626EB" w:rsidRPr="0056690E">
        <w:rPr>
          <w:rFonts w:asciiTheme="minorHAnsi" w:hAnsiTheme="minorHAnsi" w:cstheme="minorHAnsi"/>
        </w:rPr>
        <w:t xml:space="preserve">. </w:t>
      </w:r>
      <w:r w:rsidR="0056690E" w:rsidRPr="0056690E">
        <w:rPr>
          <w:rFonts w:asciiTheme="minorHAnsi" w:hAnsiTheme="minorHAnsi" w:cstheme="minorHAnsi"/>
        </w:rPr>
        <w:t>május</w:t>
      </w:r>
    </w:p>
    <w:p w14:paraId="2CD83D18" w14:textId="77777777" w:rsidR="00004788" w:rsidRPr="00F546AF" w:rsidRDefault="00004788" w:rsidP="007911DE">
      <w:pPr>
        <w:jc w:val="center"/>
        <w:rPr>
          <w:rStyle w:val="Stlus14ptFlkvrAlhzs"/>
          <w:rFonts w:asciiTheme="minorHAnsi" w:hAnsiTheme="minorHAnsi" w:cstheme="minorHAnsi"/>
          <w:bCs/>
          <w:i w:val="0"/>
          <w:iCs/>
        </w:rPr>
      </w:pPr>
    </w:p>
    <w:p w14:paraId="7EAC8B25" w14:textId="77777777" w:rsidR="00F80D0A" w:rsidRPr="00F546AF" w:rsidRDefault="00F80D0A" w:rsidP="007911DE">
      <w:pPr>
        <w:jc w:val="center"/>
        <w:rPr>
          <w:rStyle w:val="Stlus14ptFlkvrAlhzs"/>
          <w:rFonts w:asciiTheme="minorHAnsi" w:hAnsiTheme="minorHAnsi" w:cstheme="minorHAnsi"/>
          <w:bCs/>
          <w:i w:val="0"/>
          <w:iCs/>
        </w:rPr>
      </w:pPr>
      <w:r w:rsidRPr="00F546AF">
        <w:rPr>
          <w:rStyle w:val="Stlus14ptFlkvrAlhzs"/>
          <w:rFonts w:asciiTheme="minorHAnsi" w:hAnsiTheme="minorHAnsi" w:cstheme="minorHAnsi"/>
          <w:bCs/>
          <w:i w:val="0"/>
          <w:iCs/>
        </w:rPr>
        <w:t>Tartalomjegyzék</w:t>
      </w:r>
    </w:p>
    <w:p w14:paraId="3C630AF2" w14:textId="77777777" w:rsidR="00004788" w:rsidRPr="00F546AF" w:rsidRDefault="00004788" w:rsidP="007911DE">
      <w:pPr>
        <w:jc w:val="center"/>
        <w:rPr>
          <w:rStyle w:val="Stlus14ptFlkvrAlhzs"/>
          <w:rFonts w:asciiTheme="minorHAnsi" w:hAnsiTheme="minorHAnsi" w:cstheme="minorHAnsi"/>
          <w:bCs/>
          <w:i w:val="0"/>
          <w:iCs/>
          <w:sz w:val="24"/>
        </w:rPr>
      </w:pPr>
    </w:p>
    <w:p w14:paraId="3EA7AD2C" w14:textId="77777777" w:rsidR="00004788" w:rsidRPr="00F546AF" w:rsidRDefault="00004788" w:rsidP="007911DE">
      <w:pPr>
        <w:jc w:val="center"/>
        <w:rPr>
          <w:rStyle w:val="Stlus14ptFlkvrAlhzs"/>
          <w:rFonts w:asciiTheme="minorHAnsi" w:hAnsiTheme="minorHAnsi" w:cstheme="minorHAnsi"/>
          <w:bCs/>
          <w:i w:val="0"/>
          <w:iCs/>
          <w:sz w:val="24"/>
        </w:rPr>
      </w:pPr>
    </w:p>
    <w:p w14:paraId="3A431716" w14:textId="21F15537" w:rsidR="00A53904" w:rsidRPr="00A53904" w:rsidRDefault="009A1A77">
      <w:pPr>
        <w:pStyle w:val="TJ1"/>
        <w:rPr>
          <w:rFonts w:eastAsiaTheme="minorEastAsia" w:cstheme="minorBidi"/>
          <w:b w:val="0"/>
          <w:bCs w:val="0"/>
          <w:sz w:val="22"/>
          <w:szCs w:val="22"/>
        </w:rPr>
      </w:pPr>
      <w:r w:rsidRPr="00A53904">
        <w:rPr>
          <w:caps/>
        </w:rPr>
        <w:fldChar w:fldCharType="begin"/>
      </w:r>
      <w:r w:rsidRPr="00A53904">
        <w:rPr>
          <w:caps/>
        </w:rPr>
        <w:instrText xml:space="preserve"> TOC \o "1-3" \h \z \u </w:instrText>
      </w:r>
      <w:r w:rsidRPr="00A53904">
        <w:rPr>
          <w:caps/>
        </w:rPr>
        <w:fldChar w:fldCharType="separate"/>
      </w:r>
      <w:hyperlink w:anchor="_Toc512409603" w:history="1">
        <w:r w:rsidR="00A53904" w:rsidRPr="00A53904">
          <w:rPr>
            <w:rStyle w:val="Hiperhivatkozs"/>
            <w:rFonts w:cstheme="minorHAnsi"/>
          </w:rPr>
          <w:t>Vezetői összefoglaló</w:t>
        </w:r>
        <w:r w:rsidR="00A53904" w:rsidRPr="00A53904">
          <w:rPr>
            <w:webHidden/>
          </w:rPr>
          <w:tab/>
        </w:r>
        <w:r w:rsidR="00A53904" w:rsidRPr="00A53904">
          <w:rPr>
            <w:webHidden/>
          </w:rPr>
          <w:fldChar w:fldCharType="begin"/>
        </w:r>
        <w:r w:rsidR="00A53904" w:rsidRPr="00A53904">
          <w:rPr>
            <w:webHidden/>
          </w:rPr>
          <w:instrText xml:space="preserve"> PAGEREF _Toc512409603 \h </w:instrText>
        </w:r>
        <w:r w:rsidR="00A53904" w:rsidRPr="00A53904">
          <w:rPr>
            <w:webHidden/>
          </w:rPr>
        </w:r>
        <w:r w:rsidR="00A53904" w:rsidRPr="00A53904">
          <w:rPr>
            <w:webHidden/>
          </w:rPr>
          <w:fldChar w:fldCharType="separate"/>
        </w:r>
        <w:r w:rsidR="00AE2608">
          <w:rPr>
            <w:webHidden/>
          </w:rPr>
          <w:t>4</w:t>
        </w:r>
        <w:r w:rsidR="00A53904" w:rsidRPr="00A53904">
          <w:rPr>
            <w:webHidden/>
          </w:rPr>
          <w:fldChar w:fldCharType="end"/>
        </w:r>
      </w:hyperlink>
    </w:p>
    <w:p w14:paraId="3AD97D63" w14:textId="21931902" w:rsidR="00A53904" w:rsidRPr="00A53904" w:rsidRDefault="00B049C8">
      <w:pPr>
        <w:pStyle w:val="TJ1"/>
        <w:rPr>
          <w:rFonts w:eastAsiaTheme="minorEastAsia" w:cstheme="minorBidi"/>
          <w:b w:val="0"/>
          <w:bCs w:val="0"/>
          <w:sz w:val="22"/>
          <w:szCs w:val="22"/>
        </w:rPr>
      </w:pPr>
      <w:hyperlink w:anchor="_Toc512409604" w:history="1">
        <w:r w:rsidR="00A53904" w:rsidRPr="00A53904">
          <w:rPr>
            <w:rStyle w:val="Hiperhivatkozs"/>
            <w:rFonts w:cstheme="minorHAnsi"/>
          </w:rPr>
          <w:t>Bevezető</w:t>
        </w:r>
        <w:r w:rsidR="00A53904" w:rsidRPr="00A53904">
          <w:rPr>
            <w:webHidden/>
          </w:rPr>
          <w:tab/>
        </w:r>
        <w:r w:rsidR="00A53904" w:rsidRPr="00A53904">
          <w:rPr>
            <w:webHidden/>
          </w:rPr>
          <w:fldChar w:fldCharType="begin"/>
        </w:r>
        <w:r w:rsidR="00A53904" w:rsidRPr="00A53904">
          <w:rPr>
            <w:webHidden/>
          </w:rPr>
          <w:instrText xml:space="preserve"> PAGEREF _Toc512409604 \h </w:instrText>
        </w:r>
        <w:r w:rsidR="00A53904" w:rsidRPr="00A53904">
          <w:rPr>
            <w:webHidden/>
          </w:rPr>
        </w:r>
        <w:r w:rsidR="00A53904" w:rsidRPr="00A53904">
          <w:rPr>
            <w:webHidden/>
          </w:rPr>
          <w:fldChar w:fldCharType="separate"/>
        </w:r>
        <w:r w:rsidR="00AE2608">
          <w:rPr>
            <w:webHidden/>
          </w:rPr>
          <w:t>8</w:t>
        </w:r>
        <w:r w:rsidR="00A53904" w:rsidRPr="00A53904">
          <w:rPr>
            <w:webHidden/>
          </w:rPr>
          <w:fldChar w:fldCharType="end"/>
        </w:r>
      </w:hyperlink>
    </w:p>
    <w:p w14:paraId="44AC0300" w14:textId="6B91FBE8" w:rsidR="00A53904" w:rsidRPr="00A53904" w:rsidRDefault="00B049C8">
      <w:pPr>
        <w:pStyle w:val="TJ2"/>
        <w:rPr>
          <w:rFonts w:asciiTheme="minorHAnsi" w:eastAsiaTheme="minorEastAsia" w:hAnsiTheme="minorHAnsi" w:cstheme="minorBidi"/>
          <w:bCs w:val="0"/>
          <w:noProof/>
          <w:sz w:val="22"/>
          <w:szCs w:val="22"/>
        </w:rPr>
      </w:pPr>
      <w:hyperlink w:anchor="_Toc512409605" w:history="1">
        <w:r w:rsidR="00A53904" w:rsidRPr="00A53904">
          <w:rPr>
            <w:rStyle w:val="Hiperhivatkozs"/>
            <w:rFonts w:asciiTheme="minorHAnsi" w:hAnsiTheme="minorHAnsi"/>
            <w:noProof/>
          </w:rPr>
          <w:t>Tervezési peremfeltételek</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_Toc512409605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8</w:t>
        </w:r>
        <w:r w:rsidR="00A53904" w:rsidRPr="00A53904">
          <w:rPr>
            <w:rFonts w:asciiTheme="minorHAnsi" w:hAnsiTheme="minorHAnsi"/>
            <w:noProof/>
            <w:webHidden/>
          </w:rPr>
          <w:fldChar w:fldCharType="end"/>
        </w:r>
      </w:hyperlink>
    </w:p>
    <w:p w14:paraId="15FBEE25" w14:textId="07DD0DDB" w:rsidR="00A53904" w:rsidRPr="00A53904" w:rsidRDefault="00B049C8">
      <w:pPr>
        <w:pStyle w:val="TJ2"/>
        <w:rPr>
          <w:rFonts w:asciiTheme="minorHAnsi" w:eastAsiaTheme="minorEastAsia" w:hAnsiTheme="minorHAnsi" w:cstheme="minorBidi"/>
          <w:bCs w:val="0"/>
          <w:noProof/>
          <w:sz w:val="22"/>
          <w:szCs w:val="22"/>
        </w:rPr>
      </w:pPr>
      <w:hyperlink w:anchor="_Toc512409606" w:history="1">
        <w:r w:rsidR="00A53904" w:rsidRPr="00A53904">
          <w:rPr>
            <w:rStyle w:val="Hiperhivatkozs"/>
            <w:rFonts w:asciiTheme="minorHAnsi" w:hAnsiTheme="minorHAnsi"/>
            <w:noProof/>
          </w:rPr>
          <w:t>Kockázatok és működési környezet</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_Toc512409606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10</w:t>
        </w:r>
        <w:r w:rsidR="00A53904" w:rsidRPr="00A53904">
          <w:rPr>
            <w:rFonts w:asciiTheme="minorHAnsi" w:hAnsiTheme="minorHAnsi"/>
            <w:noProof/>
            <w:webHidden/>
          </w:rPr>
          <w:fldChar w:fldCharType="end"/>
        </w:r>
      </w:hyperlink>
    </w:p>
    <w:p w14:paraId="7CEBBE6E" w14:textId="10055DA9" w:rsidR="00A53904" w:rsidRPr="00A53904" w:rsidRDefault="00B049C8">
      <w:pPr>
        <w:pStyle w:val="TJ1"/>
        <w:rPr>
          <w:rFonts w:eastAsiaTheme="minorEastAsia" w:cstheme="minorBidi"/>
          <w:b w:val="0"/>
          <w:bCs w:val="0"/>
          <w:sz w:val="22"/>
          <w:szCs w:val="22"/>
        </w:rPr>
      </w:pPr>
      <w:hyperlink w:anchor="_Toc512409607" w:history="1">
        <w:r w:rsidR="00A53904" w:rsidRPr="00A53904">
          <w:rPr>
            <w:rStyle w:val="Hiperhivatkozs"/>
            <w:rFonts w:cstheme="minorHAnsi"/>
          </w:rPr>
          <w:t>I.</w:t>
        </w:r>
        <w:r w:rsidR="00A53904" w:rsidRPr="00A53904">
          <w:rPr>
            <w:rFonts w:eastAsiaTheme="minorEastAsia" w:cstheme="minorBidi"/>
            <w:b w:val="0"/>
            <w:bCs w:val="0"/>
            <w:sz w:val="22"/>
            <w:szCs w:val="22"/>
          </w:rPr>
          <w:tab/>
        </w:r>
        <w:r w:rsidR="00A53904" w:rsidRPr="00A53904">
          <w:rPr>
            <w:rStyle w:val="Hiperhivatkozs"/>
            <w:rFonts w:cstheme="minorHAnsi"/>
          </w:rPr>
          <w:t>Tevékenységek fedezetei</w:t>
        </w:r>
        <w:r w:rsidR="00A53904" w:rsidRPr="00A53904">
          <w:rPr>
            <w:webHidden/>
          </w:rPr>
          <w:tab/>
        </w:r>
        <w:r w:rsidR="00A53904" w:rsidRPr="00A53904">
          <w:rPr>
            <w:webHidden/>
          </w:rPr>
          <w:fldChar w:fldCharType="begin"/>
        </w:r>
        <w:r w:rsidR="00A53904" w:rsidRPr="00A53904">
          <w:rPr>
            <w:webHidden/>
          </w:rPr>
          <w:instrText xml:space="preserve"> PAGEREF _Toc512409607 \h </w:instrText>
        </w:r>
        <w:r w:rsidR="00A53904" w:rsidRPr="00A53904">
          <w:rPr>
            <w:webHidden/>
          </w:rPr>
        </w:r>
        <w:r w:rsidR="00A53904" w:rsidRPr="00A53904">
          <w:rPr>
            <w:webHidden/>
          </w:rPr>
          <w:fldChar w:fldCharType="separate"/>
        </w:r>
        <w:r w:rsidR="00AE2608">
          <w:rPr>
            <w:webHidden/>
          </w:rPr>
          <w:t>12</w:t>
        </w:r>
        <w:r w:rsidR="00A53904" w:rsidRPr="00A53904">
          <w:rPr>
            <w:webHidden/>
          </w:rPr>
          <w:fldChar w:fldCharType="end"/>
        </w:r>
      </w:hyperlink>
    </w:p>
    <w:p w14:paraId="7AF57C9E" w14:textId="12516282" w:rsidR="00A53904" w:rsidRPr="00A53904" w:rsidRDefault="00B049C8">
      <w:pPr>
        <w:pStyle w:val="TJ2"/>
        <w:rPr>
          <w:rFonts w:asciiTheme="minorHAnsi" w:eastAsiaTheme="minorEastAsia" w:hAnsiTheme="minorHAnsi" w:cstheme="minorBidi"/>
          <w:bCs w:val="0"/>
          <w:noProof/>
          <w:sz w:val="22"/>
          <w:szCs w:val="22"/>
        </w:rPr>
      </w:pPr>
      <w:hyperlink w:anchor="_Toc512409608" w:history="1">
        <w:r w:rsidR="00A53904" w:rsidRPr="00A53904">
          <w:rPr>
            <w:rStyle w:val="Hiperhivatkozs"/>
            <w:rFonts w:asciiTheme="minorHAnsi" w:hAnsiTheme="minorHAnsi"/>
            <w:noProof/>
          </w:rPr>
          <w:t>I/a. Forgalmi teljesítmények</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_Toc512409608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12</w:t>
        </w:r>
        <w:r w:rsidR="00A53904" w:rsidRPr="00A53904">
          <w:rPr>
            <w:rFonts w:asciiTheme="minorHAnsi" w:hAnsiTheme="minorHAnsi"/>
            <w:noProof/>
            <w:webHidden/>
          </w:rPr>
          <w:fldChar w:fldCharType="end"/>
        </w:r>
      </w:hyperlink>
    </w:p>
    <w:p w14:paraId="36BAA093" w14:textId="572367E5" w:rsidR="00A53904" w:rsidRPr="00A53904" w:rsidRDefault="00B049C8">
      <w:pPr>
        <w:pStyle w:val="TJ3"/>
        <w:rPr>
          <w:rFonts w:eastAsiaTheme="minorEastAsia" w:cstheme="minorBidi"/>
          <w:sz w:val="22"/>
          <w:szCs w:val="22"/>
        </w:rPr>
      </w:pPr>
      <w:hyperlink w:anchor="_Toc512409609" w:history="1">
        <w:r w:rsidR="00A53904" w:rsidRPr="00A53904">
          <w:rPr>
            <w:rStyle w:val="Hiperhivatkozs"/>
          </w:rPr>
          <w:t>- Az alapteljesítmények vizsgálata</w:t>
        </w:r>
        <w:r w:rsidR="00A53904" w:rsidRPr="00A53904">
          <w:rPr>
            <w:webHidden/>
          </w:rPr>
          <w:tab/>
        </w:r>
        <w:r w:rsidR="00A53904" w:rsidRPr="00A53904">
          <w:rPr>
            <w:webHidden/>
          </w:rPr>
          <w:fldChar w:fldCharType="begin"/>
        </w:r>
        <w:r w:rsidR="00A53904" w:rsidRPr="00A53904">
          <w:rPr>
            <w:webHidden/>
          </w:rPr>
          <w:instrText xml:space="preserve"> PAGEREF _Toc512409609 \h </w:instrText>
        </w:r>
        <w:r w:rsidR="00A53904" w:rsidRPr="00A53904">
          <w:rPr>
            <w:webHidden/>
          </w:rPr>
        </w:r>
        <w:r w:rsidR="00A53904" w:rsidRPr="00A53904">
          <w:rPr>
            <w:webHidden/>
          </w:rPr>
          <w:fldChar w:fldCharType="separate"/>
        </w:r>
        <w:r w:rsidR="00AE2608">
          <w:rPr>
            <w:webHidden/>
          </w:rPr>
          <w:t>12</w:t>
        </w:r>
        <w:r w:rsidR="00A53904" w:rsidRPr="00A53904">
          <w:rPr>
            <w:webHidden/>
          </w:rPr>
          <w:fldChar w:fldCharType="end"/>
        </w:r>
      </w:hyperlink>
    </w:p>
    <w:p w14:paraId="30AF05E3" w14:textId="13DB4490" w:rsidR="00A53904" w:rsidRPr="00A53904" w:rsidRDefault="00B049C8">
      <w:pPr>
        <w:pStyle w:val="TJ3"/>
        <w:rPr>
          <w:rFonts w:eastAsiaTheme="minorEastAsia" w:cstheme="minorBidi"/>
          <w:sz w:val="22"/>
          <w:szCs w:val="22"/>
        </w:rPr>
      </w:pPr>
      <w:hyperlink w:anchor="_Toc512409610" w:history="1">
        <w:r w:rsidR="00A53904" w:rsidRPr="00A53904">
          <w:rPr>
            <w:rStyle w:val="Hiperhivatkozs"/>
          </w:rPr>
          <w:t>- Az M3 vonali rekonstrukció vágányzár hatásának (Észak-Dél) vizsgálata</w:t>
        </w:r>
        <w:r w:rsidR="00A53904" w:rsidRPr="00A53904">
          <w:rPr>
            <w:webHidden/>
          </w:rPr>
          <w:tab/>
        </w:r>
        <w:r w:rsidR="00A53904" w:rsidRPr="00A53904">
          <w:rPr>
            <w:webHidden/>
          </w:rPr>
          <w:fldChar w:fldCharType="begin"/>
        </w:r>
        <w:r w:rsidR="00A53904" w:rsidRPr="00A53904">
          <w:rPr>
            <w:webHidden/>
          </w:rPr>
          <w:instrText xml:space="preserve"> PAGEREF _Toc512409610 \h </w:instrText>
        </w:r>
        <w:r w:rsidR="00A53904" w:rsidRPr="00A53904">
          <w:rPr>
            <w:webHidden/>
          </w:rPr>
        </w:r>
        <w:r w:rsidR="00A53904" w:rsidRPr="00A53904">
          <w:rPr>
            <w:webHidden/>
          </w:rPr>
          <w:fldChar w:fldCharType="separate"/>
        </w:r>
        <w:r w:rsidR="00AE2608">
          <w:rPr>
            <w:webHidden/>
          </w:rPr>
          <w:t>14</w:t>
        </w:r>
        <w:r w:rsidR="00A53904" w:rsidRPr="00A53904">
          <w:rPr>
            <w:webHidden/>
          </w:rPr>
          <w:fldChar w:fldCharType="end"/>
        </w:r>
      </w:hyperlink>
    </w:p>
    <w:p w14:paraId="4581B12D" w14:textId="1137FC63" w:rsidR="00A53904" w:rsidRPr="00A53904" w:rsidRDefault="00B049C8">
      <w:pPr>
        <w:pStyle w:val="TJ3"/>
        <w:rPr>
          <w:rFonts w:eastAsiaTheme="minorEastAsia" w:cstheme="minorBidi"/>
          <w:sz w:val="22"/>
          <w:szCs w:val="22"/>
        </w:rPr>
      </w:pPr>
      <w:hyperlink w:anchor="_Toc512409611" w:history="1">
        <w:r w:rsidR="00A53904" w:rsidRPr="00A53904">
          <w:rPr>
            <w:rStyle w:val="Hiperhivatkozs"/>
          </w:rPr>
          <w:t>- Alap forgalmi teljesítmény változások hatása a költségekre</w:t>
        </w:r>
        <w:r w:rsidR="00A53904" w:rsidRPr="00A53904">
          <w:rPr>
            <w:webHidden/>
          </w:rPr>
          <w:tab/>
        </w:r>
        <w:r w:rsidR="00A53904" w:rsidRPr="00A53904">
          <w:rPr>
            <w:webHidden/>
          </w:rPr>
          <w:fldChar w:fldCharType="begin"/>
        </w:r>
        <w:r w:rsidR="00A53904" w:rsidRPr="00A53904">
          <w:rPr>
            <w:webHidden/>
          </w:rPr>
          <w:instrText xml:space="preserve"> PAGEREF _Toc512409611 \h </w:instrText>
        </w:r>
        <w:r w:rsidR="00A53904" w:rsidRPr="00A53904">
          <w:rPr>
            <w:webHidden/>
          </w:rPr>
        </w:r>
        <w:r w:rsidR="00A53904" w:rsidRPr="00A53904">
          <w:rPr>
            <w:webHidden/>
          </w:rPr>
          <w:fldChar w:fldCharType="separate"/>
        </w:r>
        <w:r w:rsidR="00AE2608">
          <w:rPr>
            <w:webHidden/>
          </w:rPr>
          <w:t>15</w:t>
        </w:r>
        <w:r w:rsidR="00A53904" w:rsidRPr="00A53904">
          <w:rPr>
            <w:webHidden/>
          </w:rPr>
          <w:fldChar w:fldCharType="end"/>
        </w:r>
      </w:hyperlink>
    </w:p>
    <w:p w14:paraId="1B76F1C7" w14:textId="1755BE18" w:rsidR="00A53904" w:rsidRPr="00A53904" w:rsidRDefault="00B049C8">
      <w:pPr>
        <w:pStyle w:val="TJ2"/>
        <w:rPr>
          <w:rFonts w:asciiTheme="minorHAnsi" w:eastAsiaTheme="minorEastAsia" w:hAnsiTheme="minorHAnsi" w:cstheme="minorBidi"/>
          <w:bCs w:val="0"/>
          <w:noProof/>
          <w:sz w:val="22"/>
          <w:szCs w:val="22"/>
        </w:rPr>
      </w:pPr>
      <w:hyperlink w:anchor="_Toc512409612" w:history="1">
        <w:r w:rsidR="00A53904" w:rsidRPr="00A53904">
          <w:rPr>
            <w:rStyle w:val="Hiperhivatkozs"/>
            <w:rFonts w:asciiTheme="minorHAnsi" w:hAnsiTheme="minorHAnsi"/>
            <w:noProof/>
          </w:rPr>
          <w:t>I/b. Az M3 metróvonal rekonstrukciós munkái</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_Toc512409612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16</w:t>
        </w:r>
        <w:r w:rsidR="00A53904" w:rsidRPr="00A53904">
          <w:rPr>
            <w:rFonts w:asciiTheme="minorHAnsi" w:hAnsiTheme="minorHAnsi"/>
            <w:noProof/>
            <w:webHidden/>
          </w:rPr>
          <w:fldChar w:fldCharType="end"/>
        </w:r>
      </w:hyperlink>
    </w:p>
    <w:p w14:paraId="3D261E62" w14:textId="2FB0FB81" w:rsidR="00A53904" w:rsidRPr="00A53904" w:rsidRDefault="00B049C8">
      <w:pPr>
        <w:pStyle w:val="TJ3"/>
        <w:rPr>
          <w:rFonts w:eastAsiaTheme="minorEastAsia" w:cstheme="minorBidi"/>
          <w:sz w:val="22"/>
          <w:szCs w:val="22"/>
        </w:rPr>
      </w:pPr>
      <w:hyperlink w:anchor="_Toc512409613" w:history="1">
        <w:r w:rsidR="00A53904" w:rsidRPr="00A53904">
          <w:rPr>
            <w:rStyle w:val="Hiperhivatkozs"/>
          </w:rPr>
          <w:t>- A beruházás finanszírozása és ütemezése</w:t>
        </w:r>
        <w:r w:rsidR="00A53904" w:rsidRPr="00A53904">
          <w:rPr>
            <w:webHidden/>
          </w:rPr>
          <w:tab/>
        </w:r>
        <w:r w:rsidR="00A53904" w:rsidRPr="00A53904">
          <w:rPr>
            <w:webHidden/>
          </w:rPr>
          <w:fldChar w:fldCharType="begin"/>
        </w:r>
        <w:r w:rsidR="00A53904" w:rsidRPr="00A53904">
          <w:rPr>
            <w:webHidden/>
          </w:rPr>
          <w:instrText xml:space="preserve"> PAGEREF _Toc512409613 \h </w:instrText>
        </w:r>
        <w:r w:rsidR="00A53904" w:rsidRPr="00A53904">
          <w:rPr>
            <w:webHidden/>
          </w:rPr>
        </w:r>
        <w:r w:rsidR="00A53904" w:rsidRPr="00A53904">
          <w:rPr>
            <w:webHidden/>
          </w:rPr>
          <w:fldChar w:fldCharType="separate"/>
        </w:r>
        <w:r w:rsidR="00AE2608">
          <w:rPr>
            <w:webHidden/>
          </w:rPr>
          <w:t>16</w:t>
        </w:r>
        <w:r w:rsidR="00A53904" w:rsidRPr="00A53904">
          <w:rPr>
            <w:webHidden/>
          </w:rPr>
          <w:fldChar w:fldCharType="end"/>
        </w:r>
      </w:hyperlink>
    </w:p>
    <w:p w14:paraId="7A686D31" w14:textId="1D979707" w:rsidR="00A53904" w:rsidRPr="00A53904" w:rsidRDefault="00B049C8">
      <w:pPr>
        <w:pStyle w:val="TJ3"/>
        <w:rPr>
          <w:rFonts w:eastAsiaTheme="minorEastAsia" w:cstheme="minorBidi"/>
          <w:sz w:val="22"/>
          <w:szCs w:val="22"/>
        </w:rPr>
      </w:pPr>
      <w:hyperlink w:anchor="_Toc512409614" w:history="1">
        <w:r w:rsidR="00A53904" w:rsidRPr="00A53904">
          <w:rPr>
            <w:rStyle w:val="Hiperhivatkozs"/>
          </w:rPr>
          <w:t>- A Projekt műszaki tartalma és státusza</w:t>
        </w:r>
        <w:r w:rsidR="00A53904" w:rsidRPr="00A53904">
          <w:rPr>
            <w:webHidden/>
          </w:rPr>
          <w:tab/>
        </w:r>
        <w:r w:rsidR="00A53904" w:rsidRPr="00A53904">
          <w:rPr>
            <w:webHidden/>
          </w:rPr>
          <w:fldChar w:fldCharType="begin"/>
        </w:r>
        <w:r w:rsidR="00A53904" w:rsidRPr="00A53904">
          <w:rPr>
            <w:webHidden/>
          </w:rPr>
          <w:instrText xml:space="preserve"> PAGEREF _Toc512409614 \h </w:instrText>
        </w:r>
        <w:r w:rsidR="00A53904" w:rsidRPr="00A53904">
          <w:rPr>
            <w:webHidden/>
          </w:rPr>
        </w:r>
        <w:r w:rsidR="00A53904" w:rsidRPr="00A53904">
          <w:rPr>
            <w:webHidden/>
          </w:rPr>
          <w:fldChar w:fldCharType="separate"/>
        </w:r>
        <w:r w:rsidR="00AE2608">
          <w:rPr>
            <w:webHidden/>
          </w:rPr>
          <w:t>17</w:t>
        </w:r>
        <w:r w:rsidR="00A53904" w:rsidRPr="00A53904">
          <w:rPr>
            <w:webHidden/>
          </w:rPr>
          <w:fldChar w:fldCharType="end"/>
        </w:r>
      </w:hyperlink>
    </w:p>
    <w:p w14:paraId="1331D79B" w14:textId="50E74AE5" w:rsidR="00A53904" w:rsidRPr="00A53904" w:rsidRDefault="00B049C8">
      <w:pPr>
        <w:pStyle w:val="TJ3"/>
        <w:rPr>
          <w:rFonts w:eastAsiaTheme="minorEastAsia" w:cstheme="minorBidi"/>
          <w:sz w:val="22"/>
          <w:szCs w:val="22"/>
        </w:rPr>
      </w:pPr>
      <w:hyperlink w:anchor="_Toc512409615" w:history="1">
        <w:r w:rsidR="00A53904" w:rsidRPr="00A53904">
          <w:rPr>
            <w:rStyle w:val="Hiperhivatkozs"/>
          </w:rPr>
          <w:t>- A metró rekonstrukció hatása a forgalmi teljesítményekre</w:t>
        </w:r>
        <w:r w:rsidR="00A53904" w:rsidRPr="00A53904">
          <w:rPr>
            <w:webHidden/>
          </w:rPr>
          <w:tab/>
        </w:r>
        <w:r w:rsidR="00A53904" w:rsidRPr="00A53904">
          <w:rPr>
            <w:webHidden/>
          </w:rPr>
          <w:fldChar w:fldCharType="begin"/>
        </w:r>
        <w:r w:rsidR="00A53904" w:rsidRPr="00A53904">
          <w:rPr>
            <w:webHidden/>
          </w:rPr>
          <w:instrText xml:space="preserve"> PAGEREF _Toc512409615 \h </w:instrText>
        </w:r>
        <w:r w:rsidR="00A53904" w:rsidRPr="00A53904">
          <w:rPr>
            <w:webHidden/>
          </w:rPr>
        </w:r>
        <w:r w:rsidR="00A53904" w:rsidRPr="00A53904">
          <w:rPr>
            <w:webHidden/>
          </w:rPr>
          <w:fldChar w:fldCharType="separate"/>
        </w:r>
        <w:r w:rsidR="00AE2608">
          <w:rPr>
            <w:webHidden/>
          </w:rPr>
          <w:t>19</w:t>
        </w:r>
        <w:r w:rsidR="00A53904" w:rsidRPr="00A53904">
          <w:rPr>
            <w:webHidden/>
          </w:rPr>
          <w:fldChar w:fldCharType="end"/>
        </w:r>
      </w:hyperlink>
    </w:p>
    <w:p w14:paraId="7A2910E0" w14:textId="11904196" w:rsidR="00A53904" w:rsidRPr="00A53904" w:rsidRDefault="00B049C8">
      <w:pPr>
        <w:pStyle w:val="TJ3"/>
        <w:rPr>
          <w:rFonts w:eastAsiaTheme="minorEastAsia" w:cstheme="minorBidi"/>
          <w:sz w:val="22"/>
          <w:szCs w:val="22"/>
        </w:rPr>
      </w:pPr>
      <w:hyperlink w:anchor="_Toc512409616" w:history="1">
        <w:r w:rsidR="00A53904" w:rsidRPr="00A53904">
          <w:rPr>
            <w:rStyle w:val="Hiperhivatkozs"/>
          </w:rPr>
          <w:t>- Metró Felújítási Projekt Igazgatóság</w:t>
        </w:r>
        <w:r w:rsidR="00A53904" w:rsidRPr="00A53904">
          <w:rPr>
            <w:webHidden/>
          </w:rPr>
          <w:tab/>
        </w:r>
        <w:r w:rsidR="00A53904" w:rsidRPr="00A53904">
          <w:rPr>
            <w:webHidden/>
          </w:rPr>
          <w:fldChar w:fldCharType="begin"/>
        </w:r>
        <w:r w:rsidR="00A53904" w:rsidRPr="00A53904">
          <w:rPr>
            <w:webHidden/>
          </w:rPr>
          <w:instrText xml:space="preserve"> PAGEREF _Toc512409616 \h </w:instrText>
        </w:r>
        <w:r w:rsidR="00A53904" w:rsidRPr="00A53904">
          <w:rPr>
            <w:webHidden/>
          </w:rPr>
        </w:r>
        <w:r w:rsidR="00A53904" w:rsidRPr="00A53904">
          <w:rPr>
            <w:webHidden/>
          </w:rPr>
          <w:fldChar w:fldCharType="separate"/>
        </w:r>
        <w:r w:rsidR="00AE2608">
          <w:rPr>
            <w:webHidden/>
          </w:rPr>
          <w:t>20</w:t>
        </w:r>
        <w:r w:rsidR="00A53904" w:rsidRPr="00A53904">
          <w:rPr>
            <w:webHidden/>
          </w:rPr>
          <w:fldChar w:fldCharType="end"/>
        </w:r>
      </w:hyperlink>
    </w:p>
    <w:p w14:paraId="14794ABA" w14:textId="3DB6F3A7" w:rsidR="00A53904" w:rsidRPr="00A53904" w:rsidRDefault="00B049C8">
      <w:pPr>
        <w:pStyle w:val="TJ3"/>
        <w:rPr>
          <w:rFonts w:eastAsiaTheme="minorEastAsia" w:cstheme="minorBidi"/>
          <w:sz w:val="22"/>
          <w:szCs w:val="22"/>
        </w:rPr>
      </w:pPr>
      <w:hyperlink w:anchor="_Toc512409617" w:history="1">
        <w:r w:rsidR="00A53904" w:rsidRPr="00A53904">
          <w:rPr>
            <w:rStyle w:val="Hiperhivatkozs"/>
          </w:rPr>
          <w:t>- Metró járművek felújítása</w:t>
        </w:r>
        <w:r w:rsidR="00A53904" w:rsidRPr="00A53904">
          <w:rPr>
            <w:webHidden/>
          </w:rPr>
          <w:tab/>
        </w:r>
        <w:r w:rsidR="00A53904" w:rsidRPr="00A53904">
          <w:rPr>
            <w:webHidden/>
          </w:rPr>
          <w:fldChar w:fldCharType="begin"/>
        </w:r>
        <w:r w:rsidR="00A53904" w:rsidRPr="00A53904">
          <w:rPr>
            <w:webHidden/>
          </w:rPr>
          <w:instrText xml:space="preserve"> PAGEREF _Toc512409617 \h </w:instrText>
        </w:r>
        <w:r w:rsidR="00A53904" w:rsidRPr="00A53904">
          <w:rPr>
            <w:webHidden/>
          </w:rPr>
        </w:r>
        <w:r w:rsidR="00A53904" w:rsidRPr="00A53904">
          <w:rPr>
            <w:webHidden/>
          </w:rPr>
          <w:fldChar w:fldCharType="separate"/>
        </w:r>
        <w:r w:rsidR="00AE2608">
          <w:rPr>
            <w:webHidden/>
          </w:rPr>
          <w:t>22</w:t>
        </w:r>
        <w:r w:rsidR="00A53904" w:rsidRPr="00A53904">
          <w:rPr>
            <w:webHidden/>
          </w:rPr>
          <w:fldChar w:fldCharType="end"/>
        </w:r>
      </w:hyperlink>
    </w:p>
    <w:p w14:paraId="0C3483E3" w14:textId="23AC5B19" w:rsidR="00A53904" w:rsidRPr="00A53904" w:rsidRDefault="00B049C8">
      <w:pPr>
        <w:pStyle w:val="TJ2"/>
        <w:rPr>
          <w:rFonts w:asciiTheme="minorHAnsi" w:eastAsiaTheme="minorEastAsia" w:hAnsiTheme="minorHAnsi" w:cstheme="minorBidi"/>
          <w:bCs w:val="0"/>
          <w:noProof/>
          <w:sz w:val="22"/>
          <w:szCs w:val="22"/>
        </w:rPr>
      </w:pPr>
      <w:hyperlink w:anchor="_Toc512409618" w:history="1">
        <w:r w:rsidR="00A53904" w:rsidRPr="00A53904">
          <w:rPr>
            <w:rStyle w:val="Hiperhivatkozs"/>
            <w:rFonts w:asciiTheme="minorHAnsi" w:hAnsiTheme="minorHAnsi"/>
            <w:noProof/>
          </w:rPr>
          <w:t>I/c. BKK tulajdonú járművek üzemeltetési költségei</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_Toc512409618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23</w:t>
        </w:r>
        <w:r w:rsidR="00A53904" w:rsidRPr="00A53904">
          <w:rPr>
            <w:rFonts w:asciiTheme="minorHAnsi" w:hAnsiTheme="minorHAnsi"/>
            <w:noProof/>
            <w:webHidden/>
          </w:rPr>
          <w:fldChar w:fldCharType="end"/>
        </w:r>
      </w:hyperlink>
    </w:p>
    <w:p w14:paraId="55B4456C" w14:textId="7D3757E5" w:rsidR="00A53904" w:rsidRPr="00A53904" w:rsidRDefault="00B049C8">
      <w:pPr>
        <w:pStyle w:val="TJ2"/>
        <w:rPr>
          <w:rFonts w:asciiTheme="minorHAnsi" w:eastAsiaTheme="minorEastAsia" w:hAnsiTheme="minorHAnsi" w:cstheme="minorBidi"/>
          <w:bCs w:val="0"/>
          <w:noProof/>
          <w:sz w:val="22"/>
          <w:szCs w:val="22"/>
        </w:rPr>
      </w:pPr>
      <w:hyperlink w:anchor="_Toc512409619" w:history="1">
        <w:r w:rsidR="00A53904" w:rsidRPr="00A53904">
          <w:rPr>
            <w:rStyle w:val="Hiperhivatkozs"/>
            <w:rFonts w:asciiTheme="minorHAnsi" w:hAnsiTheme="minorHAnsi"/>
            <w:noProof/>
          </w:rPr>
          <w:t>I/d. A BKV Zrt. nem közszolgáltatási tevékenységeinek alakulása</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_Toc512409619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25</w:t>
        </w:r>
        <w:r w:rsidR="00A53904" w:rsidRPr="00A53904">
          <w:rPr>
            <w:rFonts w:asciiTheme="minorHAnsi" w:hAnsiTheme="minorHAnsi"/>
            <w:noProof/>
            <w:webHidden/>
          </w:rPr>
          <w:fldChar w:fldCharType="end"/>
        </w:r>
      </w:hyperlink>
    </w:p>
    <w:p w14:paraId="7FD835A5" w14:textId="00189DAE" w:rsidR="00A53904" w:rsidRPr="00A53904" w:rsidRDefault="00B049C8">
      <w:pPr>
        <w:pStyle w:val="TJ3"/>
        <w:rPr>
          <w:rFonts w:eastAsiaTheme="minorEastAsia" w:cstheme="minorBidi"/>
          <w:sz w:val="22"/>
          <w:szCs w:val="22"/>
        </w:rPr>
      </w:pPr>
      <w:hyperlink w:anchor="_Toc512409620" w:history="1">
        <w:r w:rsidR="00A53904" w:rsidRPr="00A53904">
          <w:rPr>
            <w:rStyle w:val="Hiperhivatkozs"/>
            <w:rFonts w:cstheme="minorHAnsi"/>
          </w:rPr>
          <w:t>- Budavári Sikló</w:t>
        </w:r>
        <w:r w:rsidR="00A53904" w:rsidRPr="00A53904">
          <w:rPr>
            <w:webHidden/>
          </w:rPr>
          <w:tab/>
        </w:r>
        <w:r w:rsidR="00A53904">
          <w:rPr>
            <w:webHidden/>
          </w:rPr>
          <w:tab/>
        </w:r>
        <w:r w:rsidR="00A53904" w:rsidRPr="00A53904">
          <w:rPr>
            <w:webHidden/>
          </w:rPr>
          <w:fldChar w:fldCharType="begin"/>
        </w:r>
        <w:r w:rsidR="00A53904" w:rsidRPr="00A53904">
          <w:rPr>
            <w:webHidden/>
          </w:rPr>
          <w:instrText xml:space="preserve"> PAGEREF _Toc512409620 \h </w:instrText>
        </w:r>
        <w:r w:rsidR="00A53904" w:rsidRPr="00A53904">
          <w:rPr>
            <w:webHidden/>
          </w:rPr>
        </w:r>
        <w:r w:rsidR="00A53904" w:rsidRPr="00A53904">
          <w:rPr>
            <w:webHidden/>
          </w:rPr>
          <w:fldChar w:fldCharType="separate"/>
        </w:r>
        <w:r w:rsidR="00AE2608">
          <w:rPr>
            <w:webHidden/>
          </w:rPr>
          <w:t>25</w:t>
        </w:r>
        <w:r w:rsidR="00A53904" w:rsidRPr="00A53904">
          <w:rPr>
            <w:webHidden/>
          </w:rPr>
          <w:fldChar w:fldCharType="end"/>
        </w:r>
      </w:hyperlink>
    </w:p>
    <w:p w14:paraId="248EECFC" w14:textId="13DA0DCA" w:rsidR="00A53904" w:rsidRPr="00A53904" w:rsidRDefault="00B049C8">
      <w:pPr>
        <w:pStyle w:val="TJ3"/>
        <w:rPr>
          <w:rFonts w:eastAsiaTheme="minorEastAsia" w:cstheme="minorBidi"/>
          <w:sz w:val="22"/>
          <w:szCs w:val="22"/>
        </w:rPr>
      </w:pPr>
      <w:hyperlink w:anchor="_Toc512409621" w:history="1">
        <w:r w:rsidR="00A53904" w:rsidRPr="00A53904">
          <w:rPr>
            <w:rStyle w:val="Hiperhivatkozs"/>
            <w:rFonts w:cstheme="minorHAnsi"/>
          </w:rPr>
          <w:t>- Zugligeti Libegő</w:t>
        </w:r>
        <w:r w:rsidR="00A53904" w:rsidRPr="00A53904">
          <w:rPr>
            <w:webHidden/>
          </w:rPr>
          <w:tab/>
        </w:r>
        <w:r w:rsidR="00A53904">
          <w:rPr>
            <w:webHidden/>
          </w:rPr>
          <w:tab/>
        </w:r>
        <w:r w:rsidR="00A53904" w:rsidRPr="00A53904">
          <w:rPr>
            <w:webHidden/>
          </w:rPr>
          <w:fldChar w:fldCharType="begin"/>
        </w:r>
        <w:r w:rsidR="00A53904" w:rsidRPr="00A53904">
          <w:rPr>
            <w:webHidden/>
          </w:rPr>
          <w:instrText xml:space="preserve"> PAGEREF _Toc512409621 \h </w:instrText>
        </w:r>
        <w:r w:rsidR="00A53904" w:rsidRPr="00A53904">
          <w:rPr>
            <w:webHidden/>
          </w:rPr>
        </w:r>
        <w:r w:rsidR="00A53904" w:rsidRPr="00A53904">
          <w:rPr>
            <w:webHidden/>
          </w:rPr>
          <w:fldChar w:fldCharType="separate"/>
        </w:r>
        <w:r w:rsidR="00AE2608">
          <w:rPr>
            <w:webHidden/>
          </w:rPr>
          <w:t>25</w:t>
        </w:r>
        <w:r w:rsidR="00A53904" w:rsidRPr="00A53904">
          <w:rPr>
            <w:webHidden/>
          </w:rPr>
          <w:fldChar w:fldCharType="end"/>
        </w:r>
      </w:hyperlink>
    </w:p>
    <w:p w14:paraId="1A26448F" w14:textId="0052B4C0" w:rsidR="00A53904" w:rsidRPr="00A53904" w:rsidRDefault="00B049C8">
      <w:pPr>
        <w:pStyle w:val="TJ3"/>
        <w:rPr>
          <w:rFonts w:eastAsiaTheme="minorEastAsia" w:cstheme="minorBidi"/>
          <w:sz w:val="22"/>
          <w:szCs w:val="22"/>
        </w:rPr>
      </w:pPr>
      <w:hyperlink w:anchor="_Toc512409622" w:history="1">
        <w:r w:rsidR="00A53904" w:rsidRPr="00A53904">
          <w:rPr>
            <w:rStyle w:val="Hiperhivatkozs"/>
            <w:rFonts w:cstheme="minorHAnsi"/>
          </w:rPr>
          <w:t>- Támogatások</w:t>
        </w:r>
        <w:r w:rsidR="00A53904" w:rsidRPr="00A53904">
          <w:rPr>
            <w:webHidden/>
          </w:rPr>
          <w:tab/>
        </w:r>
        <w:r w:rsidR="00A53904">
          <w:rPr>
            <w:webHidden/>
          </w:rPr>
          <w:tab/>
        </w:r>
        <w:r w:rsidR="00A53904" w:rsidRPr="00A53904">
          <w:rPr>
            <w:webHidden/>
          </w:rPr>
          <w:fldChar w:fldCharType="begin"/>
        </w:r>
        <w:r w:rsidR="00A53904" w:rsidRPr="00A53904">
          <w:rPr>
            <w:webHidden/>
          </w:rPr>
          <w:instrText xml:space="preserve"> PAGEREF _Toc512409622 \h </w:instrText>
        </w:r>
        <w:r w:rsidR="00A53904" w:rsidRPr="00A53904">
          <w:rPr>
            <w:webHidden/>
          </w:rPr>
        </w:r>
        <w:r w:rsidR="00A53904" w:rsidRPr="00A53904">
          <w:rPr>
            <w:webHidden/>
          </w:rPr>
          <w:fldChar w:fldCharType="separate"/>
        </w:r>
        <w:r w:rsidR="00AE2608">
          <w:rPr>
            <w:webHidden/>
          </w:rPr>
          <w:t>26</w:t>
        </w:r>
        <w:r w:rsidR="00A53904" w:rsidRPr="00A53904">
          <w:rPr>
            <w:webHidden/>
          </w:rPr>
          <w:fldChar w:fldCharType="end"/>
        </w:r>
      </w:hyperlink>
    </w:p>
    <w:p w14:paraId="4920E097" w14:textId="0BF23974" w:rsidR="00A53904" w:rsidRPr="00A53904" w:rsidRDefault="00B049C8">
      <w:pPr>
        <w:pStyle w:val="TJ2"/>
        <w:rPr>
          <w:rFonts w:asciiTheme="minorHAnsi" w:eastAsiaTheme="minorEastAsia" w:hAnsiTheme="minorHAnsi" w:cstheme="minorBidi"/>
          <w:bCs w:val="0"/>
          <w:noProof/>
          <w:sz w:val="22"/>
          <w:szCs w:val="22"/>
        </w:rPr>
      </w:pPr>
      <w:hyperlink w:anchor="_Toc512409623" w:history="1">
        <w:r w:rsidR="00A53904" w:rsidRPr="00A53904">
          <w:rPr>
            <w:rStyle w:val="Hiperhivatkozs"/>
            <w:rFonts w:asciiTheme="minorHAnsi" w:hAnsiTheme="minorHAnsi"/>
            <w:noProof/>
          </w:rPr>
          <w:t>I/e. Tevékenységek fedezete (gyűjtő)</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_Toc512409623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27</w:t>
        </w:r>
        <w:r w:rsidR="00A53904" w:rsidRPr="00A53904">
          <w:rPr>
            <w:rFonts w:asciiTheme="minorHAnsi" w:hAnsiTheme="minorHAnsi"/>
            <w:noProof/>
            <w:webHidden/>
          </w:rPr>
          <w:fldChar w:fldCharType="end"/>
        </w:r>
      </w:hyperlink>
    </w:p>
    <w:p w14:paraId="0D54D501" w14:textId="4FABC328" w:rsidR="00A53904" w:rsidRPr="00A53904" w:rsidRDefault="00B049C8">
      <w:pPr>
        <w:pStyle w:val="TJ1"/>
        <w:rPr>
          <w:rFonts w:eastAsiaTheme="minorEastAsia" w:cstheme="minorBidi"/>
          <w:b w:val="0"/>
          <w:bCs w:val="0"/>
          <w:sz w:val="22"/>
          <w:szCs w:val="22"/>
        </w:rPr>
      </w:pPr>
      <w:hyperlink w:anchor="_Toc512409624" w:history="1">
        <w:r w:rsidR="00A53904" w:rsidRPr="00A53904">
          <w:rPr>
            <w:rStyle w:val="Hiperhivatkozs"/>
            <w:rFonts w:cstheme="minorHAnsi"/>
          </w:rPr>
          <w:t>II.</w:t>
        </w:r>
        <w:r w:rsidR="00A53904" w:rsidRPr="00A53904">
          <w:rPr>
            <w:rFonts w:eastAsiaTheme="minorEastAsia" w:cstheme="minorBidi"/>
            <w:b w:val="0"/>
            <w:bCs w:val="0"/>
            <w:sz w:val="22"/>
            <w:szCs w:val="22"/>
          </w:rPr>
          <w:tab/>
        </w:r>
        <w:r w:rsidR="00A53904" w:rsidRPr="00A53904">
          <w:rPr>
            <w:rStyle w:val="Hiperhivatkozs"/>
            <w:rFonts w:cstheme="minorHAnsi"/>
          </w:rPr>
          <w:t>Eredmény-célkitűzés</w:t>
        </w:r>
        <w:r w:rsidR="00A53904" w:rsidRPr="00A53904">
          <w:rPr>
            <w:webHidden/>
          </w:rPr>
          <w:tab/>
        </w:r>
        <w:r w:rsidR="00A53904" w:rsidRPr="00A53904">
          <w:rPr>
            <w:webHidden/>
          </w:rPr>
          <w:fldChar w:fldCharType="begin"/>
        </w:r>
        <w:r w:rsidR="00A53904" w:rsidRPr="00A53904">
          <w:rPr>
            <w:webHidden/>
          </w:rPr>
          <w:instrText xml:space="preserve"> PAGEREF _Toc512409624 \h </w:instrText>
        </w:r>
        <w:r w:rsidR="00A53904" w:rsidRPr="00A53904">
          <w:rPr>
            <w:webHidden/>
          </w:rPr>
        </w:r>
        <w:r w:rsidR="00A53904" w:rsidRPr="00A53904">
          <w:rPr>
            <w:webHidden/>
          </w:rPr>
          <w:fldChar w:fldCharType="separate"/>
        </w:r>
        <w:r w:rsidR="00AE2608">
          <w:rPr>
            <w:webHidden/>
          </w:rPr>
          <w:t>28</w:t>
        </w:r>
        <w:r w:rsidR="00A53904" w:rsidRPr="00A53904">
          <w:rPr>
            <w:webHidden/>
          </w:rPr>
          <w:fldChar w:fldCharType="end"/>
        </w:r>
      </w:hyperlink>
    </w:p>
    <w:p w14:paraId="0A7C3A2B" w14:textId="238B3797" w:rsidR="00A53904" w:rsidRPr="00A53904" w:rsidRDefault="00B049C8">
      <w:pPr>
        <w:pStyle w:val="TJ2"/>
        <w:rPr>
          <w:rFonts w:asciiTheme="minorHAnsi" w:eastAsiaTheme="minorEastAsia" w:hAnsiTheme="minorHAnsi" w:cstheme="minorBidi"/>
          <w:bCs w:val="0"/>
          <w:noProof/>
          <w:sz w:val="22"/>
          <w:szCs w:val="22"/>
        </w:rPr>
      </w:pPr>
      <w:hyperlink w:anchor="_Toc512409625" w:history="1">
        <w:r w:rsidR="00A53904" w:rsidRPr="00A53904">
          <w:rPr>
            <w:rStyle w:val="Hiperhivatkozs"/>
            <w:rFonts w:asciiTheme="minorHAnsi" w:hAnsiTheme="minorHAnsi"/>
            <w:noProof/>
          </w:rPr>
          <w:t>II/1. Eredménykimutatás részletezése</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_Toc512409625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28</w:t>
        </w:r>
        <w:r w:rsidR="00A53904" w:rsidRPr="00A53904">
          <w:rPr>
            <w:rFonts w:asciiTheme="minorHAnsi" w:hAnsiTheme="minorHAnsi"/>
            <w:noProof/>
            <w:webHidden/>
          </w:rPr>
          <w:fldChar w:fldCharType="end"/>
        </w:r>
      </w:hyperlink>
    </w:p>
    <w:p w14:paraId="5AD03CF1" w14:textId="431D7131" w:rsidR="00A53904" w:rsidRPr="00A53904" w:rsidRDefault="00B049C8">
      <w:pPr>
        <w:pStyle w:val="TJ2"/>
        <w:rPr>
          <w:rFonts w:asciiTheme="minorHAnsi" w:eastAsiaTheme="minorEastAsia" w:hAnsiTheme="minorHAnsi" w:cstheme="minorBidi"/>
          <w:bCs w:val="0"/>
          <w:noProof/>
          <w:sz w:val="22"/>
          <w:szCs w:val="22"/>
        </w:rPr>
      </w:pPr>
      <w:hyperlink w:anchor="_Toc512409626" w:history="1">
        <w:r w:rsidR="00A53904" w:rsidRPr="00A53904">
          <w:rPr>
            <w:rStyle w:val="Hiperhivatkozs"/>
            <w:rFonts w:asciiTheme="minorHAnsi" w:hAnsiTheme="minorHAnsi"/>
            <w:noProof/>
          </w:rPr>
          <w:t>Bevételek</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_Toc512409626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28</w:t>
        </w:r>
        <w:r w:rsidR="00A53904" w:rsidRPr="00A53904">
          <w:rPr>
            <w:rFonts w:asciiTheme="minorHAnsi" w:hAnsiTheme="minorHAnsi"/>
            <w:noProof/>
            <w:webHidden/>
          </w:rPr>
          <w:fldChar w:fldCharType="end"/>
        </w:r>
      </w:hyperlink>
    </w:p>
    <w:p w14:paraId="01BEC1AC" w14:textId="215CC647" w:rsidR="00A53904" w:rsidRPr="00A53904" w:rsidRDefault="00B049C8">
      <w:pPr>
        <w:pStyle w:val="TJ2"/>
        <w:rPr>
          <w:rFonts w:asciiTheme="minorHAnsi" w:eastAsiaTheme="minorEastAsia" w:hAnsiTheme="minorHAnsi" w:cstheme="minorBidi"/>
          <w:bCs w:val="0"/>
          <w:noProof/>
          <w:sz w:val="22"/>
          <w:szCs w:val="22"/>
        </w:rPr>
      </w:pPr>
      <w:hyperlink w:anchor="_Toc512409627" w:history="1">
        <w:r w:rsidR="00A53904" w:rsidRPr="00A53904">
          <w:rPr>
            <w:rStyle w:val="Hiperhivatkozs"/>
            <w:rFonts w:asciiTheme="minorHAnsi" w:hAnsiTheme="minorHAnsi"/>
            <w:noProof/>
          </w:rPr>
          <w:t>Ráfordítások</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_Toc512409627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29</w:t>
        </w:r>
        <w:r w:rsidR="00A53904" w:rsidRPr="00A53904">
          <w:rPr>
            <w:rFonts w:asciiTheme="minorHAnsi" w:hAnsiTheme="minorHAnsi"/>
            <w:noProof/>
            <w:webHidden/>
          </w:rPr>
          <w:fldChar w:fldCharType="end"/>
        </w:r>
      </w:hyperlink>
    </w:p>
    <w:p w14:paraId="0E1887FA" w14:textId="70570533" w:rsidR="00A53904" w:rsidRPr="00A53904" w:rsidRDefault="00B049C8">
      <w:pPr>
        <w:pStyle w:val="TJ3"/>
        <w:rPr>
          <w:rFonts w:eastAsiaTheme="minorEastAsia" w:cstheme="minorBidi"/>
          <w:sz w:val="22"/>
          <w:szCs w:val="22"/>
        </w:rPr>
      </w:pPr>
      <w:hyperlink w:anchor="_Toc512409628" w:history="1">
        <w:r w:rsidR="00A53904" w:rsidRPr="00A53904">
          <w:rPr>
            <w:rStyle w:val="Hiperhivatkozs"/>
            <w:rFonts w:cstheme="minorHAnsi"/>
          </w:rPr>
          <w:t>- Energia</w:t>
        </w:r>
        <w:r w:rsidR="00A53904">
          <w:rPr>
            <w:webHidden/>
          </w:rPr>
          <w:tab/>
        </w:r>
        <w:r w:rsidR="00A53904">
          <w:rPr>
            <w:webHidden/>
          </w:rPr>
          <w:tab/>
        </w:r>
        <w:r w:rsidR="00A53904" w:rsidRPr="00A53904">
          <w:rPr>
            <w:webHidden/>
          </w:rPr>
          <w:fldChar w:fldCharType="begin"/>
        </w:r>
        <w:r w:rsidR="00A53904" w:rsidRPr="00A53904">
          <w:rPr>
            <w:webHidden/>
          </w:rPr>
          <w:instrText xml:space="preserve"> PAGEREF _Toc512409628 \h </w:instrText>
        </w:r>
        <w:r w:rsidR="00A53904" w:rsidRPr="00A53904">
          <w:rPr>
            <w:webHidden/>
          </w:rPr>
        </w:r>
        <w:r w:rsidR="00A53904" w:rsidRPr="00A53904">
          <w:rPr>
            <w:webHidden/>
          </w:rPr>
          <w:fldChar w:fldCharType="separate"/>
        </w:r>
        <w:r w:rsidR="00AE2608">
          <w:rPr>
            <w:webHidden/>
          </w:rPr>
          <w:t>29</w:t>
        </w:r>
        <w:r w:rsidR="00A53904" w:rsidRPr="00A53904">
          <w:rPr>
            <w:webHidden/>
          </w:rPr>
          <w:fldChar w:fldCharType="end"/>
        </w:r>
      </w:hyperlink>
    </w:p>
    <w:p w14:paraId="5E2546E8" w14:textId="109EDA9C" w:rsidR="00A53904" w:rsidRPr="00A53904" w:rsidRDefault="00B049C8">
      <w:pPr>
        <w:pStyle w:val="TJ3"/>
        <w:rPr>
          <w:rFonts w:eastAsiaTheme="minorEastAsia" w:cstheme="minorBidi"/>
          <w:sz w:val="22"/>
          <w:szCs w:val="22"/>
        </w:rPr>
      </w:pPr>
      <w:hyperlink w:anchor="_Toc512409629" w:history="1">
        <w:r w:rsidR="00A53904" w:rsidRPr="00A53904">
          <w:rPr>
            <w:rStyle w:val="Hiperhivatkozs"/>
          </w:rPr>
          <w:t>- Személyi jellegű ráfordítások</w:t>
        </w:r>
        <w:r w:rsidR="00A53904" w:rsidRPr="00A53904">
          <w:rPr>
            <w:webHidden/>
          </w:rPr>
          <w:tab/>
        </w:r>
        <w:r w:rsidR="00A53904" w:rsidRPr="00A53904">
          <w:rPr>
            <w:webHidden/>
          </w:rPr>
          <w:fldChar w:fldCharType="begin"/>
        </w:r>
        <w:r w:rsidR="00A53904" w:rsidRPr="00A53904">
          <w:rPr>
            <w:webHidden/>
          </w:rPr>
          <w:instrText xml:space="preserve"> PAGEREF _Toc512409629 \h </w:instrText>
        </w:r>
        <w:r w:rsidR="00A53904" w:rsidRPr="00A53904">
          <w:rPr>
            <w:webHidden/>
          </w:rPr>
        </w:r>
        <w:r w:rsidR="00A53904" w:rsidRPr="00A53904">
          <w:rPr>
            <w:webHidden/>
          </w:rPr>
          <w:fldChar w:fldCharType="separate"/>
        </w:r>
        <w:r w:rsidR="00AE2608">
          <w:rPr>
            <w:webHidden/>
          </w:rPr>
          <w:t>32</w:t>
        </w:r>
        <w:r w:rsidR="00A53904" w:rsidRPr="00A53904">
          <w:rPr>
            <w:webHidden/>
          </w:rPr>
          <w:fldChar w:fldCharType="end"/>
        </w:r>
      </w:hyperlink>
    </w:p>
    <w:p w14:paraId="571E0EE4" w14:textId="76A5ED8D" w:rsidR="00A53904" w:rsidRPr="00A53904" w:rsidRDefault="00B049C8">
      <w:pPr>
        <w:pStyle w:val="TJ3"/>
        <w:rPr>
          <w:rFonts w:eastAsiaTheme="minorEastAsia" w:cstheme="minorBidi"/>
          <w:sz w:val="22"/>
          <w:szCs w:val="22"/>
        </w:rPr>
      </w:pPr>
      <w:hyperlink w:anchor="_Toc512409630" w:history="1">
        <w:r w:rsidR="00A53904" w:rsidRPr="00A53904">
          <w:rPr>
            <w:rStyle w:val="Hiperhivatkozs"/>
            <w:rFonts w:cstheme="minorHAnsi"/>
          </w:rPr>
          <w:t>- Egyéb ráfordítások</w:t>
        </w:r>
        <w:r w:rsidR="00A53904" w:rsidRPr="00A53904">
          <w:rPr>
            <w:webHidden/>
          </w:rPr>
          <w:tab/>
        </w:r>
        <w:r w:rsidR="00A53904" w:rsidRPr="00A53904">
          <w:rPr>
            <w:webHidden/>
          </w:rPr>
          <w:fldChar w:fldCharType="begin"/>
        </w:r>
        <w:r w:rsidR="00A53904" w:rsidRPr="00A53904">
          <w:rPr>
            <w:webHidden/>
          </w:rPr>
          <w:instrText xml:space="preserve"> PAGEREF _Toc512409630 \h </w:instrText>
        </w:r>
        <w:r w:rsidR="00A53904" w:rsidRPr="00A53904">
          <w:rPr>
            <w:webHidden/>
          </w:rPr>
        </w:r>
        <w:r w:rsidR="00A53904" w:rsidRPr="00A53904">
          <w:rPr>
            <w:webHidden/>
          </w:rPr>
          <w:fldChar w:fldCharType="separate"/>
        </w:r>
        <w:r w:rsidR="00AE2608">
          <w:rPr>
            <w:webHidden/>
          </w:rPr>
          <w:t>34</w:t>
        </w:r>
        <w:r w:rsidR="00A53904" w:rsidRPr="00A53904">
          <w:rPr>
            <w:webHidden/>
          </w:rPr>
          <w:fldChar w:fldCharType="end"/>
        </w:r>
      </w:hyperlink>
    </w:p>
    <w:p w14:paraId="372E2E26" w14:textId="6CA8C25B" w:rsidR="00A53904" w:rsidRPr="00A53904" w:rsidRDefault="00B049C8">
      <w:pPr>
        <w:pStyle w:val="TJ2"/>
        <w:rPr>
          <w:rFonts w:asciiTheme="minorHAnsi" w:eastAsiaTheme="minorEastAsia" w:hAnsiTheme="minorHAnsi" w:cstheme="minorBidi"/>
          <w:bCs w:val="0"/>
          <w:noProof/>
          <w:sz w:val="22"/>
          <w:szCs w:val="22"/>
        </w:rPr>
      </w:pPr>
      <w:hyperlink w:anchor="_Toc512409631" w:history="1">
        <w:r w:rsidR="00A53904" w:rsidRPr="00A53904">
          <w:rPr>
            <w:rStyle w:val="Hiperhivatkozs"/>
            <w:rFonts w:asciiTheme="minorHAnsi" w:hAnsiTheme="minorHAnsi"/>
            <w:noProof/>
          </w:rPr>
          <w:t>II/2. Szervezeti költségek alakulása</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_Toc512409631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35</w:t>
        </w:r>
        <w:r w:rsidR="00A53904" w:rsidRPr="00A53904">
          <w:rPr>
            <w:rFonts w:asciiTheme="minorHAnsi" w:hAnsiTheme="minorHAnsi"/>
            <w:noProof/>
            <w:webHidden/>
          </w:rPr>
          <w:fldChar w:fldCharType="end"/>
        </w:r>
      </w:hyperlink>
    </w:p>
    <w:p w14:paraId="01AD422C" w14:textId="4953FDF8" w:rsidR="00A53904" w:rsidRPr="00A53904" w:rsidRDefault="00B049C8">
      <w:pPr>
        <w:pStyle w:val="TJ2"/>
        <w:rPr>
          <w:rFonts w:asciiTheme="minorHAnsi" w:eastAsiaTheme="minorEastAsia" w:hAnsiTheme="minorHAnsi" w:cstheme="minorBidi"/>
          <w:bCs w:val="0"/>
          <w:noProof/>
          <w:sz w:val="22"/>
          <w:szCs w:val="22"/>
        </w:rPr>
      </w:pPr>
      <w:hyperlink w:anchor="_Toc512409632" w:history="1">
        <w:r w:rsidR="00A53904" w:rsidRPr="00A53904">
          <w:rPr>
            <w:rStyle w:val="Hiperhivatkozs"/>
            <w:rFonts w:asciiTheme="minorHAnsi" w:hAnsiTheme="minorHAnsi"/>
            <w:noProof/>
          </w:rPr>
          <w:t>Anyagköltség és igénybevett szolgáltatások változása</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_Toc512409632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35</w:t>
        </w:r>
        <w:r w:rsidR="00A53904" w:rsidRPr="00A53904">
          <w:rPr>
            <w:rFonts w:asciiTheme="minorHAnsi" w:hAnsiTheme="minorHAnsi"/>
            <w:noProof/>
            <w:webHidden/>
          </w:rPr>
          <w:fldChar w:fldCharType="end"/>
        </w:r>
      </w:hyperlink>
    </w:p>
    <w:p w14:paraId="6ED047B5" w14:textId="0D785DA0" w:rsidR="00A53904" w:rsidRPr="00A53904" w:rsidRDefault="00B049C8">
      <w:pPr>
        <w:pStyle w:val="TJ2"/>
        <w:rPr>
          <w:rFonts w:asciiTheme="minorHAnsi" w:eastAsiaTheme="minorEastAsia" w:hAnsiTheme="minorHAnsi" w:cstheme="minorBidi"/>
          <w:bCs w:val="0"/>
          <w:noProof/>
          <w:sz w:val="22"/>
          <w:szCs w:val="22"/>
        </w:rPr>
      </w:pPr>
      <w:hyperlink w:anchor="_Toc512409633" w:history="1">
        <w:r w:rsidR="00A53904" w:rsidRPr="00A53904">
          <w:rPr>
            <w:rStyle w:val="Hiperhivatkozs"/>
            <w:rFonts w:asciiTheme="minorHAnsi" w:hAnsiTheme="minorHAnsi"/>
            <w:noProof/>
          </w:rPr>
          <w:t>Hatékonyságjavítás</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_Toc512409633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36</w:t>
        </w:r>
        <w:r w:rsidR="00A53904" w:rsidRPr="00A53904">
          <w:rPr>
            <w:rFonts w:asciiTheme="minorHAnsi" w:hAnsiTheme="minorHAnsi"/>
            <w:noProof/>
            <w:webHidden/>
          </w:rPr>
          <w:fldChar w:fldCharType="end"/>
        </w:r>
      </w:hyperlink>
    </w:p>
    <w:p w14:paraId="475BCDA9" w14:textId="3E54EF37" w:rsidR="00A53904" w:rsidRPr="00A53904" w:rsidRDefault="00B049C8">
      <w:pPr>
        <w:pStyle w:val="TJ1"/>
        <w:rPr>
          <w:rFonts w:eastAsiaTheme="minorEastAsia" w:cstheme="minorBidi"/>
          <w:b w:val="0"/>
          <w:bCs w:val="0"/>
          <w:sz w:val="22"/>
          <w:szCs w:val="22"/>
        </w:rPr>
      </w:pPr>
      <w:hyperlink w:anchor="_Toc512409634" w:history="1">
        <w:r w:rsidR="00A53904" w:rsidRPr="00A53904">
          <w:rPr>
            <w:rStyle w:val="Hiperhivatkozs"/>
            <w:rFonts w:cstheme="minorHAnsi"/>
          </w:rPr>
          <w:t>III.</w:t>
        </w:r>
        <w:r w:rsidR="00A53904" w:rsidRPr="00A53904">
          <w:rPr>
            <w:rFonts w:eastAsiaTheme="minorEastAsia" w:cstheme="minorBidi"/>
            <w:b w:val="0"/>
            <w:bCs w:val="0"/>
            <w:sz w:val="22"/>
            <w:szCs w:val="22"/>
          </w:rPr>
          <w:tab/>
        </w:r>
        <w:r w:rsidR="00A53904" w:rsidRPr="00A53904">
          <w:rPr>
            <w:rStyle w:val="Hiperhivatkozs"/>
            <w:rFonts w:cstheme="minorHAnsi"/>
          </w:rPr>
          <w:t>Humánpolitikai célkitűzések</w:t>
        </w:r>
        <w:r w:rsidR="00A53904" w:rsidRPr="00A53904">
          <w:rPr>
            <w:webHidden/>
          </w:rPr>
          <w:tab/>
        </w:r>
        <w:r w:rsidR="00A53904" w:rsidRPr="00A53904">
          <w:rPr>
            <w:webHidden/>
          </w:rPr>
          <w:fldChar w:fldCharType="begin"/>
        </w:r>
        <w:r w:rsidR="00A53904" w:rsidRPr="00A53904">
          <w:rPr>
            <w:webHidden/>
          </w:rPr>
          <w:instrText xml:space="preserve"> PAGEREF _Toc512409634 \h </w:instrText>
        </w:r>
        <w:r w:rsidR="00A53904" w:rsidRPr="00A53904">
          <w:rPr>
            <w:webHidden/>
          </w:rPr>
        </w:r>
        <w:r w:rsidR="00A53904" w:rsidRPr="00A53904">
          <w:rPr>
            <w:webHidden/>
          </w:rPr>
          <w:fldChar w:fldCharType="separate"/>
        </w:r>
        <w:r w:rsidR="00AE2608">
          <w:rPr>
            <w:webHidden/>
          </w:rPr>
          <w:t>42</w:t>
        </w:r>
        <w:r w:rsidR="00A53904" w:rsidRPr="00A53904">
          <w:rPr>
            <w:webHidden/>
          </w:rPr>
          <w:fldChar w:fldCharType="end"/>
        </w:r>
      </w:hyperlink>
    </w:p>
    <w:p w14:paraId="27EDB42C" w14:textId="79BAE7D0" w:rsidR="00A53904" w:rsidRPr="00A53904" w:rsidRDefault="00B049C8">
      <w:pPr>
        <w:pStyle w:val="TJ2"/>
        <w:rPr>
          <w:rFonts w:asciiTheme="minorHAnsi" w:eastAsiaTheme="minorEastAsia" w:hAnsiTheme="minorHAnsi" w:cstheme="minorBidi"/>
          <w:bCs w:val="0"/>
          <w:noProof/>
          <w:sz w:val="22"/>
          <w:szCs w:val="22"/>
        </w:rPr>
      </w:pPr>
      <w:hyperlink w:anchor="_Toc512409635" w:history="1">
        <w:r w:rsidR="00A53904" w:rsidRPr="00A53904">
          <w:rPr>
            <w:rStyle w:val="Hiperhivatkozs"/>
            <w:rFonts w:asciiTheme="minorHAnsi" w:hAnsiTheme="minorHAnsi"/>
            <w:noProof/>
          </w:rPr>
          <w:t>Humán folyamatok – munkaerő piaci környezet – tervezés</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_Toc512409635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42</w:t>
        </w:r>
        <w:r w:rsidR="00A53904" w:rsidRPr="00A53904">
          <w:rPr>
            <w:rFonts w:asciiTheme="minorHAnsi" w:hAnsiTheme="minorHAnsi"/>
            <w:noProof/>
            <w:webHidden/>
          </w:rPr>
          <w:fldChar w:fldCharType="end"/>
        </w:r>
      </w:hyperlink>
    </w:p>
    <w:p w14:paraId="6525C56A" w14:textId="2ED88607" w:rsidR="00A53904" w:rsidRPr="00A53904" w:rsidRDefault="00B049C8">
      <w:pPr>
        <w:pStyle w:val="TJ2"/>
        <w:rPr>
          <w:rFonts w:asciiTheme="minorHAnsi" w:eastAsiaTheme="minorEastAsia" w:hAnsiTheme="minorHAnsi" w:cstheme="minorBidi"/>
          <w:bCs w:val="0"/>
          <w:noProof/>
          <w:sz w:val="22"/>
          <w:szCs w:val="22"/>
        </w:rPr>
      </w:pPr>
      <w:hyperlink w:anchor="_Toc512409636" w:history="1">
        <w:r w:rsidR="00A53904" w:rsidRPr="00A53904">
          <w:rPr>
            <w:rStyle w:val="Hiperhivatkozs"/>
            <w:rFonts w:asciiTheme="minorHAnsi" w:hAnsiTheme="minorHAnsi"/>
            <w:noProof/>
          </w:rPr>
          <w:t>A 2018. évi bérfejlesztés</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_Toc512409636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43</w:t>
        </w:r>
        <w:r w:rsidR="00A53904" w:rsidRPr="00A53904">
          <w:rPr>
            <w:rFonts w:asciiTheme="minorHAnsi" w:hAnsiTheme="minorHAnsi"/>
            <w:noProof/>
            <w:webHidden/>
          </w:rPr>
          <w:fldChar w:fldCharType="end"/>
        </w:r>
      </w:hyperlink>
    </w:p>
    <w:p w14:paraId="75134DA5" w14:textId="75F4E0DF" w:rsidR="00A53904" w:rsidRPr="00A53904" w:rsidRDefault="00B049C8">
      <w:pPr>
        <w:pStyle w:val="TJ2"/>
        <w:rPr>
          <w:rFonts w:asciiTheme="minorHAnsi" w:eastAsiaTheme="minorEastAsia" w:hAnsiTheme="minorHAnsi" w:cstheme="minorBidi"/>
          <w:bCs w:val="0"/>
          <w:noProof/>
          <w:sz w:val="22"/>
          <w:szCs w:val="22"/>
        </w:rPr>
      </w:pPr>
      <w:hyperlink w:anchor="_Toc512409637" w:history="1">
        <w:r w:rsidR="00A53904" w:rsidRPr="00A53904">
          <w:rPr>
            <w:rStyle w:val="Hiperhivatkozs"/>
            <w:rFonts w:asciiTheme="minorHAnsi" w:hAnsiTheme="minorHAnsi"/>
            <w:noProof/>
          </w:rPr>
          <w:t>Létszámterv</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_Toc512409637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44</w:t>
        </w:r>
        <w:r w:rsidR="00A53904" w:rsidRPr="00A53904">
          <w:rPr>
            <w:rFonts w:asciiTheme="minorHAnsi" w:hAnsiTheme="minorHAnsi"/>
            <w:noProof/>
            <w:webHidden/>
          </w:rPr>
          <w:fldChar w:fldCharType="end"/>
        </w:r>
      </w:hyperlink>
    </w:p>
    <w:p w14:paraId="0096A07E" w14:textId="16BA8654" w:rsidR="00A53904" w:rsidRPr="00A53904" w:rsidRDefault="00B049C8">
      <w:pPr>
        <w:pStyle w:val="TJ1"/>
        <w:rPr>
          <w:rFonts w:eastAsiaTheme="minorEastAsia" w:cstheme="minorBidi"/>
          <w:b w:val="0"/>
          <w:bCs w:val="0"/>
          <w:sz w:val="22"/>
          <w:szCs w:val="22"/>
        </w:rPr>
      </w:pPr>
      <w:hyperlink w:anchor="_Toc512409638" w:history="1">
        <w:r w:rsidR="00A53904" w:rsidRPr="00A53904">
          <w:rPr>
            <w:rStyle w:val="Hiperhivatkozs"/>
            <w:rFonts w:cstheme="minorHAnsi"/>
          </w:rPr>
          <w:t>IV.</w:t>
        </w:r>
        <w:r w:rsidR="00A53904" w:rsidRPr="00A53904">
          <w:rPr>
            <w:rFonts w:eastAsiaTheme="minorEastAsia" w:cstheme="minorBidi"/>
            <w:b w:val="0"/>
            <w:bCs w:val="0"/>
            <w:sz w:val="22"/>
            <w:szCs w:val="22"/>
          </w:rPr>
          <w:tab/>
        </w:r>
        <w:r w:rsidR="00A53904" w:rsidRPr="00A53904">
          <w:rPr>
            <w:rStyle w:val="Hiperhivatkozs"/>
            <w:rFonts w:cstheme="minorHAnsi"/>
          </w:rPr>
          <w:t>Számviteli törvény szerinti mérleg</w:t>
        </w:r>
        <w:r w:rsidR="00A53904" w:rsidRPr="00A53904">
          <w:rPr>
            <w:webHidden/>
          </w:rPr>
          <w:tab/>
        </w:r>
        <w:r w:rsidR="00A53904" w:rsidRPr="00A53904">
          <w:rPr>
            <w:webHidden/>
          </w:rPr>
          <w:fldChar w:fldCharType="begin"/>
        </w:r>
        <w:r w:rsidR="00A53904" w:rsidRPr="00A53904">
          <w:rPr>
            <w:webHidden/>
          </w:rPr>
          <w:instrText xml:space="preserve"> PAGEREF _Toc512409638 \h </w:instrText>
        </w:r>
        <w:r w:rsidR="00A53904" w:rsidRPr="00A53904">
          <w:rPr>
            <w:webHidden/>
          </w:rPr>
        </w:r>
        <w:r w:rsidR="00A53904" w:rsidRPr="00A53904">
          <w:rPr>
            <w:webHidden/>
          </w:rPr>
          <w:fldChar w:fldCharType="separate"/>
        </w:r>
        <w:r w:rsidR="00AE2608">
          <w:rPr>
            <w:webHidden/>
          </w:rPr>
          <w:t>48</w:t>
        </w:r>
        <w:r w:rsidR="00A53904" w:rsidRPr="00A53904">
          <w:rPr>
            <w:webHidden/>
          </w:rPr>
          <w:fldChar w:fldCharType="end"/>
        </w:r>
      </w:hyperlink>
    </w:p>
    <w:p w14:paraId="2D97A451" w14:textId="7AEABD98" w:rsidR="00A53904" w:rsidRPr="00A53904" w:rsidRDefault="00B049C8">
      <w:pPr>
        <w:pStyle w:val="TJ2"/>
        <w:rPr>
          <w:rFonts w:asciiTheme="minorHAnsi" w:eastAsiaTheme="minorEastAsia" w:hAnsiTheme="minorHAnsi" w:cstheme="minorBidi"/>
          <w:bCs w:val="0"/>
          <w:noProof/>
          <w:sz w:val="22"/>
          <w:szCs w:val="22"/>
        </w:rPr>
      </w:pPr>
      <w:hyperlink w:anchor="_Toc512409639" w:history="1">
        <w:r w:rsidR="00A53904" w:rsidRPr="00A53904">
          <w:rPr>
            <w:rStyle w:val="Hiperhivatkozs"/>
            <w:rFonts w:asciiTheme="minorHAnsi" w:hAnsiTheme="minorHAnsi"/>
            <w:noProof/>
          </w:rPr>
          <w:t>Mérleg</w:t>
        </w:r>
        <w:r w:rsidR="00A53904" w:rsidRPr="00A53904">
          <w:rPr>
            <w:rFonts w:asciiTheme="minorHAnsi" w:hAnsiTheme="minorHAnsi"/>
            <w:noProof/>
            <w:webHidden/>
          </w:rPr>
          <w:tab/>
        </w:r>
        <w:r w:rsid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_Toc512409639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48</w:t>
        </w:r>
        <w:r w:rsidR="00A53904" w:rsidRPr="00A53904">
          <w:rPr>
            <w:rFonts w:asciiTheme="minorHAnsi" w:hAnsiTheme="minorHAnsi"/>
            <w:noProof/>
            <w:webHidden/>
          </w:rPr>
          <w:fldChar w:fldCharType="end"/>
        </w:r>
      </w:hyperlink>
    </w:p>
    <w:p w14:paraId="2D878727" w14:textId="35B49DC3" w:rsidR="00A53904" w:rsidRDefault="00B049C8">
      <w:pPr>
        <w:pStyle w:val="TJ2"/>
        <w:rPr>
          <w:rFonts w:asciiTheme="minorHAnsi" w:hAnsiTheme="minorHAnsi"/>
          <w:noProof/>
        </w:rPr>
      </w:pPr>
      <w:hyperlink w:anchor="_Toc512409640" w:history="1">
        <w:r w:rsidR="00A53904" w:rsidRPr="00A53904">
          <w:rPr>
            <w:rStyle w:val="Hiperhivatkozs"/>
            <w:rFonts w:asciiTheme="minorHAnsi" w:hAnsiTheme="minorHAnsi"/>
            <w:noProof/>
          </w:rPr>
          <w:t>Készletek alakulása</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_Toc512409640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48</w:t>
        </w:r>
        <w:r w:rsidR="00A53904" w:rsidRPr="00A53904">
          <w:rPr>
            <w:rFonts w:asciiTheme="minorHAnsi" w:hAnsiTheme="minorHAnsi"/>
            <w:noProof/>
            <w:webHidden/>
          </w:rPr>
          <w:fldChar w:fldCharType="end"/>
        </w:r>
      </w:hyperlink>
    </w:p>
    <w:p w14:paraId="0EEBDDDE" w14:textId="77777777" w:rsidR="002663D1" w:rsidRPr="002663D1" w:rsidRDefault="002663D1" w:rsidP="002663D1">
      <w:pPr>
        <w:rPr>
          <w:rFonts w:eastAsiaTheme="minorEastAsia"/>
        </w:rPr>
      </w:pPr>
    </w:p>
    <w:p w14:paraId="4358AC56" w14:textId="0BD00B47" w:rsidR="00A53904" w:rsidRPr="00A53904" w:rsidRDefault="00B049C8">
      <w:pPr>
        <w:pStyle w:val="TJ1"/>
        <w:rPr>
          <w:rFonts w:eastAsiaTheme="minorEastAsia" w:cstheme="minorBidi"/>
          <w:b w:val="0"/>
          <w:bCs w:val="0"/>
          <w:sz w:val="22"/>
          <w:szCs w:val="22"/>
        </w:rPr>
      </w:pPr>
      <w:hyperlink w:anchor="_Toc512409641" w:history="1">
        <w:r w:rsidR="00A53904" w:rsidRPr="00A53904">
          <w:rPr>
            <w:rStyle w:val="Hiperhivatkozs"/>
            <w:rFonts w:cstheme="minorHAnsi"/>
          </w:rPr>
          <w:t>V.</w:t>
        </w:r>
        <w:r w:rsidR="00A53904" w:rsidRPr="00A53904">
          <w:rPr>
            <w:rFonts w:eastAsiaTheme="minorEastAsia" w:cstheme="minorBidi"/>
            <w:b w:val="0"/>
            <w:bCs w:val="0"/>
            <w:sz w:val="22"/>
            <w:szCs w:val="22"/>
          </w:rPr>
          <w:tab/>
        </w:r>
        <w:r w:rsidR="00A53904" w:rsidRPr="00A53904">
          <w:rPr>
            <w:rStyle w:val="Hiperhivatkozs"/>
            <w:rFonts w:cstheme="minorHAnsi"/>
          </w:rPr>
          <w:t>Pénzügyi (likviditási) és cash flow tervek</w:t>
        </w:r>
        <w:r w:rsidR="00A53904" w:rsidRPr="00A53904">
          <w:rPr>
            <w:webHidden/>
          </w:rPr>
          <w:tab/>
        </w:r>
        <w:r w:rsidR="00A53904" w:rsidRPr="00A53904">
          <w:rPr>
            <w:webHidden/>
          </w:rPr>
          <w:fldChar w:fldCharType="begin"/>
        </w:r>
        <w:r w:rsidR="00A53904" w:rsidRPr="00A53904">
          <w:rPr>
            <w:webHidden/>
          </w:rPr>
          <w:instrText xml:space="preserve"> PAGEREF _Toc512409641 \h </w:instrText>
        </w:r>
        <w:r w:rsidR="00A53904" w:rsidRPr="00A53904">
          <w:rPr>
            <w:webHidden/>
          </w:rPr>
        </w:r>
        <w:r w:rsidR="00A53904" w:rsidRPr="00A53904">
          <w:rPr>
            <w:webHidden/>
          </w:rPr>
          <w:fldChar w:fldCharType="separate"/>
        </w:r>
        <w:r w:rsidR="00AE2608">
          <w:rPr>
            <w:webHidden/>
          </w:rPr>
          <w:t>50</w:t>
        </w:r>
        <w:r w:rsidR="00A53904" w:rsidRPr="00A53904">
          <w:rPr>
            <w:webHidden/>
          </w:rPr>
          <w:fldChar w:fldCharType="end"/>
        </w:r>
      </w:hyperlink>
    </w:p>
    <w:p w14:paraId="3BD8342D" w14:textId="02DB9CEB" w:rsidR="00A53904" w:rsidRPr="00A53904" w:rsidRDefault="00B049C8">
      <w:pPr>
        <w:pStyle w:val="TJ2"/>
        <w:rPr>
          <w:rFonts w:asciiTheme="minorHAnsi" w:eastAsiaTheme="minorEastAsia" w:hAnsiTheme="minorHAnsi" w:cstheme="minorBidi"/>
          <w:bCs w:val="0"/>
          <w:noProof/>
          <w:sz w:val="22"/>
          <w:szCs w:val="22"/>
        </w:rPr>
      </w:pPr>
      <w:hyperlink w:anchor="_Toc512409642" w:history="1">
        <w:r w:rsidR="00A53904" w:rsidRPr="00A53904">
          <w:rPr>
            <w:rStyle w:val="Hiperhivatkozs"/>
            <w:rFonts w:asciiTheme="minorHAnsi" w:hAnsiTheme="minorHAnsi"/>
            <w:noProof/>
          </w:rPr>
          <w:t>Likviditás</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_Toc512409642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50</w:t>
        </w:r>
        <w:r w:rsidR="00A53904" w:rsidRPr="00A53904">
          <w:rPr>
            <w:rFonts w:asciiTheme="minorHAnsi" w:hAnsiTheme="minorHAnsi"/>
            <w:noProof/>
            <w:webHidden/>
          </w:rPr>
          <w:fldChar w:fldCharType="end"/>
        </w:r>
      </w:hyperlink>
    </w:p>
    <w:p w14:paraId="705664CE" w14:textId="511D5283" w:rsidR="00A53904" w:rsidRPr="00A53904" w:rsidRDefault="00B049C8">
      <w:pPr>
        <w:pStyle w:val="TJ2"/>
        <w:rPr>
          <w:rFonts w:asciiTheme="minorHAnsi" w:eastAsiaTheme="minorEastAsia" w:hAnsiTheme="minorHAnsi" w:cstheme="minorBidi"/>
          <w:bCs w:val="0"/>
          <w:noProof/>
          <w:sz w:val="22"/>
          <w:szCs w:val="22"/>
        </w:rPr>
      </w:pPr>
      <w:hyperlink w:anchor="_Toc512409643" w:history="1">
        <w:r w:rsidR="00A53904" w:rsidRPr="00A53904">
          <w:rPr>
            <w:rStyle w:val="Hiperhivatkozs"/>
            <w:rFonts w:asciiTheme="minorHAnsi" w:hAnsiTheme="minorHAnsi"/>
            <w:noProof/>
          </w:rPr>
          <w:t>Adósságállomány</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_Toc512409643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51</w:t>
        </w:r>
        <w:r w:rsidR="00A53904" w:rsidRPr="00A53904">
          <w:rPr>
            <w:rFonts w:asciiTheme="minorHAnsi" w:hAnsiTheme="minorHAnsi"/>
            <w:noProof/>
            <w:webHidden/>
          </w:rPr>
          <w:fldChar w:fldCharType="end"/>
        </w:r>
      </w:hyperlink>
    </w:p>
    <w:p w14:paraId="3D663776" w14:textId="7B7A82D6" w:rsidR="00A53904" w:rsidRPr="00A53904" w:rsidRDefault="00B049C8">
      <w:pPr>
        <w:pStyle w:val="TJ2"/>
        <w:rPr>
          <w:rFonts w:asciiTheme="minorHAnsi" w:eastAsiaTheme="minorEastAsia" w:hAnsiTheme="minorHAnsi" w:cstheme="minorBidi"/>
          <w:bCs w:val="0"/>
          <w:noProof/>
          <w:sz w:val="22"/>
          <w:szCs w:val="22"/>
        </w:rPr>
      </w:pPr>
      <w:hyperlink w:anchor="_Toc512409644" w:history="1">
        <w:r w:rsidR="00A53904" w:rsidRPr="00A53904">
          <w:rPr>
            <w:rStyle w:val="Hiperhivatkozs"/>
            <w:rFonts w:asciiTheme="minorHAnsi" w:hAnsiTheme="minorHAnsi"/>
            <w:noProof/>
          </w:rPr>
          <w:t>Cash-flow kimutatás</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_Toc512409644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51</w:t>
        </w:r>
        <w:r w:rsidR="00A53904" w:rsidRPr="00A53904">
          <w:rPr>
            <w:rFonts w:asciiTheme="minorHAnsi" w:hAnsiTheme="minorHAnsi"/>
            <w:noProof/>
            <w:webHidden/>
          </w:rPr>
          <w:fldChar w:fldCharType="end"/>
        </w:r>
      </w:hyperlink>
    </w:p>
    <w:p w14:paraId="156A70AD" w14:textId="4B9C4069" w:rsidR="00A53904" w:rsidRPr="00A53904" w:rsidRDefault="00B049C8">
      <w:pPr>
        <w:pStyle w:val="TJ1"/>
        <w:rPr>
          <w:rFonts w:eastAsiaTheme="minorEastAsia" w:cstheme="minorBidi"/>
          <w:b w:val="0"/>
          <w:bCs w:val="0"/>
          <w:sz w:val="22"/>
          <w:szCs w:val="22"/>
        </w:rPr>
      </w:pPr>
      <w:hyperlink w:anchor="_Toc512409645" w:history="1">
        <w:r w:rsidR="00A53904" w:rsidRPr="00A53904">
          <w:rPr>
            <w:rStyle w:val="Hiperhivatkozs"/>
            <w:rFonts w:cstheme="minorHAnsi"/>
          </w:rPr>
          <w:t>VI.</w:t>
        </w:r>
        <w:r w:rsidR="00A53904" w:rsidRPr="00A53904">
          <w:rPr>
            <w:rFonts w:eastAsiaTheme="minorEastAsia" w:cstheme="minorBidi"/>
            <w:b w:val="0"/>
            <w:bCs w:val="0"/>
            <w:sz w:val="22"/>
            <w:szCs w:val="22"/>
          </w:rPr>
          <w:tab/>
        </w:r>
        <w:r w:rsidR="00A53904" w:rsidRPr="00A53904">
          <w:rPr>
            <w:rStyle w:val="Hiperhivatkozs"/>
            <w:rFonts w:cstheme="minorHAnsi"/>
          </w:rPr>
          <w:t>Fejlesztési, beruházási célkitűzések</w:t>
        </w:r>
        <w:r w:rsidR="00A53904" w:rsidRPr="00A53904">
          <w:rPr>
            <w:webHidden/>
          </w:rPr>
          <w:tab/>
        </w:r>
        <w:r w:rsidR="00A53904" w:rsidRPr="00A53904">
          <w:rPr>
            <w:webHidden/>
          </w:rPr>
          <w:fldChar w:fldCharType="begin"/>
        </w:r>
        <w:r w:rsidR="00A53904" w:rsidRPr="00A53904">
          <w:rPr>
            <w:webHidden/>
          </w:rPr>
          <w:instrText xml:space="preserve"> PAGEREF _Toc512409645 \h </w:instrText>
        </w:r>
        <w:r w:rsidR="00A53904" w:rsidRPr="00A53904">
          <w:rPr>
            <w:webHidden/>
          </w:rPr>
        </w:r>
        <w:r w:rsidR="00A53904" w:rsidRPr="00A53904">
          <w:rPr>
            <w:webHidden/>
          </w:rPr>
          <w:fldChar w:fldCharType="separate"/>
        </w:r>
        <w:r w:rsidR="00AE2608">
          <w:rPr>
            <w:webHidden/>
          </w:rPr>
          <w:t>52</w:t>
        </w:r>
        <w:r w:rsidR="00A53904" w:rsidRPr="00A53904">
          <w:rPr>
            <w:webHidden/>
          </w:rPr>
          <w:fldChar w:fldCharType="end"/>
        </w:r>
      </w:hyperlink>
    </w:p>
    <w:p w14:paraId="2F716947" w14:textId="29B9A2B5" w:rsidR="00A53904" w:rsidRPr="00A53904" w:rsidRDefault="00B049C8">
      <w:pPr>
        <w:pStyle w:val="TJ2"/>
        <w:rPr>
          <w:rFonts w:asciiTheme="minorHAnsi" w:eastAsiaTheme="minorEastAsia" w:hAnsiTheme="minorHAnsi" w:cstheme="minorBidi"/>
          <w:bCs w:val="0"/>
          <w:noProof/>
          <w:sz w:val="22"/>
          <w:szCs w:val="22"/>
        </w:rPr>
      </w:pPr>
      <w:hyperlink w:anchor="_Toc512409646" w:history="1">
        <w:r w:rsidR="00A53904" w:rsidRPr="00A53904">
          <w:rPr>
            <w:rStyle w:val="Hiperhivatkozs"/>
            <w:rFonts w:asciiTheme="minorHAnsi" w:hAnsiTheme="minorHAnsi"/>
            <w:noProof/>
          </w:rPr>
          <w:t>Műszaki állapotok</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_Toc512409646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52</w:t>
        </w:r>
        <w:r w:rsidR="00A53904" w:rsidRPr="00A53904">
          <w:rPr>
            <w:rFonts w:asciiTheme="minorHAnsi" w:hAnsiTheme="minorHAnsi"/>
            <w:noProof/>
            <w:webHidden/>
          </w:rPr>
          <w:fldChar w:fldCharType="end"/>
        </w:r>
      </w:hyperlink>
    </w:p>
    <w:p w14:paraId="2CE086C3" w14:textId="7AE224FF" w:rsidR="00A53904" w:rsidRPr="00A53904" w:rsidRDefault="00B049C8">
      <w:pPr>
        <w:pStyle w:val="TJ2"/>
        <w:rPr>
          <w:rFonts w:asciiTheme="minorHAnsi" w:eastAsiaTheme="minorEastAsia" w:hAnsiTheme="minorHAnsi" w:cstheme="minorBidi"/>
          <w:bCs w:val="0"/>
          <w:noProof/>
          <w:sz w:val="22"/>
          <w:szCs w:val="22"/>
        </w:rPr>
      </w:pPr>
      <w:hyperlink w:anchor="_Toc512409647" w:history="1">
        <w:r w:rsidR="00A53904" w:rsidRPr="00A53904">
          <w:rPr>
            <w:rStyle w:val="Hiperhivatkozs"/>
            <w:rFonts w:asciiTheme="minorHAnsi" w:hAnsiTheme="minorHAnsi"/>
            <w:noProof/>
          </w:rPr>
          <w:t>Beruházás</w:t>
        </w:r>
        <w:r w:rsidR="00A53904" w:rsidRPr="00A53904">
          <w:rPr>
            <w:rFonts w:asciiTheme="minorHAnsi" w:hAnsiTheme="minorHAnsi"/>
            <w:noProof/>
            <w:webHidden/>
          </w:rPr>
          <w:tab/>
        </w:r>
        <w:r w:rsidR="00A53904" w:rsidRPr="00A53904">
          <w:rPr>
            <w:rFonts w:asciiTheme="minorHAnsi" w:hAnsiTheme="minorHAnsi"/>
            <w:noProof/>
            <w:webHidden/>
          </w:rPr>
          <w:fldChar w:fldCharType="begin"/>
        </w:r>
        <w:r w:rsidR="00A53904" w:rsidRPr="00A53904">
          <w:rPr>
            <w:rFonts w:asciiTheme="minorHAnsi" w:hAnsiTheme="minorHAnsi"/>
            <w:noProof/>
            <w:webHidden/>
          </w:rPr>
          <w:instrText xml:space="preserve"> PAGEREF _Toc512409647 \h </w:instrText>
        </w:r>
        <w:r w:rsidR="00A53904" w:rsidRPr="00A53904">
          <w:rPr>
            <w:rFonts w:asciiTheme="minorHAnsi" w:hAnsiTheme="minorHAnsi"/>
            <w:noProof/>
            <w:webHidden/>
          </w:rPr>
        </w:r>
        <w:r w:rsidR="00A53904" w:rsidRPr="00A53904">
          <w:rPr>
            <w:rFonts w:asciiTheme="minorHAnsi" w:hAnsiTheme="minorHAnsi"/>
            <w:noProof/>
            <w:webHidden/>
          </w:rPr>
          <w:fldChar w:fldCharType="separate"/>
        </w:r>
        <w:r w:rsidR="00AE2608">
          <w:rPr>
            <w:rFonts w:asciiTheme="minorHAnsi" w:hAnsiTheme="minorHAnsi"/>
            <w:noProof/>
            <w:webHidden/>
          </w:rPr>
          <w:t>55</w:t>
        </w:r>
        <w:r w:rsidR="00A53904" w:rsidRPr="00A53904">
          <w:rPr>
            <w:rFonts w:asciiTheme="minorHAnsi" w:hAnsiTheme="minorHAnsi"/>
            <w:noProof/>
            <w:webHidden/>
          </w:rPr>
          <w:fldChar w:fldCharType="end"/>
        </w:r>
      </w:hyperlink>
    </w:p>
    <w:p w14:paraId="3C9EA2A2" w14:textId="142D227C" w:rsidR="00A53904" w:rsidRPr="00A53904" w:rsidRDefault="00B049C8">
      <w:pPr>
        <w:pStyle w:val="TJ1"/>
        <w:rPr>
          <w:rFonts w:eastAsiaTheme="minorEastAsia" w:cstheme="minorBidi"/>
          <w:b w:val="0"/>
          <w:bCs w:val="0"/>
          <w:sz w:val="22"/>
          <w:szCs w:val="22"/>
        </w:rPr>
      </w:pPr>
      <w:hyperlink w:anchor="_Toc512409648" w:history="1">
        <w:r w:rsidR="00A53904" w:rsidRPr="00A53904">
          <w:rPr>
            <w:rStyle w:val="Hiperhivatkozs"/>
            <w:rFonts w:cstheme="minorHAnsi"/>
          </w:rPr>
          <w:t>VII.</w:t>
        </w:r>
        <w:r w:rsidR="00A53904" w:rsidRPr="00A53904">
          <w:rPr>
            <w:rFonts w:eastAsiaTheme="minorEastAsia" w:cstheme="minorBidi"/>
            <w:b w:val="0"/>
            <w:bCs w:val="0"/>
            <w:sz w:val="22"/>
            <w:szCs w:val="22"/>
          </w:rPr>
          <w:tab/>
        </w:r>
        <w:r w:rsidR="00A53904" w:rsidRPr="00A53904">
          <w:rPr>
            <w:rStyle w:val="Hiperhivatkozs"/>
            <w:rFonts w:cstheme="minorHAnsi"/>
          </w:rPr>
          <w:t>További információk</w:t>
        </w:r>
        <w:r w:rsidR="00A53904" w:rsidRPr="00A53904">
          <w:rPr>
            <w:webHidden/>
          </w:rPr>
          <w:tab/>
        </w:r>
        <w:r w:rsidR="00A53904" w:rsidRPr="00A53904">
          <w:rPr>
            <w:webHidden/>
          </w:rPr>
          <w:fldChar w:fldCharType="begin"/>
        </w:r>
        <w:r w:rsidR="00A53904" w:rsidRPr="00A53904">
          <w:rPr>
            <w:webHidden/>
          </w:rPr>
          <w:instrText xml:space="preserve"> PAGEREF _Toc512409648 \h </w:instrText>
        </w:r>
        <w:r w:rsidR="00A53904" w:rsidRPr="00A53904">
          <w:rPr>
            <w:webHidden/>
          </w:rPr>
        </w:r>
        <w:r w:rsidR="00A53904" w:rsidRPr="00A53904">
          <w:rPr>
            <w:webHidden/>
          </w:rPr>
          <w:fldChar w:fldCharType="separate"/>
        </w:r>
        <w:r w:rsidR="00AE2608">
          <w:rPr>
            <w:webHidden/>
          </w:rPr>
          <w:t>58</w:t>
        </w:r>
        <w:r w:rsidR="00A53904" w:rsidRPr="00A53904">
          <w:rPr>
            <w:webHidden/>
          </w:rPr>
          <w:fldChar w:fldCharType="end"/>
        </w:r>
      </w:hyperlink>
    </w:p>
    <w:p w14:paraId="2CD1F8BE" w14:textId="687FA8BC" w:rsidR="00A53904" w:rsidRPr="00A53904" w:rsidRDefault="00B049C8">
      <w:pPr>
        <w:pStyle w:val="TJ1"/>
        <w:rPr>
          <w:rFonts w:eastAsiaTheme="minorEastAsia" w:cstheme="minorBidi"/>
          <w:b w:val="0"/>
          <w:bCs w:val="0"/>
          <w:sz w:val="22"/>
          <w:szCs w:val="22"/>
        </w:rPr>
      </w:pPr>
      <w:hyperlink w:anchor="_Toc512409649" w:history="1">
        <w:r w:rsidR="00A53904" w:rsidRPr="00A53904">
          <w:rPr>
            <w:rStyle w:val="Hiperhivatkozs"/>
            <w:rFonts w:cstheme="minorHAnsi"/>
          </w:rPr>
          <w:t>Mellékletek</w:t>
        </w:r>
        <w:r w:rsidR="00A53904" w:rsidRPr="00A53904">
          <w:rPr>
            <w:webHidden/>
          </w:rPr>
          <w:tab/>
        </w:r>
        <w:r w:rsidR="00A53904" w:rsidRPr="00A53904">
          <w:rPr>
            <w:webHidden/>
          </w:rPr>
          <w:fldChar w:fldCharType="begin"/>
        </w:r>
        <w:r w:rsidR="00A53904" w:rsidRPr="00A53904">
          <w:rPr>
            <w:webHidden/>
          </w:rPr>
          <w:instrText xml:space="preserve"> PAGEREF _Toc512409649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0E406D57" w14:textId="2C29CD99" w:rsidR="00A53904" w:rsidRPr="00A53904" w:rsidRDefault="00B049C8">
      <w:pPr>
        <w:pStyle w:val="TJ3"/>
        <w:rPr>
          <w:rFonts w:eastAsiaTheme="minorEastAsia" w:cstheme="minorBidi"/>
          <w:sz w:val="22"/>
          <w:szCs w:val="22"/>
        </w:rPr>
      </w:pPr>
      <w:hyperlink w:anchor="_Toc512409650" w:history="1">
        <w:r w:rsidR="00A53904" w:rsidRPr="00A53904">
          <w:rPr>
            <w:rStyle w:val="Hiperhivatkozs"/>
            <w:rFonts w:cstheme="minorHAnsi"/>
          </w:rPr>
          <w:t>1. sz. melléklet</w:t>
        </w:r>
        <w:r w:rsidR="00A53904" w:rsidRPr="00A53904">
          <w:rPr>
            <w:rFonts w:eastAsiaTheme="minorEastAsia" w:cstheme="minorBidi"/>
            <w:sz w:val="22"/>
            <w:szCs w:val="22"/>
          </w:rPr>
          <w:tab/>
        </w:r>
        <w:r w:rsidR="00A53904" w:rsidRPr="00A53904">
          <w:rPr>
            <w:rStyle w:val="Hiperhivatkozs"/>
            <w:rFonts w:cstheme="minorHAnsi"/>
          </w:rPr>
          <w:t>A BKV Zrt. 2018. évi megrendelt teljesítménye</w:t>
        </w:r>
        <w:r w:rsidR="00A53904" w:rsidRPr="00A53904">
          <w:rPr>
            <w:webHidden/>
          </w:rPr>
          <w:tab/>
        </w:r>
        <w:r w:rsidR="00A53904" w:rsidRPr="00A53904">
          <w:rPr>
            <w:webHidden/>
          </w:rPr>
          <w:fldChar w:fldCharType="begin"/>
        </w:r>
        <w:r w:rsidR="00A53904" w:rsidRPr="00A53904">
          <w:rPr>
            <w:webHidden/>
          </w:rPr>
          <w:instrText xml:space="preserve"> PAGEREF _Toc512409650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58AF4DB0" w14:textId="2E17C1CA" w:rsidR="00A53904" w:rsidRPr="00A53904" w:rsidRDefault="00B049C8">
      <w:pPr>
        <w:pStyle w:val="TJ3"/>
        <w:rPr>
          <w:rFonts w:eastAsiaTheme="minorEastAsia" w:cstheme="minorBidi"/>
          <w:sz w:val="22"/>
          <w:szCs w:val="22"/>
        </w:rPr>
      </w:pPr>
      <w:hyperlink w:anchor="_Toc512409651" w:history="1">
        <w:r w:rsidR="00A53904" w:rsidRPr="00A53904">
          <w:rPr>
            <w:rStyle w:val="Hiperhivatkozs"/>
            <w:rFonts w:cstheme="minorHAnsi"/>
          </w:rPr>
          <w:t>2. sz. melléklet</w:t>
        </w:r>
        <w:r w:rsidR="00A53904" w:rsidRPr="00A53904">
          <w:rPr>
            <w:rFonts w:eastAsiaTheme="minorEastAsia" w:cstheme="minorBidi"/>
            <w:sz w:val="22"/>
            <w:szCs w:val="22"/>
          </w:rPr>
          <w:tab/>
        </w:r>
        <w:r w:rsidR="00A53904" w:rsidRPr="00A53904">
          <w:rPr>
            <w:rStyle w:val="Hiperhivatkozs"/>
            <w:rFonts w:cstheme="minorHAnsi"/>
          </w:rPr>
          <w:t>A BKV Zrt. 2018. évi eredmény-összefoglalója</w:t>
        </w:r>
        <w:r w:rsidR="00A53904" w:rsidRPr="00A53904">
          <w:rPr>
            <w:webHidden/>
          </w:rPr>
          <w:tab/>
        </w:r>
        <w:r w:rsidR="00A53904" w:rsidRPr="00A53904">
          <w:rPr>
            <w:webHidden/>
          </w:rPr>
          <w:fldChar w:fldCharType="begin"/>
        </w:r>
        <w:r w:rsidR="00A53904" w:rsidRPr="00A53904">
          <w:rPr>
            <w:webHidden/>
          </w:rPr>
          <w:instrText xml:space="preserve"> PAGEREF _Toc512409651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584443C9" w14:textId="797BD233" w:rsidR="00A53904" w:rsidRPr="00A53904" w:rsidRDefault="00B049C8">
      <w:pPr>
        <w:pStyle w:val="TJ3"/>
        <w:rPr>
          <w:rFonts w:eastAsiaTheme="minorEastAsia" w:cstheme="minorBidi"/>
          <w:sz w:val="22"/>
          <w:szCs w:val="22"/>
        </w:rPr>
      </w:pPr>
      <w:hyperlink w:anchor="_Toc512409652" w:history="1">
        <w:r w:rsidR="00A53904" w:rsidRPr="00A53904">
          <w:rPr>
            <w:rStyle w:val="Hiperhivatkozs"/>
            <w:rFonts w:cstheme="minorHAnsi"/>
          </w:rPr>
          <w:t>2/a. sz. melléklet</w:t>
        </w:r>
        <w:r w:rsidR="00A53904" w:rsidRPr="00A53904">
          <w:rPr>
            <w:rFonts w:eastAsiaTheme="minorEastAsia" w:cstheme="minorBidi"/>
            <w:sz w:val="22"/>
            <w:szCs w:val="22"/>
          </w:rPr>
          <w:tab/>
        </w:r>
        <w:r w:rsidR="00A53904" w:rsidRPr="00A53904">
          <w:rPr>
            <w:rStyle w:val="Hiperhivatkozs"/>
            <w:rFonts w:cstheme="minorHAnsi"/>
          </w:rPr>
          <w:t>Egyéb tevékenységek bevételei a 2018. évben</w:t>
        </w:r>
        <w:r w:rsidR="00A53904" w:rsidRPr="00A53904">
          <w:rPr>
            <w:webHidden/>
          </w:rPr>
          <w:tab/>
        </w:r>
        <w:r w:rsidR="00A53904" w:rsidRPr="00A53904">
          <w:rPr>
            <w:webHidden/>
          </w:rPr>
          <w:fldChar w:fldCharType="begin"/>
        </w:r>
        <w:r w:rsidR="00A53904" w:rsidRPr="00A53904">
          <w:rPr>
            <w:webHidden/>
          </w:rPr>
          <w:instrText xml:space="preserve"> PAGEREF _Toc512409652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4DE9509B" w14:textId="06B91D6C" w:rsidR="00A53904" w:rsidRPr="00A53904" w:rsidRDefault="00B049C8">
      <w:pPr>
        <w:pStyle w:val="TJ3"/>
        <w:rPr>
          <w:rFonts w:eastAsiaTheme="minorEastAsia" w:cstheme="minorBidi"/>
          <w:sz w:val="22"/>
          <w:szCs w:val="22"/>
        </w:rPr>
      </w:pPr>
      <w:hyperlink w:anchor="_Toc512409653" w:history="1">
        <w:r w:rsidR="00A53904" w:rsidRPr="00A53904">
          <w:rPr>
            <w:rStyle w:val="Hiperhivatkozs"/>
            <w:rFonts w:cstheme="minorHAnsi"/>
          </w:rPr>
          <w:t>2/b. sz. melléklet</w:t>
        </w:r>
        <w:r w:rsidR="00A53904" w:rsidRPr="00A53904">
          <w:rPr>
            <w:rFonts w:eastAsiaTheme="minorEastAsia" w:cstheme="minorBidi"/>
            <w:sz w:val="22"/>
            <w:szCs w:val="22"/>
          </w:rPr>
          <w:tab/>
        </w:r>
        <w:r w:rsidR="00A53904" w:rsidRPr="00A53904">
          <w:rPr>
            <w:rStyle w:val="Hiperhivatkozs"/>
            <w:rFonts w:cstheme="minorHAnsi"/>
          </w:rPr>
          <w:t>Egyéb üzemi bevételek és ráfordítások a 2018. évben</w:t>
        </w:r>
        <w:r w:rsidR="00A53904" w:rsidRPr="00A53904">
          <w:rPr>
            <w:webHidden/>
          </w:rPr>
          <w:tab/>
        </w:r>
        <w:r w:rsidR="00A53904" w:rsidRPr="00A53904">
          <w:rPr>
            <w:webHidden/>
          </w:rPr>
          <w:fldChar w:fldCharType="begin"/>
        </w:r>
        <w:r w:rsidR="00A53904" w:rsidRPr="00A53904">
          <w:rPr>
            <w:webHidden/>
          </w:rPr>
          <w:instrText xml:space="preserve"> PAGEREF _Toc512409653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0AC63B4E" w14:textId="7BA2CBF3" w:rsidR="00A53904" w:rsidRPr="00A53904" w:rsidRDefault="00B049C8">
      <w:pPr>
        <w:pStyle w:val="TJ3"/>
        <w:rPr>
          <w:rFonts w:eastAsiaTheme="minorEastAsia" w:cstheme="minorBidi"/>
          <w:sz w:val="22"/>
          <w:szCs w:val="22"/>
        </w:rPr>
      </w:pPr>
      <w:hyperlink w:anchor="_Toc512409654" w:history="1">
        <w:r w:rsidR="00A53904" w:rsidRPr="00A53904">
          <w:rPr>
            <w:rStyle w:val="Hiperhivatkozs"/>
            <w:rFonts w:cstheme="minorHAnsi"/>
          </w:rPr>
          <w:t>2/c. sz. melléklet</w:t>
        </w:r>
        <w:r w:rsidR="00A53904" w:rsidRPr="00A53904">
          <w:rPr>
            <w:rFonts w:eastAsiaTheme="minorEastAsia" w:cstheme="minorBidi"/>
            <w:sz w:val="22"/>
            <w:szCs w:val="22"/>
          </w:rPr>
          <w:tab/>
        </w:r>
        <w:r w:rsidR="00A53904" w:rsidRPr="00A53904">
          <w:rPr>
            <w:rStyle w:val="Hiperhivatkozs"/>
            <w:rFonts w:cstheme="minorHAnsi"/>
          </w:rPr>
          <w:t>Pénzügyi bevételek és ráfordítások a 2018. évben</w:t>
        </w:r>
        <w:r w:rsidR="00A53904" w:rsidRPr="00A53904">
          <w:rPr>
            <w:webHidden/>
          </w:rPr>
          <w:tab/>
        </w:r>
        <w:r w:rsidR="00A53904" w:rsidRPr="00A53904">
          <w:rPr>
            <w:webHidden/>
          </w:rPr>
          <w:fldChar w:fldCharType="begin"/>
        </w:r>
        <w:r w:rsidR="00A53904" w:rsidRPr="00A53904">
          <w:rPr>
            <w:webHidden/>
          </w:rPr>
          <w:instrText xml:space="preserve"> PAGEREF _Toc512409654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71DDCF83" w14:textId="273FEC55" w:rsidR="00A53904" w:rsidRPr="00A53904" w:rsidRDefault="00B049C8">
      <w:pPr>
        <w:pStyle w:val="TJ3"/>
        <w:rPr>
          <w:rFonts w:eastAsiaTheme="minorEastAsia" w:cstheme="minorBidi"/>
          <w:sz w:val="22"/>
          <w:szCs w:val="22"/>
        </w:rPr>
      </w:pPr>
      <w:hyperlink w:anchor="_Toc512409655" w:history="1">
        <w:r w:rsidR="00A53904" w:rsidRPr="00A53904">
          <w:rPr>
            <w:rStyle w:val="Hiperhivatkozs"/>
            <w:rFonts w:cstheme="minorHAnsi"/>
          </w:rPr>
          <w:t>3. sz. melléklet</w:t>
        </w:r>
        <w:r w:rsidR="00A53904" w:rsidRPr="00A53904">
          <w:rPr>
            <w:rFonts w:eastAsiaTheme="minorEastAsia" w:cstheme="minorBidi"/>
            <w:sz w:val="22"/>
            <w:szCs w:val="22"/>
          </w:rPr>
          <w:tab/>
        </w:r>
        <w:r w:rsidR="00A53904" w:rsidRPr="00A53904">
          <w:rPr>
            <w:rStyle w:val="Hiperhivatkozs"/>
            <w:rFonts w:cstheme="minorHAnsi"/>
          </w:rPr>
          <w:t>A BKV Zrt. 2018. évi adósságállomány terve</w:t>
        </w:r>
        <w:r w:rsidR="00A53904" w:rsidRPr="00A53904">
          <w:rPr>
            <w:webHidden/>
          </w:rPr>
          <w:tab/>
        </w:r>
        <w:r w:rsidR="00A53904" w:rsidRPr="00A53904">
          <w:rPr>
            <w:webHidden/>
          </w:rPr>
          <w:fldChar w:fldCharType="begin"/>
        </w:r>
        <w:r w:rsidR="00A53904" w:rsidRPr="00A53904">
          <w:rPr>
            <w:webHidden/>
          </w:rPr>
          <w:instrText xml:space="preserve"> PAGEREF _Toc512409655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656ECCEC" w14:textId="3971C4BF" w:rsidR="00A53904" w:rsidRPr="00A53904" w:rsidRDefault="00B049C8">
      <w:pPr>
        <w:pStyle w:val="TJ3"/>
        <w:rPr>
          <w:rFonts w:eastAsiaTheme="minorEastAsia" w:cstheme="minorBidi"/>
          <w:sz w:val="22"/>
          <w:szCs w:val="22"/>
        </w:rPr>
      </w:pPr>
      <w:hyperlink w:anchor="_Toc512409656" w:history="1">
        <w:r w:rsidR="00A53904" w:rsidRPr="00A53904">
          <w:rPr>
            <w:rStyle w:val="Hiperhivatkozs"/>
            <w:rFonts w:cstheme="minorHAnsi"/>
          </w:rPr>
          <w:t>4. sz. melléklet</w:t>
        </w:r>
        <w:r w:rsidR="00A53904" w:rsidRPr="00A53904">
          <w:rPr>
            <w:rFonts w:eastAsiaTheme="minorEastAsia" w:cstheme="minorBidi"/>
            <w:sz w:val="22"/>
            <w:szCs w:val="22"/>
          </w:rPr>
          <w:tab/>
        </w:r>
        <w:r w:rsidR="00A53904" w:rsidRPr="00A53904">
          <w:rPr>
            <w:rStyle w:val="Hiperhivatkozs"/>
            <w:rFonts w:cstheme="minorHAnsi"/>
          </w:rPr>
          <w:t>A BKV Zrt. 2018. évi mérleg terve</w:t>
        </w:r>
        <w:r w:rsidR="00A53904" w:rsidRPr="00A53904">
          <w:rPr>
            <w:webHidden/>
          </w:rPr>
          <w:tab/>
        </w:r>
        <w:r w:rsidR="00A53904" w:rsidRPr="00A53904">
          <w:rPr>
            <w:webHidden/>
          </w:rPr>
          <w:fldChar w:fldCharType="begin"/>
        </w:r>
        <w:r w:rsidR="00A53904" w:rsidRPr="00A53904">
          <w:rPr>
            <w:webHidden/>
          </w:rPr>
          <w:instrText xml:space="preserve"> PAGEREF _Toc512409656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66B86EFF" w14:textId="766F2F64" w:rsidR="00A53904" w:rsidRPr="00A53904" w:rsidRDefault="00B049C8">
      <w:pPr>
        <w:pStyle w:val="TJ3"/>
        <w:rPr>
          <w:rFonts w:eastAsiaTheme="minorEastAsia" w:cstheme="minorBidi"/>
          <w:sz w:val="22"/>
          <w:szCs w:val="22"/>
        </w:rPr>
      </w:pPr>
      <w:hyperlink w:anchor="_Toc512409657" w:history="1">
        <w:r w:rsidR="00A53904" w:rsidRPr="00A53904">
          <w:rPr>
            <w:rStyle w:val="Hiperhivatkozs"/>
            <w:rFonts w:cstheme="minorHAnsi"/>
          </w:rPr>
          <w:t>5. sz. melléklet</w:t>
        </w:r>
        <w:r w:rsidR="00A53904" w:rsidRPr="00A53904">
          <w:rPr>
            <w:rFonts w:eastAsiaTheme="minorEastAsia" w:cstheme="minorBidi"/>
            <w:sz w:val="22"/>
            <w:szCs w:val="22"/>
          </w:rPr>
          <w:tab/>
        </w:r>
        <w:r w:rsidR="00A53904" w:rsidRPr="00A53904">
          <w:rPr>
            <w:rStyle w:val="Hiperhivatkozs"/>
            <w:rFonts w:cstheme="minorHAnsi"/>
          </w:rPr>
          <w:t>A BKV Zrt. 2018. évi átlagos állományi létszám terve</w:t>
        </w:r>
        <w:r w:rsidR="00A53904" w:rsidRPr="00A53904">
          <w:rPr>
            <w:webHidden/>
          </w:rPr>
          <w:tab/>
        </w:r>
        <w:r w:rsidR="00A53904" w:rsidRPr="00A53904">
          <w:rPr>
            <w:webHidden/>
          </w:rPr>
          <w:fldChar w:fldCharType="begin"/>
        </w:r>
        <w:r w:rsidR="00A53904" w:rsidRPr="00A53904">
          <w:rPr>
            <w:webHidden/>
          </w:rPr>
          <w:instrText xml:space="preserve"> PAGEREF _Toc512409657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4C8710BE" w14:textId="5169B766" w:rsidR="00A53904" w:rsidRPr="00A53904" w:rsidRDefault="00B049C8">
      <w:pPr>
        <w:pStyle w:val="TJ3"/>
        <w:rPr>
          <w:rFonts w:eastAsiaTheme="minorEastAsia" w:cstheme="minorBidi"/>
          <w:sz w:val="22"/>
          <w:szCs w:val="22"/>
        </w:rPr>
      </w:pPr>
      <w:hyperlink w:anchor="_Toc512409658" w:history="1">
        <w:r w:rsidR="00A53904" w:rsidRPr="00A53904">
          <w:rPr>
            <w:rStyle w:val="Hiperhivatkozs"/>
            <w:rFonts w:cstheme="minorHAnsi"/>
          </w:rPr>
          <w:t>6. sz. melléklet</w:t>
        </w:r>
        <w:r w:rsidR="00A53904" w:rsidRPr="00A53904">
          <w:rPr>
            <w:rFonts w:eastAsiaTheme="minorEastAsia" w:cstheme="minorBidi"/>
            <w:sz w:val="22"/>
            <w:szCs w:val="22"/>
          </w:rPr>
          <w:tab/>
        </w:r>
        <w:r w:rsidR="00A53904" w:rsidRPr="00A53904">
          <w:rPr>
            <w:rStyle w:val="Hiperhivatkozs"/>
            <w:rFonts w:cstheme="minorHAnsi"/>
          </w:rPr>
          <w:t>A BKV Zrt. 2018. évi likviditási terve</w:t>
        </w:r>
        <w:r w:rsidR="00A53904" w:rsidRPr="00A53904">
          <w:rPr>
            <w:webHidden/>
          </w:rPr>
          <w:tab/>
        </w:r>
        <w:r w:rsidR="00A53904" w:rsidRPr="00A53904">
          <w:rPr>
            <w:webHidden/>
          </w:rPr>
          <w:fldChar w:fldCharType="begin"/>
        </w:r>
        <w:r w:rsidR="00A53904" w:rsidRPr="00A53904">
          <w:rPr>
            <w:webHidden/>
          </w:rPr>
          <w:instrText xml:space="preserve"> PAGEREF _Toc512409658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749A1646" w14:textId="45A2F607" w:rsidR="00A53904" w:rsidRPr="00A53904" w:rsidRDefault="00B049C8">
      <w:pPr>
        <w:pStyle w:val="TJ3"/>
        <w:rPr>
          <w:rFonts w:eastAsiaTheme="minorEastAsia" w:cstheme="minorBidi"/>
          <w:sz w:val="22"/>
          <w:szCs w:val="22"/>
        </w:rPr>
      </w:pPr>
      <w:hyperlink w:anchor="_Toc512409659" w:history="1">
        <w:r w:rsidR="00A53904" w:rsidRPr="00A53904">
          <w:rPr>
            <w:rStyle w:val="Hiperhivatkozs"/>
            <w:rFonts w:cstheme="minorHAnsi"/>
          </w:rPr>
          <w:t>7. sz. melléklet</w:t>
        </w:r>
        <w:r w:rsidR="00A53904" w:rsidRPr="00A53904">
          <w:rPr>
            <w:rFonts w:eastAsiaTheme="minorEastAsia" w:cstheme="minorBidi"/>
            <w:sz w:val="22"/>
            <w:szCs w:val="22"/>
          </w:rPr>
          <w:tab/>
        </w:r>
        <w:r w:rsidR="00A53904" w:rsidRPr="00A53904">
          <w:rPr>
            <w:rStyle w:val="Hiperhivatkozs"/>
            <w:rFonts w:cstheme="minorHAnsi"/>
          </w:rPr>
          <w:t>A BKV Zrt. 2018. évi cash-flow terve</w:t>
        </w:r>
        <w:r w:rsidR="00A53904" w:rsidRPr="00A53904">
          <w:rPr>
            <w:webHidden/>
          </w:rPr>
          <w:tab/>
        </w:r>
        <w:r w:rsidR="00A53904" w:rsidRPr="00A53904">
          <w:rPr>
            <w:webHidden/>
          </w:rPr>
          <w:fldChar w:fldCharType="begin"/>
        </w:r>
        <w:r w:rsidR="00A53904" w:rsidRPr="00A53904">
          <w:rPr>
            <w:webHidden/>
          </w:rPr>
          <w:instrText xml:space="preserve"> PAGEREF _Toc512409659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56555FAF" w14:textId="0059C780" w:rsidR="00A53904" w:rsidRPr="00A53904" w:rsidRDefault="00B049C8">
      <w:pPr>
        <w:pStyle w:val="TJ3"/>
        <w:rPr>
          <w:rFonts w:eastAsiaTheme="minorEastAsia" w:cstheme="minorBidi"/>
          <w:sz w:val="22"/>
          <w:szCs w:val="22"/>
        </w:rPr>
      </w:pPr>
      <w:hyperlink w:anchor="_Toc512409660" w:history="1">
        <w:r w:rsidR="00A53904" w:rsidRPr="00A53904">
          <w:rPr>
            <w:rStyle w:val="Hiperhivatkozs"/>
            <w:rFonts w:cstheme="minorHAnsi"/>
          </w:rPr>
          <w:t>8/a. sz. melléklet</w:t>
        </w:r>
        <w:r w:rsidR="00A53904" w:rsidRPr="00A53904">
          <w:rPr>
            <w:rFonts w:eastAsiaTheme="minorEastAsia" w:cstheme="minorBidi"/>
            <w:sz w:val="22"/>
            <w:szCs w:val="22"/>
          </w:rPr>
          <w:tab/>
        </w:r>
        <w:r w:rsidR="00A53904" w:rsidRPr="00A53904">
          <w:rPr>
            <w:rStyle w:val="Hiperhivatkozs"/>
            <w:rFonts w:cstheme="minorHAnsi"/>
          </w:rPr>
          <w:t>A BKV Zrt. 2018. évi közszolgáltatási Beruházási Terve</w:t>
        </w:r>
        <w:r w:rsidR="00A53904" w:rsidRPr="00A53904">
          <w:rPr>
            <w:webHidden/>
          </w:rPr>
          <w:tab/>
        </w:r>
        <w:r w:rsidR="00A53904" w:rsidRPr="00A53904">
          <w:rPr>
            <w:webHidden/>
          </w:rPr>
          <w:fldChar w:fldCharType="begin"/>
        </w:r>
        <w:r w:rsidR="00A53904" w:rsidRPr="00A53904">
          <w:rPr>
            <w:webHidden/>
          </w:rPr>
          <w:instrText xml:space="preserve"> PAGEREF _Toc512409660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244497C4" w14:textId="262486D8" w:rsidR="00A53904" w:rsidRPr="00A53904" w:rsidRDefault="00B049C8">
      <w:pPr>
        <w:pStyle w:val="TJ3"/>
        <w:rPr>
          <w:rFonts w:eastAsiaTheme="minorEastAsia" w:cstheme="minorBidi"/>
          <w:sz w:val="22"/>
          <w:szCs w:val="22"/>
        </w:rPr>
      </w:pPr>
      <w:hyperlink w:anchor="_Toc512409661" w:history="1">
        <w:r w:rsidR="00A53904" w:rsidRPr="00A53904">
          <w:rPr>
            <w:rStyle w:val="Hiperhivatkozs"/>
            <w:rFonts w:cstheme="minorHAnsi"/>
          </w:rPr>
          <w:t>8/b. sz. melléklet</w:t>
        </w:r>
        <w:r w:rsidR="00A53904" w:rsidRPr="00A53904">
          <w:rPr>
            <w:rFonts w:eastAsiaTheme="minorEastAsia" w:cstheme="minorBidi"/>
            <w:sz w:val="22"/>
            <w:szCs w:val="22"/>
          </w:rPr>
          <w:tab/>
        </w:r>
        <w:r w:rsidR="00A53904" w:rsidRPr="00A53904">
          <w:rPr>
            <w:rStyle w:val="Hiperhivatkozs"/>
            <w:rFonts w:cstheme="minorHAnsi"/>
          </w:rPr>
          <w:t>A BKV Zrt. 2018. évi pótlólagos Beruházási Terve</w:t>
        </w:r>
        <w:r w:rsidR="00A53904" w:rsidRPr="00A53904">
          <w:rPr>
            <w:webHidden/>
          </w:rPr>
          <w:tab/>
        </w:r>
        <w:r w:rsidR="00A53904" w:rsidRPr="00A53904">
          <w:rPr>
            <w:webHidden/>
          </w:rPr>
          <w:fldChar w:fldCharType="begin"/>
        </w:r>
        <w:r w:rsidR="00A53904" w:rsidRPr="00A53904">
          <w:rPr>
            <w:webHidden/>
          </w:rPr>
          <w:instrText xml:space="preserve"> PAGEREF _Toc512409661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767EEFD9" w14:textId="6263BAED" w:rsidR="00A53904" w:rsidRPr="00A53904" w:rsidRDefault="00B049C8">
      <w:pPr>
        <w:pStyle w:val="TJ3"/>
        <w:rPr>
          <w:rFonts w:eastAsiaTheme="minorEastAsia" w:cstheme="minorBidi"/>
          <w:sz w:val="22"/>
          <w:szCs w:val="22"/>
        </w:rPr>
      </w:pPr>
      <w:hyperlink w:anchor="_Toc512409662" w:history="1">
        <w:r w:rsidR="00A53904" w:rsidRPr="00A53904">
          <w:rPr>
            <w:rStyle w:val="Hiperhivatkozs"/>
            <w:rFonts w:cstheme="minorHAnsi"/>
          </w:rPr>
          <w:t>9/a. sz. melléklet</w:t>
        </w:r>
        <w:r w:rsidR="00A53904" w:rsidRPr="00A53904">
          <w:rPr>
            <w:rFonts w:eastAsiaTheme="minorEastAsia" w:cstheme="minorBidi"/>
            <w:sz w:val="22"/>
            <w:szCs w:val="22"/>
          </w:rPr>
          <w:tab/>
        </w:r>
        <w:r w:rsidR="00A53904" w:rsidRPr="00A53904">
          <w:rPr>
            <w:rStyle w:val="Hiperhivatkozs"/>
            <w:rFonts w:cstheme="minorHAnsi"/>
          </w:rPr>
          <w:t>Indokolt költségek ágazati bontása 2018. évre vonatkozóan</w:t>
        </w:r>
        <w:r w:rsidR="00A53904" w:rsidRPr="00A53904">
          <w:rPr>
            <w:webHidden/>
          </w:rPr>
          <w:tab/>
        </w:r>
        <w:r w:rsidR="00A53904" w:rsidRPr="00A53904">
          <w:rPr>
            <w:webHidden/>
          </w:rPr>
          <w:fldChar w:fldCharType="begin"/>
        </w:r>
        <w:r w:rsidR="00A53904" w:rsidRPr="00A53904">
          <w:rPr>
            <w:webHidden/>
          </w:rPr>
          <w:instrText xml:space="preserve"> PAGEREF _Toc512409662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7EC45A21" w14:textId="5F34B66B" w:rsidR="00A53904" w:rsidRPr="00A53904" w:rsidRDefault="00B049C8">
      <w:pPr>
        <w:pStyle w:val="TJ3"/>
        <w:rPr>
          <w:rFonts w:eastAsiaTheme="minorEastAsia" w:cstheme="minorBidi"/>
          <w:sz w:val="22"/>
          <w:szCs w:val="22"/>
        </w:rPr>
      </w:pPr>
      <w:hyperlink w:anchor="_Toc512409663" w:history="1">
        <w:r w:rsidR="00A53904" w:rsidRPr="00A53904">
          <w:rPr>
            <w:rStyle w:val="Hiperhivatkozs"/>
            <w:rFonts w:cstheme="minorHAnsi"/>
          </w:rPr>
          <w:t>9/b. sz. melléklet</w:t>
        </w:r>
        <w:r w:rsidR="00A53904" w:rsidRPr="00A53904">
          <w:rPr>
            <w:rFonts w:eastAsiaTheme="minorEastAsia" w:cstheme="minorBidi"/>
            <w:sz w:val="22"/>
            <w:szCs w:val="22"/>
          </w:rPr>
          <w:tab/>
        </w:r>
        <w:r w:rsidR="00A53904" w:rsidRPr="00A53904">
          <w:rPr>
            <w:rStyle w:val="Hiperhivatkozs"/>
            <w:rFonts w:cstheme="minorHAnsi"/>
          </w:rPr>
          <w:t>Indokolt költségek havi bontása 2018. évre vonatkozóan</w:t>
        </w:r>
        <w:r w:rsidR="00A53904" w:rsidRPr="00A53904">
          <w:rPr>
            <w:webHidden/>
          </w:rPr>
          <w:tab/>
        </w:r>
        <w:r w:rsidR="00A53904" w:rsidRPr="00A53904">
          <w:rPr>
            <w:webHidden/>
          </w:rPr>
          <w:fldChar w:fldCharType="begin"/>
        </w:r>
        <w:r w:rsidR="00A53904" w:rsidRPr="00A53904">
          <w:rPr>
            <w:webHidden/>
          </w:rPr>
          <w:instrText xml:space="preserve"> PAGEREF _Toc512409663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4DC29F65" w14:textId="53B61349" w:rsidR="00A53904" w:rsidRPr="00A53904" w:rsidRDefault="00B049C8">
      <w:pPr>
        <w:pStyle w:val="TJ3"/>
        <w:tabs>
          <w:tab w:val="left" w:pos="2569"/>
        </w:tabs>
        <w:rPr>
          <w:rFonts w:eastAsiaTheme="minorEastAsia" w:cstheme="minorBidi"/>
          <w:sz w:val="22"/>
          <w:szCs w:val="22"/>
        </w:rPr>
      </w:pPr>
      <w:hyperlink w:anchor="_Toc512409664" w:history="1">
        <w:r w:rsidR="00A53904" w:rsidRPr="00A53904">
          <w:rPr>
            <w:rStyle w:val="Hiperhivatkozs"/>
            <w:rFonts w:cstheme="minorHAnsi"/>
          </w:rPr>
          <w:t>10/a-c. sz. melléklet</w:t>
        </w:r>
        <w:r w:rsidR="00A53904" w:rsidRPr="00A53904">
          <w:rPr>
            <w:rFonts w:eastAsiaTheme="minorEastAsia" w:cstheme="minorBidi"/>
            <w:sz w:val="22"/>
            <w:szCs w:val="22"/>
          </w:rPr>
          <w:tab/>
        </w:r>
        <w:r w:rsidR="00A53904" w:rsidRPr="00A53904">
          <w:rPr>
            <w:rStyle w:val="Hiperhivatkozs"/>
            <w:rFonts w:cstheme="minorHAnsi"/>
          </w:rPr>
          <w:t>Tervezési premisszák a BKV Zrt. 2018. évi Üzleti Tervéhez</w:t>
        </w:r>
        <w:r w:rsidR="00A53904" w:rsidRPr="00A53904">
          <w:rPr>
            <w:webHidden/>
          </w:rPr>
          <w:tab/>
        </w:r>
        <w:r w:rsidR="00A53904" w:rsidRPr="00A53904">
          <w:rPr>
            <w:webHidden/>
          </w:rPr>
          <w:fldChar w:fldCharType="begin"/>
        </w:r>
        <w:r w:rsidR="00A53904" w:rsidRPr="00A53904">
          <w:rPr>
            <w:webHidden/>
          </w:rPr>
          <w:instrText xml:space="preserve"> PAGEREF _Toc512409664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3E69C5D3" w14:textId="35ED4491" w:rsidR="00A53904" w:rsidRPr="00A53904" w:rsidRDefault="00B049C8">
      <w:pPr>
        <w:pStyle w:val="TJ3"/>
        <w:rPr>
          <w:rFonts w:eastAsiaTheme="minorEastAsia" w:cstheme="minorBidi"/>
          <w:sz w:val="22"/>
          <w:szCs w:val="22"/>
        </w:rPr>
      </w:pPr>
      <w:hyperlink w:anchor="_Toc512409665" w:history="1">
        <w:r w:rsidR="00A53904" w:rsidRPr="00A53904">
          <w:rPr>
            <w:rStyle w:val="Hiperhivatkozs"/>
            <w:rFonts w:cstheme="minorHAnsi"/>
          </w:rPr>
          <w:t>11. sz. melléklet</w:t>
        </w:r>
        <w:r w:rsidR="00A53904" w:rsidRPr="00A53904">
          <w:rPr>
            <w:rFonts w:eastAsiaTheme="minorEastAsia" w:cstheme="minorBidi"/>
            <w:sz w:val="22"/>
            <w:szCs w:val="22"/>
          </w:rPr>
          <w:tab/>
        </w:r>
        <w:r w:rsidR="00A53904" w:rsidRPr="00A53904">
          <w:rPr>
            <w:rStyle w:val="Hiperhivatkozs"/>
            <w:rFonts w:cstheme="minorHAnsi"/>
          </w:rPr>
          <w:t>A BKV Zrt. Ingatlangazdálkodási terve</w:t>
        </w:r>
        <w:r w:rsidR="00A53904" w:rsidRPr="00A53904">
          <w:rPr>
            <w:webHidden/>
          </w:rPr>
          <w:tab/>
        </w:r>
        <w:r w:rsidR="00A53904" w:rsidRPr="00A53904">
          <w:rPr>
            <w:webHidden/>
          </w:rPr>
          <w:fldChar w:fldCharType="begin"/>
        </w:r>
        <w:r w:rsidR="00A53904" w:rsidRPr="00A53904">
          <w:rPr>
            <w:webHidden/>
          </w:rPr>
          <w:instrText xml:space="preserve"> PAGEREF _Toc512409665 \h </w:instrText>
        </w:r>
        <w:r w:rsidR="00A53904" w:rsidRPr="00A53904">
          <w:rPr>
            <w:webHidden/>
          </w:rPr>
        </w:r>
        <w:r w:rsidR="00A53904" w:rsidRPr="00A53904">
          <w:rPr>
            <w:webHidden/>
          </w:rPr>
          <w:fldChar w:fldCharType="separate"/>
        </w:r>
        <w:r w:rsidR="00AE2608">
          <w:rPr>
            <w:webHidden/>
          </w:rPr>
          <w:t>59</w:t>
        </w:r>
        <w:r w:rsidR="00A53904" w:rsidRPr="00A53904">
          <w:rPr>
            <w:webHidden/>
          </w:rPr>
          <w:fldChar w:fldCharType="end"/>
        </w:r>
      </w:hyperlink>
    </w:p>
    <w:p w14:paraId="7E7F169C" w14:textId="77777777" w:rsidR="00F80D0A" w:rsidRPr="00A53904" w:rsidRDefault="009A1A77" w:rsidP="00DE158B">
      <w:pPr>
        <w:spacing w:line="276" w:lineRule="auto"/>
        <w:rPr>
          <w:rFonts w:asciiTheme="minorHAnsi" w:hAnsiTheme="minorHAnsi" w:cstheme="minorHAnsi"/>
          <w:color w:val="FF0000"/>
        </w:rPr>
      </w:pPr>
      <w:r w:rsidRPr="00A53904">
        <w:rPr>
          <w:rFonts w:asciiTheme="minorHAnsi" w:hAnsiTheme="minorHAnsi" w:cstheme="minorHAnsi"/>
          <w:caps/>
        </w:rPr>
        <w:fldChar w:fldCharType="end"/>
      </w:r>
    </w:p>
    <w:p w14:paraId="6C936431" w14:textId="77777777" w:rsidR="00831345" w:rsidRPr="0056690E" w:rsidRDefault="00831345">
      <w:pPr>
        <w:rPr>
          <w:rFonts w:asciiTheme="minorHAnsi" w:hAnsiTheme="minorHAnsi" w:cstheme="minorHAnsi"/>
          <w:b/>
          <w:color w:val="FF0000"/>
          <w:sz w:val="28"/>
          <w:szCs w:val="28"/>
        </w:rPr>
      </w:pPr>
      <w:r w:rsidRPr="0056690E">
        <w:rPr>
          <w:rFonts w:asciiTheme="minorHAnsi" w:hAnsiTheme="minorHAnsi" w:cstheme="minorHAnsi"/>
          <w:b/>
          <w:color w:val="FF0000"/>
          <w:sz w:val="28"/>
          <w:szCs w:val="28"/>
        </w:rPr>
        <w:br w:type="page"/>
      </w:r>
    </w:p>
    <w:p w14:paraId="6D77A003" w14:textId="77777777" w:rsidR="00F80D0A" w:rsidRPr="00787AB7" w:rsidRDefault="009A1A77" w:rsidP="008F21C4">
      <w:pPr>
        <w:pStyle w:val="Cmsor1"/>
        <w:tabs>
          <w:tab w:val="clear" w:pos="999"/>
        </w:tabs>
        <w:jc w:val="left"/>
        <w:rPr>
          <w:rFonts w:asciiTheme="minorHAnsi" w:hAnsiTheme="minorHAnsi" w:cstheme="minorHAnsi"/>
          <w:b/>
          <w:sz w:val="28"/>
          <w:szCs w:val="28"/>
        </w:rPr>
      </w:pPr>
      <w:bookmarkStart w:id="0" w:name="_Toc443317883"/>
      <w:bookmarkStart w:id="1" w:name="_Toc465246348"/>
      <w:bookmarkStart w:id="2" w:name="_Toc512409603"/>
      <w:r w:rsidRPr="00787AB7">
        <w:rPr>
          <w:rFonts w:asciiTheme="minorHAnsi" w:hAnsiTheme="minorHAnsi" w:cstheme="minorHAnsi"/>
          <w:b/>
          <w:sz w:val="28"/>
          <w:szCs w:val="28"/>
        </w:rPr>
        <w:lastRenderedPageBreak/>
        <w:t>Vezetői összefoglaló</w:t>
      </w:r>
      <w:bookmarkEnd w:id="0"/>
      <w:bookmarkEnd w:id="1"/>
      <w:bookmarkEnd w:id="2"/>
    </w:p>
    <w:p w14:paraId="214288CE" w14:textId="77777777" w:rsidR="00F80D0A" w:rsidRPr="00787AB7" w:rsidRDefault="00F80D0A" w:rsidP="00903EF3">
      <w:pPr>
        <w:jc w:val="both"/>
        <w:rPr>
          <w:rFonts w:asciiTheme="minorHAnsi" w:hAnsiTheme="minorHAnsi" w:cstheme="minorHAnsi"/>
        </w:rPr>
      </w:pPr>
    </w:p>
    <w:p w14:paraId="1087081A" w14:textId="77777777" w:rsidR="006D6C3F" w:rsidRPr="00787AB7" w:rsidRDefault="006D6C3F" w:rsidP="00903EF3">
      <w:pPr>
        <w:jc w:val="both"/>
        <w:rPr>
          <w:rFonts w:asciiTheme="minorHAnsi" w:hAnsiTheme="minorHAnsi" w:cstheme="minorHAnsi"/>
        </w:rPr>
      </w:pPr>
    </w:p>
    <w:p w14:paraId="274E88F1" w14:textId="589CB1F0" w:rsidR="00093D80" w:rsidRPr="00787AB7" w:rsidRDefault="009A1A77" w:rsidP="00093D80">
      <w:pPr>
        <w:jc w:val="both"/>
        <w:rPr>
          <w:rFonts w:asciiTheme="minorHAnsi" w:hAnsiTheme="minorHAnsi"/>
        </w:rPr>
      </w:pPr>
      <w:r w:rsidRPr="00787AB7">
        <w:rPr>
          <w:rFonts w:asciiTheme="minorHAnsi" w:hAnsiTheme="minorHAnsi"/>
        </w:rPr>
        <w:t>Budapest Főváros Önkormányzata az 1795/2016. számú határozatával elfogadta a Fővárosi Önkormányzat 100%-os tulajdonában álló társaságok üzleti tervezése során követendő eljárásrendet. A 2018. évi költségvetés elkészítéséhez szükséges forrásigény meghatározásához a BKV Zrt. üzleti tervet készített, mely a 2017. évi tény adatok alapján került összeállításra.</w:t>
      </w:r>
    </w:p>
    <w:p w14:paraId="0AE84192" w14:textId="77777777" w:rsidR="00093D80" w:rsidRPr="00787AB7" w:rsidRDefault="00093D80" w:rsidP="00093D80">
      <w:pPr>
        <w:jc w:val="both"/>
        <w:rPr>
          <w:rFonts w:asciiTheme="minorHAnsi" w:hAnsiTheme="minorHAnsi"/>
        </w:rPr>
      </w:pPr>
    </w:p>
    <w:p w14:paraId="0B28447A" w14:textId="0E632453" w:rsidR="00093D80" w:rsidRPr="00787AB7" w:rsidRDefault="009A1A77" w:rsidP="00093D80">
      <w:pPr>
        <w:jc w:val="both"/>
        <w:rPr>
          <w:rFonts w:asciiTheme="minorHAnsi" w:hAnsiTheme="minorHAnsi"/>
        </w:rPr>
      </w:pPr>
      <w:r w:rsidRPr="00787AB7">
        <w:rPr>
          <w:rFonts w:asciiTheme="minorHAnsi" w:hAnsiTheme="minorHAnsi"/>
        </w:rPr>
        <w:t xml:space="preserve">A BKV Zrt. üzemi eredmény szinten, 2010. évtől kezdődően eredményesen gazdálkodott, és folyamatos hatékonyság javítási intézkedéseivel a következő években is erre törekszik. A 2015. évben végrehajtott adósságkonszolidáció következtében a Társaság mentesült a hitelek megújítása/visszafizetése miatt jelentkező kockázatoktól és a gazdálkodását sem terhelik a korábbi időszakban működési céllal felvett bankhitelek kamatai, ugyanakkor a teljesítmény megrendelés, az új buszüzemeltetési modell következtében jelentkező kapacitásvesztés, és az M3 rekonstrukció ütemezése körül kialakult bizonytalanság kiemelt kockázatot jelent a működési környezetben. </w:t>
      </w:r>
    </w:p>
    <w:p w14:paraId="22D7A5E8" w14:textId="77777777" w:rsidR="002A6E3E" w:rsidRPr="00787AB7" w:rsidRDefault="002A6E3E" w:rsidP="0063709F">
      <w:pPr>
        <w:jc w:val="both"/>
        <w:rPr>
          <w:rFonts w:asciiTheme="minorHAnsi" w:hAnsiTheme="minorHAnsi"/>
        </w:rPr>
      </w:pPr>
    </w:p>
    <w:p w14:paraId="460487DA" w14:textId="13C55C46" w:rsidR="00A2497A" w:rsidRPr="00787AB7" w:rsidRDefault="009A1A77" w:rsidP="00A2497A">
      <w:pPr>
        <w:jc w:val="both"/>
        <w:rPr>
          <w:rFonts w:asciiTheme="minorHAnsi" w:hAnsiTheme="minorHAnsi"/>
        </w:rPr>
      </w:pPr>
      <w:r w:rsidRPr="00787AB7">
        <w:rPr>
          <w:rFonts w:asciiTheme="minorHAnsi" w:hAnsiTheme="minorHAnsi"/>
        </w:rPr>
        <w:t>A BKV Zrt. ráfordításainak meghatározásához a kiindulási alapot az elvárt forgalmi teljesítmény adja. A statisztikai férőhely-kilométer teljesítmények terve a hasznos, tényleges utasszállítás érdekében teljesített statisztikai</w:t>
      </w:r>
      <w:r w:rsidR="006D1498" w:rsidRPr="006D1498">
        <w:rPr>
          <w:rFonts w:asciiTheme="minorHAnsi" w:hAnsiTheme="minorHAnsi"/>
        </w:rPr>
        <w:t xml:space="preserve"> </w:t>
      </w:r>
      <w:r w:rsidR="006D1498" w:rsidRPr="009A1A77">
        <w:rPr>
          <w:rFonts w:asciiTheme="minorHAnsi" w:hAnsiTheme="minorHAnsi"/>
        </w:rPr>
        <w:t>férőhely-kilométer</w:t>
      </w:r>
      <w:r w:rsidR="0045593A">
        <w:rPr>
          <w:rFonts w:asciiTheme="minorHAnsi" w:hAnsiTheme="minorHAnsi"/>
        </w:rPr>
        <w:t xml:space="preserve"> </w:t>
      </w:r>
      <w:r w:rsidRPr="00787AB7">
        <w:rPr>
          <w:rFonts w:asciiTheme="minorHAnsi" w:hAnsiTheme="minorHAnsi"/>
        </w:rPr>
        <w:t xml:space="preserve">adatokat tartalmazza. </w:t>
      </w:r>
    </w:p>
    <w:p w14:paraId="36DC967B" w14:textId="77777777" w:rsidR="00A2497A" w:rsidRPr="00787AB7" w:rsidRDefault="00A2497A" w:rsidP="00A2497A">
      <w:pPr>
        <w:jc w:val="both"/>
        <w:rPr>
          <w:rFonts w:asciiTheme="minorHAnsi" w:hAnsiTheme="minorHAnsi"/>
          <w:b/>
        </w:rPr>
      </w:pPr>
    </w:p>
    <w:p w14:paraId="4785AFD2" w14:textId="36619AC5" w:rsidR="00CB3244" w:rsidRPr="00787AB7" w:rsidRDefault="009A1A77" w:rsidP="00885B1A">
      <w:pPr>
        <w:jc w:val="both"/>
        <w:rPr>
          <w:rFonts w:asciiTheme="minorHAnsi" w:hAnsiTheme="minorHAnsi"/>
          <w:b/>
        </w:rPr>
      </w:pPr>
      <w:r w:rsidRPr="00787AB7">
        <w:rPr>
          <w:rFonts w:asciiTheme="minorHAnsi" w:hAnsiTheme="minorHAnsi"/>
          <w:b/>
        </w:rPr>
        <w:t>A forgalmi teljesítményelvárások alapján a BKV Zrt. statisztikai férőhely-kilométer teljesítménye az M3 rekonstrukció miatt 2018-ban összességében csökken a 2017. évi tény</w:t>
      </w:r>
    </w:p>
    <w:p w14:paraId="6EB6DB89" w14:textId="77777777" w:rsidR="00885B1A" w:rsidRPr="00787AB7" w:rsidRDefault="009A1A77" w:rsidP="00885B1A">
      <w:pPr>
        <w:jc w:val="both"/>
        <w:rPr>
          <w:rFonts w:asciiTheme="minorHAnsi" w:hAnsiTheme="minorHAnsi"/>
        </w:rPr>
      </w:pPr>
      <w:r w:rsidRPr="00787AB7">
        <w:rPr>
          <w:rFonts w:asciiTheme="minorHAnsi" w:hAnsiTheme="minorHAnsi"/>
          <w:b/>
        </w:rPr>
        <w:t>értékhez viszonyítva, azonban az M3 metróvonal rekonstrukció hatása nélkül számolt alapteljesítményben emelkedés figyelhető meg.</w:t>
      </w:r>
      <w:r w:rsidRPr="00787AB7">
        <w:rPr>
          <w:rFonts w:asciiTheme="minorHAnsi" w:hAnsiTheme="minorHAnsi"/>
        </w:rPr>
        <w:t xml:space="preserve"> A metró ágazat </w:t>
      </w:r>
      <w:r w:rsidR="006D1498">
        <w:rPr>
          <w:rFonts w:asciiTheme="minorHAnsi" w:hAnsiTheme="minorHAnsi"/>
        </w:rPr>
        <w:t xml:space="preserve">összes </w:t>
      </w:r>
      <w:r w:rsidRPr="00787AB7">
        <w:rPr>
          <w:rFonts w:asciiTheme="minorHAnsi" w:hAnsiTheme="minorHAnsi"/>
        </w:rPr>
        <w:t>teljesítménye a megkezdődő rekonstrukció miatt jelentősen csökken, a többi ágazat férőhely-kilométere viszont erőteljesen emelkedik. A kiadott forgalmi teljesítmény terv északi és déli szakasz bontásban tartalmazza az M3 metróvonal rekonstrukciójával összefüggésben megjelenő pótlási és sűrítési feladatokat.</w:t>
      </w:r>
    </w:p>
    <w:p w14:paraId="78110536" w14:textId="77777777" w:rsidR="00ED4D19" w:rsidRPr="00787AB7" w:rsidRDefault="00ED4D19" w:rsidP="00885B1A">
      <w:pPr>
        <w:jc w:val="both"/>
        <w:rPr>
          <w:rFonts w:asciiTheme="minorHAnsi" w:hAnsiTheme="minorHAnsi"/>
        </w:rPr>
      </w:pPr>
    </w:p>
    <w:p w14:paraId="4001DEEE" w14:textId="77777777" w:rsidR="00885B1A" w:rsidRPr="00787AB7" w:rsidRDefault="00885B1A" w:rsidP="00ED4D19">
      <w:pPr>
        <w:jc w:val="center"/>
        <w:rPr>
          <w:rFonts w:asciiTheme="minorHAnsi" w:hAnsiTheme="minorHAnsi"/>
        </w:rPr>
      </w:pPr>
    </w:p>
    <w:p w14:paraId="22D2231C" w14:textId="597B4E68" w:rsidR="00ED4D19" w:rsidRPr="00787AB7" w:rsidRDefault="00F5003A" w:rsidP="00ED4D19">
      <w:pPr>
        <w:jc w:val="center"/>
        <w:rPr>
          <w:rFonts w:asciiTheme="minorHAnsi" w:hAnsiTheme="minorHAnsi"/>
          <w:highlight w:val="yellow"/>
        </w:rPr>
      </w:pPr>
      <w:r w:rsidRPr="00787AB7">
        <w:rPr>
          <w:rFonts w:asciiTheme="minorHAnsi" w:hAnsiTheme="minorHAnsi"/>
          <w:noProof/>
          <w:color w:val="FF0000"/>
          <w:highlight w:val="yellow"/>
        </w:rPr>
        <w:drawing>
          <wp:inline distT="0" distB="0" distL="0" distR="0" wp14:anchorId="27954A2E" wp14:editId="254B9935">
            <wp:extent cx="5600369" cy="2727831"/>
            <wp:effectExtent l="0" t="0" r="63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427" cy="2749778"/>
                    </a:xfrm>
                    <a:prstGeom prst="rect">
                      <a:avLst/>
                    </a:prstGeom>
                    <a:noFill/>
                  </pic:spPr>
                </pic:pic>
              </a:graphicData>
            </a:graphic>
          </wp:inline>
        </w:drawing>
      </w:r>
    </w:p>
    <w:p w14:paraId="7299AA0F" w14:textId="77777777" w:rsidR="004D2FBD" w:rsidRPr="00787AB7" w:rsidRDefault="004D2FBD" w:rsidP="00422636">
      <w:pPr>
        <w:jc w:val="both"/>
        <w:rPr>
          <w:rFonts w:asciiTheme="minorHAnsi" w:hAnsiTheme="minorHAnsi"/>
          <w:b/>
        </w:rPr>
      </w:pPr>
    </w:p>
    <w:p w14:paraId="0C1DE6D5" w14:textId="77777777" w:rsidR="00422636" w:rsidRPr="00787AB7" w:rsidRDefault="009A1A77" w:rsidP="00422636">
      <w:pPr>
        <w:jc w:val="both"/>
        <w:rPr>
          <w:rFonts w:asciiTheme="minorHAnsi" w:hAnsiTheme="minorHAnsi"/>
          <w:b/>
        </w:rPr>
      </w:pPr>
      <w:r w:rsidRPr="00787AB7">
        <w:rPr>
          <w:rFonts w:asciiTheme="minorHAnsi" w:hAnsiTheme="minorHAnsi"/>
          <w:b/>
        </w:rPr>
        <w:lastRenderedPageBreak/>
        <w:t xml:space="preserve">Az M3-as metróvonal biztonságos üzemeltetése érdekében a Társaság egyik legfontosabb és legsürgetőbb feladata a metróvonal infrastruktúrájának és járműveinek mielőbbi felújítása. </w:t>
      </w:r>
    </w:p>
    <w:p w14:paraId="722D23B6" w14:textId="77777777" w:rsidR="00422636" w:rsidRPr="00787AB7" w:rsidRDefault="009A1A77" w:rsidP="00422636">
      <w:pPr>
        <w:jc w:val="both"/>
        <w:rPr>
          <w:rFonts w:asciiTheme="minorHAnsi" w:hAnsiTheme="minorHAnsi"/>
        </w:rPr>
      </w:pPr>
      <w:r w:rsidRPr="00787AB7">
        <w:rPr>
          <w:rFonts w:asciiTheme="minorHAnsi" w:hAnsiTheme="minorHAnsi"/>
        </w:rPr>
        <w:t xml:space="preserve">Az M3-as metróvonal Magyarország legnagyobb forgalmú tömegközlekedési járataként jelentős szerepet tölt be Budapest közösségi közlekedésében. Az </w:t>
      </w:r>
      <w:r w:rsidRPr="00787AB7">
        <w:rPr>
          <w:rFonts w:asciiTheme="minorHAnsi" w:hAnsiTheme="minorHAnsi"/>
          <w:b/>
        </w:rPr>
        <w:t>M3-as metró pályája, állomásai, műszaki berendezései és szerelvényei</w:t>
      </w:r>
      <w:r w:rsidRPr="00787AB7">
        <w:rPr>
          <w:rFonts w:asciiTheme="minorHAnsi" w:hAnsiTheme="minorHAnsi"/>
        </w:rPr>
        <w:t xml:space="preserve"> a több mint három évtizedes, érdemi felújítás nélküli folyamatos </w:t>
      </w:r>
      <w:r w:rsidRPr="00787AB7">
        <w:rPr>
          <w:rFonts w:asciiTheme="minorHAnsi" w:hAnsiTheme="minorHAnsi"/>
          <w:b/>
        </w:rPr>
        <w:t>működés alatt – az előírt karbantartások elvégzése ellenére is – elhasználódtak</w:t>
      </w:r>
      <w:r w:rsidRPr="00787AB7">
        <w:rPr>
          <w:rFonts w:asciiTheme="minorHAnsi" w:hAnsiTheme="minorHAnsi"/>
        </w:rPr>
        <w:t xml:space="preserve">, egyúttal elavulttá is váltak. A megújítás elsődleges célja az építmények, elsősorban a mélyépítésű alagutak és műtárgyak, továbbá az azokban működő műszaki (elektromos és gépészeti) berendezések új, korszerű állapotba hozása, mellyel ez az utazási alternatíva vonzóvá válik az utazóközönség számára és versenyképes lesz az egyéni közlekedéssel szemben. </w:t>
      </w:r>
    </w:p>
    <w:p w14:paraId="48BFEF02" w14:textId="77777777" w:rsidR="001A00BC" w:rsidRPr="00787AB7" w:rsidRDefault="009A1A77" w:rsidP="00422636">
      <w:pPr>
        <w:jc w:val="both"/>
        <w:rPr>
          <w:rFonts w:asciiTheme="minorHAnsi" w:hAnsiTheme="minorHAnsi"/>
          <w:b/>
        </w:rPr>
      </w:pPr>
      <w:r w:rsidRPr="00787AB7">
        <w:rPr>
          <w:rFonts w:asciiTheme="minorHAnsi" w:hAnsiTheme="minorHAnsi"/>
        </w:rPr>
        <w:t>A járműrekonstrukció folytatásával 2018. év végére megújul a forgalom biztosításához szükséges 37 szerelvény, míg az infrastruktúra felújítás 2017 novemberében vette kezdetét a Lehel tér és Újpest-Városközpont közötti szakaszon.</w:t>
      </w:r>
    </w:p>
    <w:p w14:paraId="0640FD2A" w14:textId="77777777" w:rsidR="00422636" w:rsidRPr="00787AB7" w:rsidRDefault="009A1A77" w:rsidP="00422636">
      <w:pPr>
        <w:jc w:val="both"/>
        <w:rPr>
          <w:rFonts w:asciiTheme="minorHAnsi" w:hAnsiTheme="minorHAnsi"/>
        </w:rPr>
      </w:pPr>
      <w:r w:rsidRPr="00787AB7">
        <w:rPr>
          <w:rFonts w:asciiTheme="minorHAnsi" w:hAnsiTheme="minorHAnsi"/>
        </w:rPr>
        <w:t>A megkezdett rekonstrukciós munkák a Fővárosi Önkormányzat által biztosított külön forrásból kerülnek megvalósításra.</w:t>
      </w:r>
    </w:p>
    <w:p w14:paraId="063CFB25" w14:textId="77777777" w:rsidR="00A2497A" w:rsidRPr="00787AB7" w:rsidRDefault="00A2497A" w:rsidP="00A2497A">
      <w:pPr>
        <w:jc w:val="both"/>
        <w:rPr>
          <w:rFonts w:asciiTheme="minorHAnsi" w:hAnsiTheme="minorHAnsi" w:cstheme="minorHAnsi"/>
        </w:rPr>
      </w:pPr>
    </w:p>
    <w:p w14:paraId="6C7B6779" w14:textId="6A7BD9A0" w:rsidR="002D0B89" w:rsidRPr="00787AB7" w:rsidRDefault="009A1A77" w:rsidP="001A00BC">
      <w:pPr>
        <w:jc w:val="both"/>
        <w:rPr>
          <w:rFonts w:asciiTheme="minorHAnsi" w:hAnsiTheme="minorHAnsi"/>
        </w:rPr>
      </w:pPr>
      <w:r w:rsidRPr="00787AB7">
        <w:rPr>
          <w:rFonts w:asciiTheme="minorHAnsi" w:hAnsiTheme="minorHAnsi"/>
        </w:rPr>
        <w:t xml:space="preserve">A Megrendelő elvárásainak megfelelően </w:t>
      </w:r>
      <w:r w:rsidRPr="00787AB7">
        <w:rPr>
          <w:rFonts w:asciiTheme="minorHAnsi" w:hAnsiTheme="minorHAnsi"/>
          <w:b/>
        </w:rPr>
        <w:t>a BKV Zrt.</w:t>
      </w:r>
      <w:r w:rsidRPr="00787AB7">
        <w:rPr>
          <w:rFonts w:asciiTheme="minorHAnsi" w:hAnsiTheme="minorHAnsi"/>
        </w:rPr>
        <w:t xml:space="preserve"> úgy állította össze Üzleti Tervét, hogy </w:t>
      </w:r>
      <w:r w:rsidRPr="00787AB7">
        <w:rPr>
          <w:rFonts w:asciiTheme="minorHAnsi" w:hAnsiTheme="minorHAnsi"/>
          <w:b/>
        </w:rPr>
        <w:t>részt vesz a 2017. évben indult M3 metró rekonstrukcióhoz kötődő autóbuszos pótlási és sűrítési feladatok ellátásában.</w:t>
      </w:r>
      <w:r w:rsidRPr="00787AB7">
        <w:rPr>
          <w:rFonts w:asciiTheme="minorHAnsi" w:hAnsiTheme="minorHAnsi"/>
        </w:rPr>
        <w:t xml:space="preserve"> Ennek megfelelően az Üzleti Tervben bemutatott </w:t>
      </w:r>
      <w:r w:rsidRPr="00787AB7">
        <w:rPr>
          <w:rFonts w:asciiTheme="minorHAnsi" w:hAnsiTheme="minorHAnsi"/>
          <w:b/>
        </w:rPr>
        <w:t>kompenzáció fedezetet nyújt az északi és déli szakasz, valamint – az esti és hétvégi időszakban – a teljes vonal autóbuszos pótlására, továbbá a felkészülés során felmerülő ráfordításokra, valamint az autóbusz és villamos ágazatban tervezett sűrítésekre.</w:t>
      </w:r>
    </w:p>
    <w:p w14:paraId="553D6D2A" w14:textId="2C58B3E8" w:rsidR="007908D3" w:rsidRPr="00787AB7" w:rsidRDefault="009A1A77" w:rsidP="001A00BC">
      <w:pPr>
        <w:jc w:val="both"/>
        <w:rPr>
          <w:rFonts w:asciiTheme="minorHAnsi" w:hAnsiTheme="minorHAnsi"/>
        </w:rPr>
      </w:pPr>
      <w:r w:rsidRPr="00787AB7">
        <w:rPr>
          <w:rFonts w:asciiTheme="minorHAnsi" w:hAnsiTheme="minorHAnsi"/>
        </w:rPr>
        <w:t xml:space="preserve">A metróvonal részleges leállása miatt megjelenő megtakarításokat is számításba véve </w:t>
      </w:r>
      <w:r w:rsidRPr="00787AB7">
        <w:rPr>
          <w:rFonts w:asciiTheme="minorHAnsi" w:hAnsiTheme="minorHAnsi"/>
          <w:b/>
        </w:rPr>
        <w:t>az M3 metró rekonstrukció a működési oldalon 2018. évben 4 </w:t>
      </w:r>
      <w:r w:rsidR="00A42C19" w:rsidRPr="00A058CA">
        <w:rPr>
          <w:rFonts w:asciiTheme="minorHAnsi" w:hAnsiTheme="minorHAnsi"/>
          <w:b/>
        </w:rPr>
        <w:t>273</w:t>
      </w:r>
      <w:r w:rsidRPr="00787AB7">
        <w:rPr>
          <w:rFonts w:asciiTheme="minorHAnsi" w:hAnsiTheme="minorHAnsi"/>
          <w:b/>
        </w:rPr>
        <w:t xml:space="preserve"> millió Ft többlet finanszírozási igényt okoz</w:t>
      </w:r>
      <w:r w:rsidR="00FB22AE" w:rsidRPr="00787AB7">
        <w:rPr>
          <w:rFonts w:asciiTheme="minorHAnsi" w:hAnsiTheme="minorHAnsi"/>
        </w:rPr>
        <w:t>, az előző évhez képest</w:t>
      </w:r>
      <w:r w:rsidRPr="00787AB7">
        <w:rPr>
          <w:rFonts w:asciiTheme="minorHAnsi" w:hAnsiTheme="minorHAnsi"/>
          <w:b/>
        </w:rPr>
        <w:t>.</w:t>
      </w:r>
    </w:p>
    <w:p w14:paraId="3091C6CA" w14:textId="785D612B" w:rsidR="001A00BC" w:rsidRPr="00787AB7" w:rsidRDefault="009A1A77" w:rsidP="001A00BC">
      <w:pPr>
        <w:jc w:val="both"/>
        <w:rPr>
          <w:rFonts w:asciiTheme="minorHAnsi" w:hAnsiTheme="minorHAnsi" w:cstheme="minorHAnsi"/>
        </w:rPr>
      </w:pPr>
      <w:r w:rsidRPr="00787AB7">
        <w:rPr>
          <w:rFonts w:asciiTheme="minorHAnsi" w:hAnsiTheme="minorHAnsi"/>
          <w:b/>
        </w:rPr>
        <w:t xml:space="preserve">Társaságunk számára kiemelt feladat </w:t>
      </w:r>
      <w:r w:rsidRPr="00787AB7">
        <w:rPr>
          <w:rFonts w:asciiTheme="minorHAnsi" w:hAnsiTheme="minorHAnsi"/>
        </w:rPr>
        <w:t>a járművezetők és a koros járműállomány karbantartását végző egyéb fizikai állomány biztosítása az autóbusz ágazat részére. Kijelenthető azonban, hogy a munkaerőpiac korlátai miatt kiemelt kockázatot jelent a szükséges létszám megszerzése és megtartása. A metrópótlás legmagasabb teljesítményű időszakában a jelenlegi állománynál mintegy 250 fővel több autóbusz járművezetőre lenne szükség. A létszám ilyen mértékű növelése nem reális célkitűzés 2018. első félévének végéig.</w:t>
      </w:r>
    </w:p>
    <w:p w14:paraId="638407C0" w14:textId="77777777" w:rsidR="00FB1FC9" w:rsidRPr="00787AB7" w:rsidRDefault="00FB1FC9" w:rsidP="00FB1FC9">
      <w:pPr>
        <w:jc w:val="both"/>
        <w:rPr>
          <w:rFonts w:asciiTheme="minorHAnsi" w:hAnsiTheme="minorHAnsi" w:cstheme="minorHAnsi"/>
        </w:rPr>
      </w:pPr>
    </w:p>
    <w:p w14:paraId="721A07B3" w14:textId="3A8C698A" w:rsidR="00A57C79" w:rsidRDefault="00B307D8" w:rsidP="00553387">
      <w:pPr>
        <w:jc w:val="both"/>
        <w:rPr>
          <w:rFonts w:ascii="Calibri" w:eastAsia="Calibri" w:hAnsi="Calibri"/>
          <w:lang w:eastAsia="en-US"/>
        </w:rPr>
      </w:pPr>
      <w:r w:rsidRPr="005914AC">
        <w:rPr>
          <w:rFonts w:asciiTheme="minorHAnsi" w:hAnsiTheme="minorHAnsi" w:cstheme="minorHAnsi"/>
        </w:rPr>
        <w:t>A fővárosi költségvetés</w:t>
      </w:r>
      <w:r>
        <w:rPr>
          <w:rFonts w:asciiTheme="minorHAnsi" w:hAnsiTheme="minorHAnsi" w:cstheme="minorHAnsi"/>
        </w:rPr>
        <w:t>i</w:t>
      </w:r>
      <w:r w:rsidRPr="005914AC">
        <w:rPr>
          <w:rFonts w:asciiTheme="minorHAnsi" w:hAnsiTheme="minorHAnsi" w:cstheme="minorHAnsi"/>
        </w:rPr>
        <w:t xml:space="preserve"> egyeztetések során – több más intézkedés mellett – a BKV Zrt. felé is megfogalmazásra került a működési hatékonyság további javítása. </w:t>
      </w:r>
      <w:r w:rsidR="009A1A77" w:rsidRPr="00787AB7">
        <w:rPr>
          <w:rFonts w:asciiTheme="minorHAnsi" w:hAnsiTheme="minorHAnsi" w:cstheme="minorHAnsi"/>
          <w:b/>
        </w:rPr>
        <w:t xml:space="preserve">A BKV Zrt. 2018. évi Üzleti Terve jelentős mértékű, </w:t>
      </w:r>
      <w:r w:rsidR="009A1A77" w:rsidRPr="007A0BFA">
        <w:rPr>
          <w:rFonts w:asciiTheme="minorHAnsi" w:hAnsiTheme="minorHAnsi" w:cstheme="minorHAnsi"/>
          <w:b/>
        </w:rPr>
        <w:t>2 </w:t>
      </w:r>
      <w:r w:rsidR="00165126">
        <w:rPr>
          <w:rFonts w:asciiTheme="minorHAnsi" w:hAnsiTheme="minorHAnsi" w:cstheme="minorHAnsi"/>
          <w:b/>
        </w:rPr>
        <w:t>59</w:t>
      </w:r>
      <w:r w:rsidR="009A1A77" w:rsidRPr="007A0BFA">
        <w:rPr>
          <w:rFonts w:asciiTheme="minorHAnsi" w:hAnsiTheme="minorHAnsi" w:cstheme="minorHAnsi"/>
          <w:b/>
        </w:rPr>
        <w:t>6</w:t>
      </w:r>
      <w:r w:rsidR="009A1A77" w:rsidRPr="00787AB7">
        <w:rPr>
          <w:rFonts w:asciiTheme="minorHAnsi" w:hAnsiTheme="minorHAnsi" w:cstheme="minorHAnsi"/>
          <w:b/>
        </w:rPr>
        <w:t> millió Ft-os költségcsökkentés beépítésével került összeállításra, az előzetes üzleti tervben megjelenítettekhez képest.</w:t>
      </w:r>
      <w:r w:rsidR="009A1A77" w:rsidRPr="00787AB7">
        <w:rPr>
          <w:rFonts w:asciiTheme="minorHAnsi" w:hAnsiTheme="minorHAnsi" w:cstheme="minorHAnsi"/>
        </w:rPr>
        <w:t xml:space="preserve"> A szerződéses kötelezettségből fakadó többletköltségekre a Társaságnak nincs ráhatása, adottságnak tekinthetők, így ezek finanszírozására a gazdálkodás egyéb területein szükséges megtakarításokra irányuló intézkedéseket hozni. A korábbi tervezési időszakban</w:t>
      </w:r>
      <w:r w:rsidR="009A1A77" w:rsidRPr="00787AB7">
        <w:rPr>
          <w:rFonts w:asciiTheme="minorHAnsi" w:hAnsiTheme="minorHAnsi" w:cstheme="minorHAnsi"/>
          <w:b/>
        </w:rPr>
        <w:t xml:space="preserve"> 2018. évre ütemezett többletfeladatok</w:t>
      </w:r>
      <w:r w:rsidR="009A1A77" w:rsidRPr="00787AB7">
        <w:rPr>
          <w:rFonts w:asciiTheme="minorHAnsi" w:hAnsiTheme="minorHAnsi" w:cstheme="minorHAnsi"/>
        </w:rPr>
        <w:t xml:space="preserve">, mint például: különböző járműjavítások, karbantartási munkálatok, létesítmények, végállomások, tartózkodók állapotmegóvása, korszerűsítése és szükséges javítása stb. részben </w:t>
      </w:r>
      <w:r w:rsidR="009A1A77" w:rsidRPr="00787AB7">
        <w:rPr>
          <w:rFonts w:asciiTheme="minorHAnsi" w:hAnsiTheme="minorHAnsi" w:cstheme="minorHAnsi"/>
          <w:b/>
        </w:rPr>
        <w:t>elhalasztásra kerülnek, illetve egyéb feladatok terhére szükséges ezek elvégzése</w:t>
      </w:r>
      <w:r w:rsidR="009A1A77" w:rsidRPr="00787AB7">
        <w:rPr>
          <w:rFonts w:asciiTheme="minorHAnsi" w:hAnsiTheme="minorHAnsi" w:cstheme="minorHAnsi"/>
        </w:rPr>
        <w:t xml:space="preserve">. </w:t>
      </w:r>
      <w:r w:rsidR="009A1A77" w:rsidRPr="00787AB7">
        <w:rPr>
          <w:rFonts w:ascii="Calibri" w:eastAsia="Calibri" w:hAnsi="Calibri"/>
          <w:lang w:eastAsia="en-US"/>
        </w:rPr>
        <w:t xml:space="preserve">Hangsúlyozandó azonban, hogy ezen intézkedések sem az üzembiztonságot, sem a </w:t>
      </w:r>
      <w:r w:rsidR="009A1A77" w:rsidRPr="00787AB7">
        <w:rPr>
          <w:rFonts w:ascii="Calibri" w:eastAsia="Calibri" w:hAnsi="Calibri"/>
          <w:b/>
          <w:lang w:eastAsia="en-US"/>
        </w:rPr>
        <w:t>szolgáltatás ellátását nem veszélyeztetik</w:t>
      </w:r>
      <w:r w:rsidR="009A1A77" w:rsidRPr="00787AB7">
        <w:rPr>
          <w:rFonts w:ascii="Calibri" w:eastAsia="Calibri" w:hAnsi="Calibri"/>
          <w:lang w:eastAsia="en-US"/>
        </w:rPr>
        <w:t xml:space="preserve">. </w:t>
      </w:r>
    </w:p>
    <w:p w14:paraId="63F9231D" w14:textId="77777777" w:rsidR="00A57C79" w:rsidRDefault="00A57C79">
      <w:pPr>
        <w:rPr>
          <w:rFonts w:ascii="Calibri" w:eastAsia="Calibri" w:hAnsi="Calibri"/>
          <w:lang w:eastAsia="en-US"/>
        </w:rPr>
      </w:pPr>
      <w:r>
        <w:rPr>
          <w:rFonts w:ascii="Calibri" w:eastAsia="Calibri" w:hAnsi="Calibri"/>
          <w:lang w:eastAsia="en-US"/>
        </w:rPr>
        <w:br w:type="page"/>
      </w:r>
    </w:p>
    <w:p w14:paraId="5B2A3ED1" w14:textId="63A0F5D8" w:rsidR="00553387" w:rsidRPr="00787AB7" w:rsidRDefault="009A1A77" w:rsidP="00553387">
      <w:pPr>
        <w:jc w:val="both"/>
        <w:rPr>
          <w:rFonts w:asciiTheme="minorHAnsi" w:hAnsiTheme="minorHAnsi" w:cstheme="minorHAnsi"/>
          <w:u w:val="single"/>
        </w:rPr>
      </w:pPr>
      <w:r w:rsidRPr="00787AB7">
        <w:rPr>
          <w:rFonts w:asciiTheme="minorHAnsi" w:hAnsiTheme="minorHAnsi" w:cstheme="minorHAnsi"/>
        </w:rPr>
        <w:lastRenderedPageBreak/>
        <w:t xml:space="preserve">Az Üzleti Terv kialakítása során </w:t>
      </w:r>
      <w:r w:rsidR="00FB22AE">
        <w:rPr>
          <w:rFonts w:asciiTheme="minorHAnsi" w:hAnsiTheme="minorHAnsi" w:cstheme="minorHAnsi"/>
        </w:rPr>
        <w:t>csökkentésre</w:t>
      </w:r>
      <w:r w:rsidR="00FB22AE" w:rsidRPr="00787AB7">
        <w:rPr>
          <w:rFonts w:asciiTheme="minorHAnsi" w:hAnsiTheme="minorHAnsi" w:cstheme="minorHAnsi"/>
        </w:rPr>
        <w:t xml:space="preserve"> </w:t>
      </w:r>
      <w:r w:rsidRPr="00787AB7">
        <w:rPr>
          <w:rFonts w:asciiTheme="minorHAnsi" w:hAnsiTheme="minorHAnsi" w:cstheme="minorHAnsi"/>
        </w:rPr>
        <w:t xml:space="preserve">kerültek </w:t>
      </w:r>
      <w:r w:rsidR="00FB22AE">
        <w:rPr>
          <w:rFonts w:asciiTheme="minorHAnsi" w:hAnsiTheme="minorHAnsi" w:cstheme="minorHAnsi"/>
        </w:rPr>
        <w:t xml:space="preserve">– az előzetes üzleti tervhez képest – </w:t>
      </w:r>
      <w:r w:rsidRPr="00787AB7">
        <w:rPr>
          <w:rFonts w:asciiTheme="minorHAnsi" w:hAnsiTheme="minorHAnsi" w:cstheme="minorHAnsi"/>
        </w:rPr>
        <w:t xml:space="preserve">a 2018. évi energia költségek is, az ismertté vált beszerzési árak, </w:t>
      </w:r>
      <w:r w:rsidR="00FB22AE">
        <w:rPr>
          <w:rFonts w:asciiTheme="minorHAnsi" w:hAnsiTheme="minorHAnsi" w:cstheme="minorHAnsi"/>
        </w:rPr>
        <w:t xml:space="preserve">illetve a </w:t>
      </w:r>
      <w:r w:rsidRPr="00787AB7">
        <w:rPr>
          <w:rFonts w:asciiTheme="minorHAnsi" w:hAnsiTheme="minorHAnsi" w:cstheme="minorHAnsi"/>
        </w:rPr>
        <w:t>fogyasztási adatok alapján, valamint törlésre kerül</w:t>
      </w:r>
      <w:r w:rsidR="00FB22AE">
        <w:rPr>
          <w:rFonts w:asciiTheme="minorHAnsi" w:hAnsiTheme="minorHAnsi" w:cstheme="minorHAnsi"/>
        </w:rPr>
        <w:t>t</w:t>
      </w:r>
      <w:r w:rsidRPr="00787AB7">
        <w:rPr>
          <w:rFonts w:asciiTheme="minorHAnsi" w:hAnsiTheme="minorHAnsi" w:cstheme="minorHAnsi"/>
        </w:rPr>
        <w:t xml:space="preserve"> az inflációs várakozás okozta költségemelkedés is.</w:t>
      </w:r>
    </w:p>
    <w:p w14:paraId="7EB8D19B" w14:textId="77777777" w:rsidR="00076264" w:rsidRPr="00787AB7" w:rsidRDefault="00076264" w:rsidP="00FB1FC9">
      <w:pPr>
        <w:jc w:val="both"/>
        <w:rPr>
          <w:rFonts w:asciiTheme="minorHAnsi" w:hAnsiTheme="minorHAnsi" w:cstheme="minorHAnsi"/>
        </w:rPr>
      </w:pPr>
    </w:p>
    <w:p w14:paraId="134E26EA" w14:textId="4CA54BDA" w:rsidR="00A2497A" w:rsidRPr="00787AB7" w:rsidRDefault="009A1A77" w:rsidP="007D314F">
      <w:pPr>
        <w:jc w:val="both"/>
        <w:rPr>
          <w:rFonts w:asciiTheme="minorHAnsi" w:hAnsiTheme="minorHAnsi"/>
        </w:rPr>
      </w:pPr>
      <w:r w:rsidRPr="00787AB7">
        <w:rPr>
          <w:rFonts w:asciiTheme="minorHAnsi" w:hAnsiTheme="minorHAnsi"/>
        </w:rPr>
        <w:t xml:space="preserve">A finanszírozási igény – a </w:t>
      </w:r>
      <w:r w:rsidR="00FB22AE">
        <w:rPr>
          <w:rFonts w:asciiTheme="minorHAnsi" w:hAnsiTheme="minorHAnsi"/>
        </w:rPr>
        <w:t xml:space="preserve">kompenzációs díjban foglalt </w:t>
      </w:r>
      <w:r w:rsidRPr="00787AB7">
        <w:rPr>
          <w:rFonts w:asciiTheme="minorHAnsi" w:hAnsiTheme="minorHAnsi"/>
        </w:rPr>
        <w:t>beruházási forrás és a bérfejlesztés függvényében – a 2018. évben az alábbiak szerint alakul:</w:t>
      </w:r>
    </w:p>
    <w:p w14:paraId="38379F5F" w14:textId="7C5BC980" w:rsidR="00447B07" w:rsidRPr="00787AB7" w:rsidRDefault="00447B07" w:rsidP="00A2497A">
      <w:pPr>
        <w:jc w:val="both"/>
        <w:rPr>
          <w:rFonts w:asciiTheme="minorHAnsi" w:hAnsiTheme="minorHAnsi"/>
          <w:b/>
        </w:rPr>
      </w:pPr>
    </w:p>
    <w:p w14:paraId="48E9DA79" w14:textId="1B674F09" w:rsidR="00447B07" w:rsidRPr="00787AB7" w:rsidRDefault="009A1A77" w:rsidP="005B4D95">
      <w:pPr>
        <w:pStyle w:val="Listaszerbekezds"/>
        <w:ind w:left="7142"/>
        <w:jc w:val="right"/>
        <w:rPr>
          <w:rFonts w:asciiTheme="minorHAnsi" w:hAnsiTheme="minorHAnsi"/>
          <w:sz w:val="18"/>
          <w:szCs w:val="18"/>
        </w:rPr>
      </w:pPr>
      <w:r w:rsidRPr="00787AB7">
        <w:rPr>
          <w:rFonts w:asciiTheme="minorHAnsi" w:hAnsiTheme="minorHAnsi"/>
          <w:sz w:val="18"/>
          <w:szCs w:val="18"/>
        </w:rPr>
        <w:t xml:space="preserve">                       (millió 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586"/>
        <w:gridCol w:w="1587"/>
        <w:gridCol w:w="1586"/>
        <w:gridCol w:w="1587"/>
      </w:tblGrid>
      <w:tr w:rsidR="002B5168" w:rsidRPr="002B5168" w14:paraId="253BBB5B" w14:textId="048460FE" w:rsidTr="002663D1">
        <w:trPr>
          <w:trHeight w:val="659"/>
          <w:jc w:val="center"/>
        </w:trPr>
        <w:tc>
          <w:tcPr>
            <w:tcW w:w="2265" w:type="dxa"/>
            <w:shd w:val="clear" w:color="auto" w:fill="2528A3"/>
            <w:vAlign w:val="center"/>
          </w:tcPr>
          <w:p w14:paraId="4E6F416D" w14:textId="654FD672" w:rsidR="005B4D95" w:rsidRPr="00787AB7" w:rsidRDefault="005B4D95" w:rsidP="0052220B">
            <w:pPr>
              <w:rPr>
                <w:rFonts w:ascii="Calibri" w:hAnsi="Calibri"/>
                <w:b/>
                <w:sz w:val="20"/>
                <w:szCs w:val="20"/>
              </w:rPr>
            </w:pPr>
          </w:p>
        </w:tc>
        <w:tc>
          <w:tcPr>
            <w:tcW w:w="1586" w:type="dxa"/>
            <w:shd w:val="clear" w:color="auto" w:fill="2528A3"/>
            <w:vAlign w:val="center"/>
          </w:tcPr>
          <w:p w14:paraId="1D2DDAE6" w14:textId="09AB3823" w:rsidR="005B4D95" w:rsidRPr="00787AB7" w:rsidRDefault="009A1A77" w:rsidP="0052220B">
            <w:pPr>
              <w:jc w:val="center"/>
              <w:rPr>
                <w:rFonts w:ascii="Calibri" w:hAnsi="Calibri"/>
                <w:b/>
                <w:sz w:val="20"/>
                <w:szCs w:val="20"/>
              </w:rPr>
            </w:pPr>
            <w:r w:rsidRPr="00787AB7">
              <w:rPr>
                <w:rFonts w:asciiTheme="minorHAnsi" w:hAnsiTheme="minorHAnsi"/>
                <w:b/>
                <w:sz w:val="20"/>
                <w:szCs w:val="20"/>
              </w:rPr>
              <w:t>Működési finanszírozási igény</w:t>
            </w:r>
          </w:p>
        </w:tc>
        <w:tc>
          <w:tcPr>
            <w:tcW w:w="1587" w:type="dxa"/>
            <w:shd w:val="clear" w:color="auto" w:fill="2528A3"/>
            <w:vAlign w:val="center"/>
          </w:tcPr>
          <w:p w14:paraId="03337D67" w14:textId="04549B71" w:rsidR="005B4D95" w:rsidRPr="00787AB7" w:rsidRDefault="009A1A77" w:rsidP="0052220B">
            <w:pPr>
              <w:jc w:val="center"/>
              <w:rPr>
                <w:rFonts w:asciiTheme="minorHAnsi" w:hAnsiTheme="minorHAnsi"/>
                <w:b/>
                <w:sz w:val="20"/>
                <w:szCs w:val="20"/>
              </w:rPr>
            </w:pPr>
            <w:r w:rsidRPr="00787AB7">
              <w:rPr>
                <w:rFonts w:asciiTheme="minorHAnsi" w:hAnsiTheme="minorHAnsi"/>
                <w:b/>
                <w:sz w:val="20"/>
                <w:szCs w:val="20"/>
              </w:rPr>
              <w:t>Beruházási forrás</w:t>
            </w:r>
          </w:p>
        </w:tc>
        <w:tc>
          <w:tcPr>
            <w:tcW w:w="1586" w:type="dxa"/>
            <w:shd w:val="clear" w:color="auto" w:fill="2528A3"/>
            <w:vAlign w:val="center"/>
          </w:tcPr>
          <w:p w14:paraId="695E95B5" w14:textId="5C3260B2" w:rsidR="005B4D95" w:rsidRPr="00787AB7" w:rsidRDefault="009A1A77" w:rsidP="0052220B">
            <w:pPr>
              <w:jc w:val="center"/>
              <w:rPr>
                <w:rFonts w:asciiTheme="minorHAnsi" w:hAnsiTheme="minorHAnsi"/>
                <w:b/>
                <w:sz w:val="20"/>
                <w:szCs w:val="20"/>
              </w:rPr>
            </w:pPr>
            <w:r w:rsidRPr="00787AB7">
              <w:rPr>
                <w:rFonts w:asciiTheme="minorHAnsi" w:hAnsiTheme="minorHAnsi"/>
                <w:b/>
                <w:sz w:val="20"/>
                <w:szCs w:val="20"/>
              </w:rPr>
              <w:t>Béremelés (közszolgáltatás)</w:t>
            </w:r>
          </w:p>
        </w:tc>
        <w:tc>
          <w:tcPr>
            <w:tcW w:w="1587" w:type="dxa"/>
            <w:shd w:val="clear" w:color="auto" w:fill="2528A3"/>
            <w:vAlign w:val="center"/>
          </w:tcPr>
          <w:p w14:paraId="6CA230EC" w14:textId="0F56804A" w:rsidR="005B4D95" w:rsidRPr="00787AB7" w:rsidRDefault="009A1A77" w:rsidP="004E3E5B">
            <w:pPr>
              <w:jc w:val="center"/>
              <w:rPr>
                <w:rFonts w:asciiTheme="minorHAnsi" w:hAnsiTheme="minorHAnsi"/>
                <w:b/>
                <w:sz w:val="20"/>
                <w:szCs w:val="20"/>
              </w:rPr>
            </w:pPr>
            <w:r w:rsidRPr="00787AB7">
              <w:rPr>
                <w:rFonts w:asciiTheme="minorHAnsi" w:hAnsiTheme="minorHAnsi"/>
                <w:b/>
                <w:sz w:val="20"/>
                <w:szCs w:val="20"/>
              </w:rPr>
              <w:t>Kompenzációs igény</w:t>
            </w:r>
          </w:p>
        </w:tc>
      </w:tr>
      <w:tr w:rsidR="002B5168" w:rsidRPr="002B5168" w14:paraId="18FE845B" w14:textId="76F990ED" w:rsidTr="002663D1">
        <w:trPr>
          <w:trHeight w:val="659"/>
          <w:jc w:val="center"/>
        </w:trPr>
        <w:tc>
          <w:tcPr>
            <w:tcW w:w="2265" w:type="dxa"/>
            <w:shd w:val="clear" w:color="auto" w:fill="auto"/>
            <w:vAlign w:val="center"/>
          </w:tcPr>
          <w:p w14:paraId="7F8F6201" w14:textId="44B52CA2" w:rsidR="000C43E6" w:rsidRPr="00787AB7" w:rsidRDefault="009A1A77" w:rsidP="004E3E5B">
            <w:pPr>
              <w:rPr>
                <w:rFonts w:ascii="Calibri" w:hAnsi="Calibri"/>
                <w:sz w:val="18"/>
                <w:szCs w:val="18"/>
              </w:rPr>
            </w:pPr>
            <w:r w:rsidRPr="00787AB7">
              <w:rPr>
                <w:rFonts w:ascii="Calibri" w:hAnsi="Calibri"/>
                <w:sz w:val="18"/>
                <w:szCs w:val="18"/>
              </w:rPr>
              <w:t>Működési forrás, beruházás és bérfejlesztés nélkül</w:t>
            </w:r>
          </w:p>
        </w:tc>
        <w:tc>
          <w:tcPr>
            <w:tcW w:w="1586" w:type="dxa"/>
            <w:vAlign w:val="center"/>
          </w:tcPr>
          <w:p w14:paraId="0264790C" w14:textId="019B49ED" w:rsidR="000C43E6" w:rsidRPr="00787AB7" w:rsidRDefault="009A1A77">
            <w:pPr>
              <w:jc w:val="right"/>
              <w:rPr>
                <w:rFonts w:ascii="Calibri" w:hAnsi="Calibri"/>
                <w:sz w:val="18"/>
                <w:szCs w:val="18"/>
              </w:rPr>
            </w:pPr>
            <w:r w:rsidRPr="00787AB7">
              <w:rPr>
                <w:rFonts w:ascii="Calibri" w:hAnsi="Calibri"/>
                <w:sz w:val="18"/>
                <w:szCs w:val="18"/>
              </w:rPr>
              <w:t>108 402</w:t>
            </w:r>
          </w:p>
        </w:tc>
        <w:tc>
          <w:tcPr>
            <w:tcW w:w="1587" w:type="dxa"/>
            <w:vAlign w:val="center"/>
          </w:tcPr>
          <w:p w14:paraId="63846C11" w14:textId="023AA9BC" w:rsidR="000C43E6" w:rsidRPr="00787AB7" w:rsidRDefault="009A1A77">
            <w:pPr>
              <w:jc w:val="right"/>
              <w:rPr>
                <w:rFonts w:asciiTheme="minorHAnsi" w:hAnsiTheme="minorHAnsi" w:cs="Calibri"/>
                <w:sz w:val="18"/>
                <w:szCs w:val="18"/>
              </w:rPr>
            </w:pPr>
            <w:r w:rsidRPr="00787AB7">
              <w:rPr>
                <w:rFonts w:ascii="Calibri" w:hAnsi="Calibri"/>
                <w:sz w:val="18"/>
                <w:szCs w:val="18"/>
              </w:rPr>
              <w:t>0</w:t>
            </w:r>
          </w:p>
        </w:tc>
        <w:tc>
          <w:tcPr>
            <w:tcW w:w="1586" w:type="dxa"/>
            <w:vAlign w:val="center"/>
          </w:tcPr>
          <w:p w14:paraId="6A32B68C" w14:textId="30D44763" w:rsidR="000C43E6" w:rsidRPr="00787AB7" w:rsidRDefault="009A1A77">
            <w:pPr>
              <w:jc w:val="right"/>
              <w:rPr>
                <w:rFonts w:asciiTheme="minorHAnsi" w:hAnsiTheme="minorHAnsi"/>
                <w:sz w:val="18"/>
                <w:szCs w:val="18"/>
              </w:rPr>
            </w:pPr>
            <w:r w:rsidRPr="00787AB7">
              <w:rPr>
                <w:rFonts w:ascii="Calibri" w:hAnsi="Calibri"/>
                <w:sz w:val="18"/>
                <w:szCs w:val="18"/>
              </w:rPr>
              <w:t>0</w:t>
            </w:r>
          </w:p>
        </w:tc>
        <w:tc>
          <w:tcPr>
            <w:tcW w:w="1587" w:type="dxa"/>
            <w:vAlign w:val="center"/>
          </w:tcPr>
          <w:p w14:paraId="3691F8B2" w14:textId="18E07BC9" w:rsidR="000C43E6" w:rsidRPr="00787AB7" w:rsidRDefault="009A1A77">
            <w:pPr>
              <w:jc w:val="right"/>
              <w:rPr>
                <w:rFonts w:ascii="Calibri" w:hAnsi="Calibri"/>
                <w:sz w:val="18"/>
                <w:szCs w:val="18"/>
              </w:rPr>
            </w:pPr>
            <w:r w:rsidRPr="00787AB7">
              <w:rPr>
                <w:rFonts w:ascii="Calibri" w:hAnsi="Calibri"/>
                <w:sz w:val="18"/>
                <w:szCs w:val="18"/>
              </w:rPr>
              <w:t>109 087</w:t>
            </w:r>
          </w:p>
        </w:tc>
      </w:tr>
      <w:tr w:rsidR="002B5168" w:rsidRPr="002B5168" w14:paraId="05B5A485" w14:textId="77BCB737" w:rsidTr="002663D1">
        <w:trPr>
          <w:trHeight w:val="659"/>
          <w:jc w:val="center"/>
        </w:trPr>
        <w:tc>
          <w:tcPr>
            <w:tcW w:w="2265" w:type="dxa"/>
            <w:shd w:val="clear" w:color="auto" w:fill="auto"/>
            <w:vAlign w:val="center"/>
          </w:tcPr>
          <w:p w14:paraId="772859AB" w14:textId="49C03211" w:rsidR="000C43E6" w:rsidRPr="00787AB7" w:rsidRDefault="009A1A77">
            <w:pPr>
              <w:rPr>
                <w:rFonts w:ascii="Calibri" w:hAnsi="Calibri"/>
                <w:b/>
                <w:sz w:val="18"/>
                <w:szCs w:val="18"/>
              </w:rPr>
            </w:pPr>
            <w:r w:rsidRPr="00787AB7">
              <w:rPr>
                <w:rFonts w:ascii="Calibri" w:hAnsi="Calibri"/>
                <w:b/>
                <w:sz w:val="18"/>
                <w:szCs w:val="18"/>
              </w:rPr>
              <w:t>Bérfejlesztéssel, csökkentett beruházási forrással</w:t>
            </w:r>
          </w:p>
        </w:tc>
        <w:tc>
          <w:tcPr>
            <w:tcW w:w="1586" w:type="dxa"/>
            <w:vAlign w:val="center"/>
          </w:tcPr>
          <w:p w14:paraId="1954013D" w14:textId="51EE6E65" w:rsidR="000C43E6" w:rsidRPr="00787AB7" w:rsidRDefault="009A1A77">
            <w:pPr>
              <w:jc w:val="right"/>
              <w:rPr>
                <w:rFonts w:ascii="Calibri" w:hAnsi="Calibri"/>
                <w:b/>
                <w:sz w:val="18"/>
                <w:szCs w:val="18"/>
              </w:rPr>
            </w:pPr>
            <w:r w:rsidRPr="00787AB7">
              <w:rPr>
                <w:rFonts w:ascii="Calibri" w:hAnsi="Calibri"/>
                <w:b/>
                <w:sz w:val="18"/>
                <w:szCs w:val="18"/>
              </w:rPr>
              <w:t>108 402</w:t>
            </w:r>
          </w:p>
        </w:tc>
        <w:tc>
          <w:tcPr>
            <w:tcW w:w="1587" w:type="dxa"/>
            <w:vAlign w:val="center"/>
          </w:tcPr>
          <w:p w14:paraId="46C0383B" w14:textId="09185D57" w:rsidR="000C43E6" w:rsidRPr="00787AB7" w:rsidRDefault="009A1A77">
            <w:pPr>
              <w:jc w:val="right"/>
              <w:rPr>
                <w:rFonts w:asciiTheme="minorHAnsi" w:hAnsiTheme="minorHAnsi" w:cs="Calibri"/>
                <w:b/>
                <w:sz w:val="18"/>
                <w:szCs w:val="18"/>
              </w:rPr>
            </w:pPr>
            <w:r w:rsidRPr="00787AB7">
              <w:rPr>
                <w:rFonts w:ascii="Calibri" w:hAnsi="Calibri"/>
                <w:b/>
                <w:sz w:val="18"/>
                <w:szCs w:val="18"/>
              </w:rPr>
              <w:t>685</w:t>
            </w:r>
          </w:p>
        </w:tc>
        <w:tc>
          <w:tcPr>
            <w:tcW w:w="1586" w:type="dxa"/>
            <w:vAlign w:val="center"/>
          </w:tcPr>
          <w:p w14:paraId="573A1CAE" w14:textId="4A6C97DA" w:rsidR="000C43E6" w:rsidRPr="00787AB7" w:rsidRDefault="009A1A77">
            <w:pPr>
              <w:jc w:val="right"/>
              <w:rPr>
                <w:rFonts w:ascii="Calibri" w:hAnsi="Calibri"/>
                <w:b/>
                <w:sz w:val="18"/>
                <w:szCs w:val="18"/>
              </w:rPr>
            </w:pPr>
            <w:r w:rsidRPr="00787AB7">
              <w:rPr>
                <w:rFonts w:ascii="Calibri" w:hAnsi="Calibri"/>
                <w:b/>
                <w:sz w:val="18"/>
                <w:szCs w:val="18"/>
              </w:rPr>
              <w:t>6 937</w:t>
            </w:r>
          </w:p>
        </w:tc>
        <w:tc>
          <w:tcPr>
            <w:tcW w:w="1587" w:type="dxa"/>
            <w:vAlign w:val="center"/>
          </w:tcPr>
          <w:p w14:paraId="6B6B129B" w14:textId="7F04D718" w:rsidR="000C43E6" w:rsidRPr="00787AB7" w:rsidRDefault="009A1A77">
            <w:pPr>
              <w:jc w:val="right"/>
              <w:rPr>
                <w:rFonts w:ascii="Calibri" w:hAnsi="Calibri"/>
                <w:b/>
                <w:sz w:val="18"/>
                <w:szCs w:val="18"/>
              </w:rPr>
            </w:pPr>
            <w:r w:rsidRPr="00787AB7">
              <w:rPr>
                <w:rFonts w:ascii="Calibri" w:hAnsi="Calibri"/>
                <w:b/>
                <w:sz w:val="18"/>
                <w:szCs w:val="18"/>
              </w:rPr>
              <w:t>116 024</w:t>
            </w:r>
          </w:p>
        </w:tc>
      </w:tr>
      <w:tr w:rsidR="002B5168" w:rsidRPr="002B5168" w14:paraId="1AB0272A" w14:textId="4CD5FBD1" w:rsidTr="002663D1">
        <w:trPr>
          <w:trHeight w:val="659"/>
          <w:jc w:val="center"/>
        </w:trPr>
        <w:tc>
          <w:tcPr>
            <w:tcW w:w="2265" w:type="dxa"/>
            <w:shd w:val="clear" w:color="auto" w:fill="auto"/>
            <w:vAlign w:val="center"/>
          </w:tcPr>
          <w:p w14:paraId="24753E7C" w14:textId="7704204D" w:rsidR="008B2CF1" w:rsidRPr="00787AB7" w:rsidRDefault="009A1A77" w:rsidP="004E3E5B">
            <w:pPr>
              <w:rPr>
                <w:rFonts w:ascii="Calibri" w:hAnsi="Calibri"/>
                <w:sz w:val="18"/>
                <w:szCs w:val="18"/>
              </w:rPr>
            </w:pPr>
            <w:r w:rsidRPr="00787AB7">
              <w:rPr>
                <w:rFonts w:ascii="Calibri" w:hAnsi="Calibri"/>
                <w:sz w:val="18"/>
                <w:szCs w:val="18"/>
              </w:rPr>
              <w:t>8 Mrd Ft beruházás, bérfejlesztéssel</w:t>
            </w:r>
          </w:p>
        </w:tc>
        <w:tc>
          <w:tcPr>
            <w:tcW w:w="1586" w:type="dxa"/>
            <w:vAlign w:val="center"/>
          </w:tcPr>
          <w:p w14:paraId="40EAEF6B" w14:textId="767EE4D9" w:rsidR="008B2CF1" w:rsidRPr="00787AB7" w:rsidRDefault="006717B9">
            <w:pPr>
              <w:jc w:val="right"/>
              <w:rPr>
                <w:rFonts w:ascii="Calibri" w:hAnsi="Calibri"/>
                <w:sz w:val="18"/>
                <w:szCs w:val="18"/>
              </w:rPr>
            </w:pPr>
            <w:r>
              <w:rPr>
                <w:rFonts w:ascii="Calibri" w:hAnsi="Calibri"/>
                <w:sz w:val="18"/>
                <w:szCs w:val="18"/>
              </w:rPr>
              <w:t>108 402</w:t>
            </w:r>
          </w:p>
        </w:tc>
        <w:tc>
          <w:tcPr>
            <w:tcW w:w="1587" w:type="dxa"/>
            <w:vAlign w:val="center"/>
          </w:tcPr>
          <w:p w14:paraId="0FEFA395" w14:textId="0C342F18" w:rsidR="008B2CF1" w:rsidRPr="00787AB7" w:rsidRDefault="009A1A77">
            <w:pPr>
              <w:jc w:val="right"/>
              <w:rPr>
                <w:rFonts w:ascii="Calibri" w:hAnsi="Calibri"/>
                <w:sz w:val="18"/>
                <w:szCs w:val="18"/>
              </w:rPr>
            </w:pPr>
            <w:r w:rsidRPr="00787AB7">
              <w:rPr>
                <w:rFonts w:ascii="Calibri" w:hAnsi="Calibri"/>
                <w:sz w:val="18"/>
                <w:szCs w:val="18"/>
              </w:rPr>
              <w:t>8 000</w:t>
            </w:r>
          </w:p>
        </w:tc>
        <w:tc>
          <w:tcPr>
            <w:tcW w:w="1586" w:type="dxa"/>
            <w:vAlign w:val="center"/>
          </w:tcPr>
          <w:p w14:paraId="77633815" w14:textId="098640BC" w:rsidR="008B2CF1" w:rsidRPr="00787AB7" w:rsidRDefault="009A1A77">
            <w:pPr>
              <w:jc w:val="right"/>
              <w:rPr>
                <w:rFonts w:ascii="Calibri" w:hAnsi="Calibri"/>
                <w:sz w:val="18"/>
                <w:szCs w:val="18"/>
              </w:rPr>
            </w:pPr>
            <w:r w:rsidRPr="00787AB7">
              <w:rPr>
                <w:rFonts w:ascii="Calibri" w:hAnsi="Calibri"/>
                <w:sz w:val="18"/>
                <w:szCs w:val="18"/>
              </w:rPr>
              <w:t>6 937</w:t>
            </w:r>
          </w:p>
        </w:tc>
        <w:tc>
          <w:tcPr>
            <w:tcW w:w="1587" w:type="dxa"/>
            <w:vAlign w:val="center"/>
          </w:tcPr>
          <w:p w14:paraId="346B7D3C" w14:textId="666F09C0" w:rsidR="008B2CF1" w:rsidRPr="00787AB7" w:rsidRDefault="009A1A77">
            <w:pPr>
              <w:jc w:val="right"/>
              <w:rPr>
                <w:rFonts w:ascii="Calibri" w:hAnsi="Calibri"/>
                <w:sz w:val="18"/>
                <w:szCs w:val="18"/>
              </w:rPr>
            </w:pPr>
            <w:r w:rsidRPr="00787AB7">
              <w:rPr>
                <w:rFonts w:ascii="Calibri" w:hAnsi="Calibri"/>
                <w:sz w:val="18"/>
                <w:szCs w:val="18"/>
              </w:rPr>
              <w:t>12</w:t>
            </w:r>
            <w:r w:rsidR="00A058CA">
              <w:rPr>
                <w:rFonts w:ascii="Calibri" w:hAnsi="Calibri"/>
                <w:sz w:val="18"/>
                <w:szCs w:val="18"/>
              </w:rPr>
              <w:t>3</w:t>
            </w:r>
            <w:r w:rsidRPr="00787AB7">
              <w:rPr>
                <w:rFonts w:ascii="Calibri" w:hAnsi="Calibri"/>
                <w:sz w:val="18"/>
                <w:szCs w:val="18"/>
              </w:rPr>
              <w:t xml:space="preserve"> </w:t>
            </w:r>
            <w:r w:rsidR="00A058CA">
              <w:rPr>
                <w:rFonts w:ascii="Calibri" w:hAnsi="Calibri"/>
                <w:sz w:val="18"/>
                <w:szCs w:val="18"/>
              </w:rPr>
              <w:t>339</w:t>
            </w:r>
          </w:p>
        </w:tc>
      </w:tr>
      <w:tr w:rsidR="002B5168" w:rsidRPr="002B5168" w14:paraId="7FF9E3D9" w14:textId="052F9E1E" w:rsidTr="002663D1">
        <w:trPr>
          <w:trHeight w:val="659"/>
          <w:jc w:val="center"/>
        </w:trPr>
        <w:tc>
          <w:tcPr>
            <w:tcW w:w="2265" w:type="dxa"/>
            <w:shd w:val="clear" w:color="auto" w:fill="auto"/>
            <w:vAlign w:val="center"/>
          </w:tcPr>
          <w:p w14:paraId="72DB2ADB" w14:textId="1C75BC8A" w:rsidR="008B2CF1" w:rsidRPr="00787AB7" w:rsidRDefault="009A1A77" w:rsidP="004E3E5B">
            <w:pPr>
              <w:rPr>
                <w:rFonts w:ascii="Calibri" w:hAnsi="Calibri"/>
                <w:sz w:val="18"/>
                <w:szCs w:val="18"/>
              </w:rPr>
            </w:pPr>
            <w:r w:rsidRPr="00787AB7">
              <w:rPr>
                <w:rFonts w:ascii="Calibri" w:hAnsi="Calibri"/>
                <w:sz w:val="18"/>
                <w:szCs w:val="18"/>
              </w:rPr>
              <w:t>Teljes beruházási szint</w:t>
            </w:r>
          </w:p>
        </w:tc>
        <w:tc>
          <w:tcPr>
            <w:tcW w:w="1586" w:type="dxa"/>
            <w:vAlign w:val="center"/>
          </w:tcPr>
          <w:p w14:paraId="5D080107" w14:textId="77117B5C" w:rsidR="008B2CF1" w:rsidRPr="00787AB7" w:rsidRDefault="006717B9">
            <w:pPr>
              <w:jc w:val="right"/>
              <w:rPr>
                <w:rFonts w:ascii="Calibri" w:hAnsi="Calibri"/>
                <w:sz w:val="18"/>
                <w:szCs w:val="18"/>
              </w:rPr>
            </w:pPr>
            <w:r>
              <w:rPr>
                <w:rFonts w:ascii="Calibri" w:hAnsi="Calibri"/>
                <w:sz w:val="18"/>
                <w:szCs w:val="18"/>
              </w:rPr>
              <w:t>108 402</w:t>
            </w:r>
          </w:p>
        </w:tc>
        <w:tc>
          <w:tcPr>
            <w:tcW w:w="1587" w:type="dxa"/>
            <w:vAlign w:val="center"/>
          </w:tcPr>
          <w:p w14:paraId="171C51EC" w14:textId="6D01CEAD" w:rsidR="008B2CF1" w:rsidRPr="00787AB7" w:rsidRDefault="009A1A77">
            <w:pPr>
              <w:jc w:val="right"/>
              <w:rPr>
                <w:rFonts w:ascii="Calibri" w:hAnsi="Calibri"/>
                <w:sz w:val="18"/>
                <w:szCs w:val="18"/>
              </w:rPr>
            </w:pPr>
            <w:r w:rsidRPr="00787AB7">
              <w:rPr>
                <w:rFonts w:ascii="Calibri" w:hAnsi="Calibri"/>
                <w:sz w:val="18"/>
                <w:szCs w:val="18"/>
              </w:rPr>
              <w:t>16 0</w:t>
            </w:r>
            <w:r w:rsidR="00815EC0">
              <w:rPr>
                <w:rFonts w:ascii="Calibri" w:hAnsi="Calibri"/>
                <w:sz w:val="18"/>
                <w:szCs w:val="18"/>
              </w:rPr>
              <w:t>3</w:t>
            </w:r>
            <w:r w:rsidRPr="00787AB7">
              <w:rPr>
                <w:rFonts w:ascii="Calibri" w:hAnsi="Calibri"/>
                <w:sz w:val="18"/>
                <w:szCs w:val="18"/>
              </w:rPr>
              <w:t>4</w:t>
            </w:r>
          </w:p>
        </w:tc>
        <w:tc>
          <w:tcPr>
            <w:tcW w:w="1586" w:type="dxa"/>
            <w:vAlign w:val="center"/>
          </w:tcPr>
          <w:p w14:paraId="347F7F2F" w14:textId="5D82943A" w:rsidR="008B2CF1" w:rsidRPr="00787AB7" w:rsidRDefault="009A1A77">
            <w:pPr>
              <w:jc w:val="right"/>
              <w:rPr>
                <w:rFonts w:ascii="Calibri" w:hAnsi="Calibri"/>
                <w:sz w:val="18"/>
                <w:szCs w:val="18"/>
              </w:rPr>
            </w:pPr>
            <w:r w:rsidRPr="00787AB7">
              <w:rPr>
                <w:rFonts w:ascii="Calibri" w:hAnsi="Calibri"/>
                <w:sz w:val="18"/>
                <w:szCs w:val="18"/>
              </w:rPr>
              <w:t>6 937</w:t>
            </w:r>
          </w:p>
        </w:tc>
        <w:tc>
          <w:tcPr>
            <w:tcW w:w="1587" w:type="dxa"/>
            <w:vAlign w:val="center"/>
          </w:tcPr>
          <w:p w14:paraId="1A3F0D9C" w14:textId="7B519E37" w:rsidR="008B2CF1" w:rsidRPr="00787AB7" w:rsidRDefault="009A1A77">
            <w:pPr>
              <w:jc w:val="right"/>
              <w:rPr>
                <w:rFonts w:ascii="Calibri" w:hAnsi="Calibri"/>
                <w:sz w:val="18"/>
                <w:szCs w:val="18"/>
              </w:rPr>
            </w:pPr>
            <w:r w:rsidRPr="00787AB7">
              <w:rPr>
                <w:rFonts w:ascii="Calibri" w:hAnsi="Calibri"/>
                <w:sz w:val="18"/>
                <w:szCs w:val="18"/>
              </w:rPr>
              <w:t>13</w:t>
            </w:r>
            <w:r w:rsidR="00A058CA">
              <w:rPr>
                <w:rFonts w:ascii="Calibri" w:hAnsi="Calibri"/>
                <w:sz w:val="18"/>
                <w:szCs w:val="18"/>
              </w:rPr>
              <w:t>1 373</w:t>
            </w:r>
          </w:p>
        </w:tc>
      </w:tr>
    </w:tbl>
    <w:p w14:paraId="30A6F54B" w14:textId="00849BE1" w:rsidR="006351BD" w:rsidRPr="00787AB7" w:rsidRDefault="006351BD" w:rsidP="00447B07">
      <w:pPr>
        <w:jc w:val="both"/>
        <w:rPr>
          <w:rFonts w:asciiTheme="minorHAnsi" w:hAnsiTheme="minorHAnsi"/>
        </w:rPr>
      </w:pPr>
    </w:p>
    <w:p w14:paraId="395A9BE8" w14:textId="77777777" w:rsidR="00C51ED7" w:rsidRPr="00C51ED7" w:rsidRDefault="009A1A77" w:rsidP="00C51ED7">
      <w:pPr>
        <w:jc w:val="both"/>
        <w:rPr>
          <w:rFonts w:asciiTheme="minorHAnsi" w:hAnsiTheme="minorHAnsi"/>
          <w:b/>
        </w:rPr>
      </w:pPr>
      <w:r w:rsidRPr="00787AB7">
        <w:rPr>
          <w:rFonts w:asciiTheme="minorHAnsi" w:hAnsiTheme="minorHAnsi"/>
        </w:rPr>
        <w:t xml:space="preserve">A 2018. évi Üzleti Terv a </w:t>
      </w:r>
      <w:r w:rsidRPr="00787AB7">
        <w:rPr>
          <w:rFonts w:asciiTheme="minorHAnsi" w:hAnsiTheme="minorHAnsi"/>
          <w:b/>
        </w:rPr>
        <w:t>Megrendelő által előírt tervezési premisszák szerint észszerű nyereség nélkül került összeállításra</w:t>
      </w:r>
      <w:r w:rsidRPr="00787AB7">
        <w:rPr>
          <w:rFonts w:asciiTheme="minorHAnsi" w:hAnsiTheme="minorHAnsi"/>
        </w:rPr>
        <w:t>. A BKV Zrt. 2018. évi</w:t>
      </w:r>
      <w:r w:rsidRPr="00787AB7">
        <w:rPr>
          <w:rFonts w:asciiTheme="minorHAnsi" w:hAnsiTheme="minorHAnsi"/>
          <w:b/>
        </w:rPr>
        <w:t xml:space="preserve"> közlekedési célú beruházási kerete 8 milliárd Ft értékben került meghatározásra, melyre 685 millió Ft </w:t>
      </w:r>
      <w:r w:rsidR="00A67029" w:rsidRPr="00A058CA">
        <w:rPr>
          <w:rFonts w:asciiTheme="minorHAnsi" w:hAnsiTheme="minorHAnsi"/>
        </w:rPr>
        <w:t xml:space="preserve">értékben </w:t>
      </w:r>
      <w:r w:rsidRPr="00787AB7">
        <w:rPr>
          <w:rFonts w:asciiTheme="minorHAnsi" w:hAnsiTheme="minorHAnsi"/>
        </w:rPr>
        <w:t xml:space="preserve">a 2018. évi kompenzációs díj, </w:t>
      </w:r>
      <w:r w:rsidR="00B307D8">
        <w:rPr>
          <w:rFonts w:asciiTheme="minorHAnsi" w:hAnsiTheme="minorHAnsi"/>
        </w:rPr>
        <w:t xml:space="preserve">valamint a fennmaradó összegre </w:t>
      </w:r>
      <w:r w:rsidRPr="00787AB7">
        <w:rPr>
          <w:rFonts w:asciiTheme="minorHAnsi" w:hAnsiTheme="minorHAnsi"/>
          <w:b/>
        </w:rPr>
        <w:t>a 2017. év alulfinanszírozottság értéke nyújt fedezetet</w:t>
      </w:r>
      <w:r w:rsidR="00C51ED7" w:rsidRPr="00C51ED7">
        <w:rPr>
          <w:rFonts w:asciiTheme="minorHAnsi" w:hAnsiTheme="minorHAnsi"/>
          <w:b/>
          <w:bCs/>
        </w:rPr>
        <w:t>, előzetes tulajdonosi és közlekedésszervezői jóváhagyást követően.</w:t>
      </w:r>
    </w:p>
    <w:p w14:paraId="43FBBAA7" w14:textId="641BEF24" w:rsidR="00553387" w:rsidRPr="00C51ED7" w:rsidRDefault="00C51ED7" w:rsidP="00C51ED7">
      <w:pPr>
        <w:jc w:val="both"/>
        <w:rPr>
          <w:rFonts w:asciiTheme="minorHAnsi" w:hAnsiTheme="minorHAnsi"/>
        </w:rPr>
      </w:pPr>
      <w:r w:rsidRPr="00C51ED7">
        <w:rPr>
          <w:rFonts w:asciiTheme="minorHAnsi" w:hAnsiTheme="minorHAnsi"/>
        </w:rPr>
        <w:t>A közlekedési célú beruházási keret mellett ugyanakkor megjelenik a korábbi évek észszerű nyeresége és alulfinanszírozottsága terhére megvalósításra kerülő pótberuházási terv, ami lehetőséget biztosít többlet beruházások elvégzésére – szintén előzetes tulajdonosi és közlekedésszervezői jóváhagyást követően –, valamint folytatódnak a külső finanszírozásban megvalósuló nagyprojektek is – elsősorban az M3 metróvonal rekonstrukciója.</w:t>
      </w:r>
    </w:p>
    <w:p w14:paraId="2B34676B" w14:textId="77777777" w:rsidR="00553387" w:rsidRPr="00C51ED7" w:rsidRDefault="00553387" w:rsidP="00076264">
      <w:pPr>
        <w:jc w:val="both"/>
        <w:rPr>
          <w:rFonts w:asciiTheme="minorHAnsi" w:hAnsiTheme="minorHAnsi"/>
        </w:rPr>
      </w:pPr>
    </w:p>
    <w:p w14:paraId="14704A0B" w14:textId="0C521816" w:rsidR="00076264" w:rsidRPr="00787AB7" w:rsidRDefault="009A1A77" w:rsidP="00076264">
      <w:pPr>
        <w:jc w:val="both"/>
        <w:rPr>
          <w:rFonts w:asciiTheme="minorHAnsi" w:hAnsiTheme="minorHAnsi"/>
        </w:rPr>
      </w:pPr>
      <w:r w:rsidRPr="00787AB7">
        <w:rPr>
          <w:rFonts w:asciiTheme="minorHAnsi" w:hAnsiTheme="minorHAnsi"/>
        </w:rPr>
        <w:t>A megkapott feltételrendszer előírta, hogy a bérek tervezésénél az adott Társaságra vonatkozó szakszervezeti (vagy egyéb érdekképviseleti szervezettel kötött) bérmegállapodásnak megfelelően kerüljön elkészítésre az Üzleti Terv. A tárgyalások eredményeképpen megszületett a 2018. évre vonatkozó bérmegállapodás, melyet a Társaság 2018. évi Üzleti Terve tartalmaz, hatásai pedig a humán fejezet alatt kerülnek bemutatásra.</w:t>
      </w:r>
    </w:p>
    <w:p w14:paraId="32D53721" w14:textId="77777777" w:rsidR="00076264" w:rsidRPr="00787AB7" w:rsidRDefault="00076264" w:rsidP="00076264">
      <w:pPr>
        <w:jc w:val="both"/>
        <w:rPr>
          <w:rFonts w:asciiTheme="minorHAnsi" w:hAnsiTheme="minorHAnsi"/>
          <w:b/>
        </w:rPr>
      </w:pPr>
    </w:p>
    <w:p w14:paraId="38B0AA21" w14:textId="1BB15EC1" w:rsidR="00EE1AE6" w:rsidRPr="00787AB7" w:rsidRDefault="009A1A77" w:rsidP="00EC796F">
      <w:pPr>
        <w:jc w:val="both"/>
        <w:rPr>
          <w:rFonts w:asciiTheme="minorHAnsi" w:hAnsiTheme="minorHAnsi"/>
        </w:rPr>
      </w:pPr>
      <w:r w:rsidRPr="00787AB7">
        <w:rPr>
          <w:rFonts w:asciiTheme="minorHAnsi" w:hAnsiTheme="minorHAnsi"/>
        </w:rPr>
        <w:t xml:space="preserve">A fentiek értelmében a </w:t>
      </w:r>
      <w:r w:rsidRPr="00787AB7">
        <w:rPr>
          <w:rFonts w:asciiTheme="minorHAnsi" w:hAnsiTheme="minorHAnsi"/>
          <w:b/>
        </w:rPr>
        <w:t>BKV Zrt. 2018. évi Üzleti Terve tartalmazza a béremelés</w:t>
      </w:r>
      <w:r w:rsidR="00994293">
        <w:rPr>
          <w:rFonts w:asciiTheme="minorHAnsi" w:hAnsiTheme="minorHAnsi"/>
          <w:b/>
        </w:rPr>
        <w:t xml:space="preserve"> hatásá</w:t>
      </w:r>
      <w:r w:rsidRPr="00787AB7">
        <w:rPr>
          <w:rFonts w:asciiTheme="minorHAnsi" w:hAnsiTheme="minorHAnsi"/>
          <w:b/>
        </w:rPr>
        <w:t xml:space="preserve">t </w:t>
      </w:r>
      <w:r w:rsidR="00830C13">
        <w:rPr>
          <w:rFonts w:asciiTheme="minorHAnsi" w:hAnsiTheme="minorHAnsi"/>
          <w:b/>
        </w:rPr>
        <w:t xml:space="preserve">6 972 millió Ft értékben, </w:t>
      </w:r>
      <w:r w:rsidR="00126C28">
        <w:rPr>
          <w:rFonts w:asciiTheme="minorHAnsi" w:hAnsiTheme="minorHAnsi"/>
          <w:b/>
        </w:rPr>
        <w:t>továbbá</w:t>
      </w:r>
      <w:r w:rsidR="00A67029" w:rsidRPr="00A058CA">
        <w:rPr>
          <w:rFonts w:asciiTheme="minorHAnsi" w:hAnsiTheme="minorHAnsi"/>
          <w:b/>
        </w:rPr>
        <w:t xml:space="preserve"> </w:t>
      </w:r>
      <w:r w:rsidRPr="00787AB7">
        <w:rPr>
          <w:rFonts w:asciiTheme="minorHAnsi" w:hAnsiTheme="minorHAnsi"/>
          <w:b/>
        </w:rPr>
        <w:t xml:space="preserve">685 millió Ft beruházási forrást </w:t>
      </w:r>
      <w:r w:rsidR="00830C13">
        <w:rPr>
          <w:rFonts w:asciiTheme="minorHAnsi" w:hAnsiTheme="minorHAnsi"/>
          <w:b/>
        </w:rPr>
        <w:t xml:space="preserve">is </w:t>
      </w:r>
      <w:r w:rsidRPr="00787AB7">
        <w:rPr>
          <w:rFonts w:asciiTheme="minorHAnsi" w:hAnsiTheme="minorHAnsi"/>
          <w:b/>
        </w:rPr>
        <w:t>magában</w:t>
      </w:r>
      <w:r w:rsidR="00830C13">
        <w:rPr>
          <w:rFonts w:asciiTheme="minorHAnsi" w:hAnsiTheme="minorHAnsi"/>
          <w:b/>
        </w:rPr>
        <w:t xml:space="preserve"> foglal</w:t>
      </w:r>
      <w:r w:rsidRPr="00787AB7">
        <w:rPr>
          <w:rFonts w:asciiTheme="minorHAnsi" w:hAnsiTheme="minorHAnsi"/>
          <w:b/>
        </w:rPr>
        <w:t>, így a terv 116</w:t>
      </w:r>
      <w:r w:rsidR="003730CE" w:rsidRPr="001F3043">
        <w:rPr>
          <w:rFonts w:asciiTheme="minorHAnsi" w:hAnsiTheme="minorHAnsi"/>
          <w:b/>
        </w:rPr>
        <w:t> </w:t>
      </w:r>
      <w:r w:rsidRPr="00787AB7">
        <w:rPr>
          <w:rFonts w:asciiTheme="minorHAnsi" w:hAnsiTheme="minorHAnsi"/>
          <w:b/>
        </w:rPr>
        <w:t>024</w:t>
      </w:r>
      <w:r w:rsidR="00994293">
        <w:rPr>
          <w:rFonts w:asciiTheme="minorHAnsi" w:hAnsiTheme="minorHAnsi"/>
          <w:b/>
        </w:rPr>
        <w:t> </w:t>
      </w:r>
      <w:r w:rsidRPr="00787AB7">
        <w:rPr>
          <w:rFonts w:asciiTheme="minorHAnsi" w:hAnsiTheme="minorHAnsi"/>
          <w:b/>
        </w:rPr>
        <w:t>millió</w:t>
      </w:r>
      <w:r w:rsidR="00994293">
        <w:rPr>
          <w:rFonts w:asciiTheme="minorHAnsi" w:hAnsiTheme="minorHAnsi"/>
          <w:b/>
        </w:rPr>
        <w:t> </w:t>
      </w:r>
      <w:r w:rsidRPr="00787AB7">
        <w:rPr>
          <w:rFonts w:asciiTheme="minorHAnsi" w:hAnsiTheme="minorHAnsi"/>
          <w:b/>
        </w:rPr>
        <w:t>Ft összegű kompenzációs díj mellett került összeállításra.</w:t>
      </w:r>
      <w:r w:rsidRPr="00787AB7">
        <w:rPr>
          <w:rFonts w:asciiTheme="minorHAnsi" w:hAnsiTheme="minorHAnsi"/>
        </w:rPr>
        <w:t xml:space="preserve"> A napi működés fedezete a tervek alapján rendelkezésre áll</w:t>
      </w:r>
      <w:r w:rsidR="00EC796F">
        <w:rPr>
          <w:rFonts w:asciiTheme="minorHAnsi" w:hAnsiTheme="minorHAnsi"/>
        </w:rPr>
        <w:t>, a</w:t>
      </w:r>
      <w:r w:rsidR="00EC796F" w:rsidRPr="00EC796F">
        <w:rPr>
          <w:rFonts w:asciiTheme="minorHAnsi" w:hAnsiTheme="minorHAnsi"/>
        </w:rPr>
        <w:t xml:space="preserve"> terv szinten megjelenő</w:t>
      </w:r>
      <w:r w:rsidR="00EC796F">
        <w:rPr>
          <w:rFonts w:asciiTheme="minorHAnsi" w:hAnsiTheme="minorHAnsi"/>
        </w:rPr>
        <w:t xml:space="preserve"> 15</w:t>
      </w:r>
      <w:r w:rsidR="00830C13">
        <w:rPr>
          <w:rFonts w:asciiTheme="minorHAnsi" w:hAnsiTheme="minorHAnsi"/>
        </w:rPr>
        <w:t> </w:t>
      </w:r>
      <w:r w:rsidR="00EC796F">
        <w:rPr>
          <w:rFonts w:asciiTheme="minorHAnsi" w:hAnsiTheme="minorHAnsi"/>
        </w:rPr>
        <w:t>073</w:t>
      </w:r>
      <w:r w:rsidR="00830C13">
        <w:rPr>
          <w:rFonts w:asciiTheme="minorHAnsi" w:hAnsiTheme="minorHAnsi"/>
        </w:rPr>
        <w:t> </w:t>
      </w:r>
      <w:r w:rsidR="00EC796F">
        <w:rPr>
          <w:rFonts w:asciiTheme="minorHAnsi" w:hAnsiTheme="minorHAnsi"/>
        </w:rPr>
        <w:t>millió</w:t>
      </w:r>
      <w:r w:rsidR="00830C13">
        <w:rPr>
          <w:rFonts w:asciiTheme="minorHAnsi" w:hAnsiTheme="minorHAnsi"/>
        </w:rPr>
        <w:t> </w:t>
      </w:r>
      <w:r w:rsidR="00EC796F">
        <w:rPr>
          <w:rFonts w:asciiTheme="minorHAnsi" w:hAnsiTheme="minorHAnsi"/>
        </w:rPr>
        <w:t xml:space="preserve">Ft </w:t>
      </w:r>
      <w:r w:rsidR="00EC796F" w:rsidRPr="00EC796F">
        <w:rPr>
          <w:rFonts w:asciiTheme="minorHAnsi" w:hAnsiTheme="minorHAnsi"/>
        </w:rPr>
        <w:t>veszteség a működés fenntartását és</w:t>
      </w:r>
      <w:r w:rsidR="00EC796F">
        <w:rPr>
          <w:rFonts w:asciiTheme="minorHAnsi" w:hAnsiTheme="minorHAnsi"/>
        </w:rPr>
        <w:t xml:space="preserve"> stabilitását nem veszélyezteti. A</w:t>
      </w:r>
      <w:r w:rsidR="00EC796F" w:rsidRPr="00EC796F">
        <w:rPr>
          <w:rFonts w:asciiTheme="minorHAnsi" w:hAnsiTheme="minorHAnsi"/>
        </w:rPr>
        <w:t xml:space="preserve"> veszteség kizárólag a nem finanszírozott értékcsökkenési leírás következtében alakul ki</w:t>
      </w:r>
      <w:r w:rsidR="00830C13">
        <w:rPr>
          <w:rFonts w:asciiTheme="minorHAnsi" w:hAnsiTheme="minorHAnsi"/>
        </w:rPr>
        <w:t>.</w:t>
      </w:r>
      <w:r w:rsidR="00EC796F" w:rsidRPr="00EC796F">
        <w:rPr>
          <w:rFonts w:asciiTheme="minorHAnsi" w:hAnsiTheme="minorHAnsi"/>
        </w:rPr>
        <w:t xml:space="preserve"> </w:t>
      </w:r>
      <w:r w:rsidR="00830C13">
        <w:rPr>
          <w:rFonts w:asciiTheme="minorHAnsi" w:hAnsiTheme="minorHAnsi"/>
        </w:rPr>
        <w:t xml:space="preserve">A </w:t>
      </w:r>
      <w:r w:rsidR="00EC796F" w:rsidRPr="00EC796F">
        <w:rPr>
          <w:rFonts w:asciiTheme="minorHAnsi" w:hAnsiTheme="minorHAnsi"/>
        </w:rPr>
        <w:t xml:space="preserve">Társaság stabil működési kereteit mutatja, hogy az adó- és kamatfizetés, valamint az értékcsökkenés nélkül számolt eredmény </w:t>
      </w:r>
      <w:r w:rsidR="00C51ED7">
        <w:rPr>
          <w:rFonts w:asciiTheme="minorHAnsi" w:hAnsiTheme="minorHAnsi"/>
        </w:rPr>
        <w:t>eléri</w:t>
      </w:r>
      <w:r w:rsidR="00EC796F">
        <w:rPr>
          <w:rFonts w:asciiTheme="minorHAnsi" w:hAnsiTheme="minorHAnsi"/>
        </w:rPr>
        <w:t xml:space="preserve"> az 1 milliárd Ft-ot. </w:t>
      </w:r>
      <w:r w:rsidR="00EC796F" w:rsidRPr="00EC796F">
        <w:rPr>
          <w:rFonts w:asciiTheme="minorHAnsi" w:hAnsiTheme="minorHAnsi"/>
        </w:rPr>
        <w:t xml:space="preserve">A BKV Zrt. terv szinten megjelenő veszteségének megítélését befolyásolja, hogy a támogatásból megvalósuló </w:t>
      </w:r>
      <w:r w:rsidR="00EC796F" w:rsidRPr="00EC796F">
        <w:rPr>
          <w:rFonts w:asciiTheme="minorHAnsi" w:hAnsiTheme="minorHAnsi"/>
        </w:rPr>
        <w:lastRenderedPageBreak/>
        <w:t>beruházások következtében</w:t>
      </w:r>
      <w:r w:rsidR="0045593A">
        <w:rPr>
          <w:rFonts w:asciiTheme="minorHAnsi" w:hAnsiTheme="minorHAnsi"/>
        </w:rPr>
        <w:t xml:space="preserve"> a</w:t>
      </w:r>
      <w:r w:rsidR="00EC796F" w:rsidRPr="00EC796F">
        <w:rPr>
          <w:rFonts w:asciiTheme="minorHAnsi" w:hAnsiTheme="minorHAnsi"/>
        </w:rPr>
        <w:t xml:space="preserve"> Társaság </w:t>
      </w:r>
      <w:r w:rsidR="00EC796F" w:rsidRPr="00EC796F">
        <w:rPr>
          <w:rFonts w:asciiTheme="minorHAnsi" w:hAnsiTheme="minorHAnsi"/>
          <w:b/>
        </w:rPr>
        <w:t>saját tőkéje nem csökken</w:t>
      </w:r>
      <w:r w:rsidR="00EC796F">
        <w:rPr>
          <w:rFonts w:asciiTheme="minorHAnsi" w:hAnsiTheme="minorHAnsi"/>
          <w:b/>
        </w:rPr>
        <w:t xml:space="preserve"> a tőketartalékot </w:t>
      </w:r>
      <w:r w:rsidR="00EC796F" w:rsidRPr="00EC796F">
        <w:rPr>
          <w:rFonts w:asciiTheme="minorHAnsi" w:hAnsiTheme="minorHAnsi"/>
          <w:b/>
        </w:rPr>
        <w:t>növelő fejlesztési támogatások</w:t>
      </w:r>
      <w:r w:rsidR="00EC796F">
        <w:rPr>
          <w:rFonts w:asciiTheme="minorHAnsi" w:hAnsiTheme="minorHAnsi"/>
        </w:rPr>
        <w:t xml:space="preserve"> miatt, melyek összege </w:t>
      </w:r>
      <w:r w:rsidR="00EC796F" w:rsidRPr="00EC796F">
        <w:rPr>
          <w:rFonts w:asciiTheme="minorHAnsi" w:hAnsiTheme="minorHAnsi"/>
        </w:rPr>
        <w:t>meghaladja az eredménytartalék csökkenés</w:t>
      </w:r>
      <w:r w:rsidR="00EC796F">
        <w:rPr>
          <w:rFonts w:asciiTheme="minorHAnsi" w:hAnsiTheme="minorHAnsi"/>
        </w:rPr>
        <w:t>é</w:t>
      </w:r>
      <w:r w:rsidR="00EC796F" w:rsidRPr="00EC796F">
        <w:rPr>
          <w:rFonts w:asciiTheme="minorHAnsi" w:hAnsiTheme="minorHAnsi"/>
        </w:rPr>
        <w:t>t.</w:t>
      </w:r>
    </w:p>
    <w:p w14:paraId="6C7B9638" w14:textId="77777777" w:rsidR="00E50474" w:rsidRPr="00787AB7" w:rsidRDefault="00E50474" w:rsidP="00E50474">
      <w:pPr>
        <w:jc w:val="both"/>
        <w:rPr>
          <w:rFonts w:asciiTheme="minorHAnsi" w:hAnsiTheme="minorHAnsi"/>
        </w:rPr>
      </w:pPr>
    </w:p>
    <w:p w14:paraId="5C3EC134" w14:textId="15D4A660" w:rsidR="00553387" w:rsidRPr="00787AB7" w:rsidRDefault="009A1A77" w:rsidP="00EC796F">
      <w:pPr>
        <w:jc w:val="both"/>
        <w:rPr>
          <w:rFonts w:asciiTheme="minorHAnsi" w:hAnsiTheme="minorHAnsi"/>
          <w:b/>
        </w:rPr>
      </w:pPr>
      <w:r w:rsidRPr="00787AB7">
        <w:rPr>
          <w:rFonts w:asciiTheme="minorHAnsi" w:hAnsiTheme="minorHAnsi"/>
        </w:rPr>
        <w:t xml:space="preserve">Összességében megállapítható, hogy a BKV Zrt. 2018. évi kompenzációs igénye </w:t>
      </w:r>
      <w:r w:rsidR="003730CE">
        <w:rPr>
          <w:rFonts w:asciiTheme="minorHAnsi" w:hAnsiTheme="minorHAnsi"/>
        </w:rPr>
        <w:t>9,3</w:t>
      </w:r>
      <w:r w:rsidRPr="00787AB7">
        <w:rPr>
          <w:rFonts w:asciiTheme="minorHAnsi" w:hAnsiTheme="minorHAnsi"/>
        </w:rPr>
        <w:t xml:space="preserve"> milliárd Ft-tal haladja meg a 2017. évi </w:t>
      </w:r>
      <w:r w:rsidR="003730CE">
        <w:rPr>
          <w:rFonts w:asciiTheme="minorHAnsi" w:hAnsiTheme="minorHAnsi"/>
        </w:rPr>
        <w:t>– alulkompenzáció</w:t>
      </w:r>
      <w:r w:rsidR="002949C3">
        <w:rPr>
          <w:rFonts w:asciiTheme="minorHAnsi" w:hAnsiTheme="minorHAnsi"/>
        </w:rPr>
        <w:t xml:space="preserve"> és észszerű nyereség</w:t>
      </w:r>
      <w:r w:rsidR="003730CE">
        <w:rPr>
          <w:rFonts w:asciiTheme="minorHAnsi" w:hAnsiTheme="minorHAnsi"/>
        </w:rPr>
        <w:t xml:space="preserve"> nélkül számolt –</w:t>
      </w:r>
      <w:r w:rsidRPr="00787AB7">
        <w:rPr>
          <w:rFonts w:asciiTheme="minorHAnsi" w:hAnsiTheme="minorHAnsi"/>
        </w:rPr>
        <w:t xml:space="preserve"> kompenzációs</w:t>
      </w:r>
      <w:r w:rsidR="003730CE">
        <w:rPr>
          <w:rFonts w:asciiTheme="minorHAnsi" w:hAnsiTheme="minorHAnsi"/>
        </w:rPr>
        <w:t xml:space="preserve"> </w:t>
      </w:r>
      <w:r w:rsidRPr="00787AB7">
        <w:rPr>
          <w:rFonts w:asciiTheme="minorHAnsi" w:hAnsiTheme="minorHAnsi"/>
        </w:rPr>
        <w:t xml:space="preserve">díjat, miközben a 2018. évi bérfejlesztés és a teljes évben folytatódó metrópótlás önmagukban 11 milliárd Ft-os emelkedést indokolnának. </w:t>
      </w:r>
    </w:p>
    <w:p w14:paraId="6E86C03B" w14:textId="77777777" w:rsidR="00E50474" w:rsidRPr="00787AB7" w:rsidRDefault="00E50474" w:rsidP="00C01296">
      <w:pPr>
        <w:jc w:val="both"/>
        <w:rPr>
          <w:rFonts w:asciiTheme="minorHAnsi" w:eastAsia="Calibri" w:hAnsiTheme="minorHAnsi"/>
        </w:rPr>
      </w:pPr>
    </w:p>
    <w:p w14:paraId="42897731" w14:textId="14269A35" w:rsidR="0066395F" w:rsidRPr="00787AB7" w:rsidRDefault="009A1A77" w:rsidP="0066395F">
      <w:pPr>
        <w:jc w:val="both"/>
        <w:rPr>
          <w:rFonts w:asciiTheme="minorHAnsi" w:eastAsia="Calibri" w:hAnsiTheme="minorHAnsi"/>
        </w:rPr>
      </w:pPr>
      <w:r w:rsidRPr="00787AB7">
        <w:rPr>
          <w:rFonts w:asciiTheme="minorHAnsi" w:eastAsia="Calibri" w:hAnsiTheme="minorHAnsi"/>
        </w:rPr>
        <w:t>A 2017. évben megkezd</w:t>
      </w:r>
      <w:r w:rsidR="00F62960">
        <w:rPr>
          <w:rFonts w:asciiTheme="minorHAnsi" w:eastAsia="Calibri" w:hAnsiTheme="minorHAnsi"/>
        </w:rPr>
        <w:t>ett</w:t>
      </w:r>
      <w:r w:rsidRPr="00787AB7">
        <w:rPr>
          <w:rFonts w:asciiTheme="minorHAnsi" w:eastAsia="Calibri" w:hAnsiTheme="minorHAnsi"/>
        </w:rPr>
        <w:t xml:space="preserve"> és a teljes 2018. évben folytatódó M3 metróvonali rekonstrukciós munkák a Megrendelő által tervezett teljesítményelvárások alapján, </w:t>
      </w:r>
      <w:r w:rsidRPr="00787AB7">
        <w:rPr>
          <w:rFonts w:asciiTheme="minorHAnsi" w:eastAsia="Calibri" w:hAnsiTheme="minorHAnsi"/>
          <w:b/>
        </w:rPr>
        <w:t>az északi szakaszon összesen 3 421 millió Ft, a déli szakaszon pedig 85</w:t>
      </w:r>
      <w:r w:rsidR="00815EC0">
        <w:rPr>
          <w:rFonts w:asciiTheme="minorHAnsi" w:eastAsia="Calibri" w:hAnsiTheme="minorHAnsi"/>
          <w:b/>
        </w:rPr>
        <w:t>2</w:t>
      </w:r>
      <w:r w:rsidRPr="00787AB7">
        <w:rPr>
          <w:rFonts w:asciiTheme="minorHAnsi" w:eastAsia="Calibri" w:hAnsiTheme="minorHAnsi"/>
          <w:b/>
        </w:rPr>
        <w:t xml:space="preserve"> millió Ft többlet ráfordítást jelentenek a Társaságnak, mely többletráfordításokat a működési finanszírozási igény már tartalmaz</w:t>
      </w:r>
      <w:r w:rsidR="00F62960">
        <w:rPr>
          <w:rFonts w:asciiTheme="minorHAnsi" w:eastAsia="Calibri" w:hAnsiTheme="minorHAnsi"/>
          <w:b/>
        </w:rPr>
        <w:t>za</w:t>
      </w:r>
      <w:r w:rsidRPr="00787AB7">
        <w:rPr>
          <w:rFonts w:asciiTheme="minorHAnsi" w:eastAsia="Calibri" w:hAnsiTheme="minorHAnsi"/>
          <w:b/>
        </w:rPr>
        <w:t xml:space="preserve">. </w:t>
      </w:r>
      <w:r w:rsidRPr="00787AB7">
        <w:rPr>
          <w:rFonts w:asciiTheme="minorHAnsi" w:eastAsia="Calibri" w:hAnsiTheme="minorHAnsi"/>
        </w:rPr>
        <w:t>A költséghatás ágazati bontása az alábbiak szerint alakul:</w:t>
      </w:r>
    </w:p>
    <w:p w14:paraId="2EAE7209" w14:textId="77777777" w:rsidR="0066395F" w:rsidRPr="00787AB7" w:rsidRDefault="0066395F" w:rsidP="0066395F">
      <w:pPr>
        <w:jc w:val="both"/>
        <w:rPr>
          <w:rFonts w:asciiTheme="minorHAnsi" w:eastAsia="Calibr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074"/>
        <w:gridCol w:w="1074"/>
        <w:gridCol w:w="1074"/>
        <w:gridCol w:w="1074"/>
        <w:gridCol w:w="1074"/>
        <w:gridCol w:w="1074"/>
        <w:gridCol w:w="1075"/>
      </w:tblGrid>
      <w:tr w:rsidR="00D24BEA" w:rsidRPr="00447A3B" w14:paraId="14AE03CC" w14:textId="77777777" w:rsidTr="00787AB7">
        <w:trPr>
          <w:trHeight w:val="732"/>
          <w:jc w:val="center"/>
        </w:trPr>
        <w:tc>
          <w:tcPr>
            <w:tcW w:w="1767" w:type="dxa"/>
            <w:tcBorders>
              <w:right w:val="double" w:sz="4" w:space="0" w:color="auto"/>
            </w:tcBorders>
            <w:shd w:val="clear" w:color="auto" w:fill="2528A3"/>
            <w:vAlign w:val="center"/>
          </w:tcPr>
          <w:p w14:paraId="755997F0" w14:textId="77777777" w:rsidR="0066395F" w:rsidRPr="00787AB7" w:rsidRDefault="009A1A77" w:rsidP="004542A6">
            <w:pPr>
              <w:rPr>
                <w:rFonts w:asciiTheme="minorHAnsi" w:hAnsiTheme="minorHAnsi"/>
                <w:b/>
                <w:bCs/>
                <w:sz w:val="20"/>
                <w:szCs w:val="20"/>
              </w:rPr>
            </w:pPr>
            <w:r w:rsidRPr="00787AB7">
              <w:rPr>
                <w:rFonts w:asciiTheme="minorHAnsi" w:hAnsiTheme="minorHAnsi"/>
                <w:b/>
                <w:sz w:val="20"/>
                <w:szCs w:val="20"/>
              </w:rPr>
              <w:t>Adatok</w:t>
            </w:r>
            <w:r w:rsidRPr="00787AB7">
              <w:rPr>
                <w:rFonts w:asciiTheme="minorHAnsi" w:hAnsiTheme="minorHAnsi"/>
                <w:b/>
                <w:sz w:val="20"/>
                <w:szCs w:val="20"/>
              </w:rPr>
              <w:br/>
              <w:t>millió Ft-ban</w:t>
            </w:r>
          </w:p>
        </w:tc>
        <w:tc>
          <w:tcPr>
            <w:tcW w:w="1074" w:type="dxa"/>
            <w:tcBorders>
              <w:left w:val="double" w:sz="4" w:space="0" w:color="auto"/>
            </w:tcBorders>
            <w:shd w:val="clear" w:color="auto" w:fill="2528A3"/>
            <w:vAlign w:val="center"/>
          </w:tcPr>
          <w:p w14:paraId="0926B5C5" w14:textId="77777777" w:rsidR="0066395F" w:rsidRPr="00787AB7" w:rsidRDefault="009A1A77" w:rsidP="004542A6">
            <w:pPr>
              <w:jc w:val="center"/>
              <w:rPr>
                <w:rFonts w:asciiTheme="minorHAnsi" w:hAnsiTheme="minorHAnsi"/>
                <w:b/>
                <w:sz w:val="20"/>
                <w:szCs w:val="20"/>
              </w:rPr>
            </w:pPr>
            <w:r w:rsidRPr="00787AB7">
              <w:rPr>
                <w:rFonts w:asciiTheme="minorHAnsi" w:hAnsiTheme="minorHAnsi"/>
                <w:b/>
                <w:sz w:val="20"/>
                <w:szCs w:val="20"/>
              </w:rPr>
              <w:t>Északi szakasz</w:t>
            </w:r>
          </w:p>
          <w:p w14:paraId="2D18097B" w14:textId="77777777" w:rsidR="0066395F" w:rsidRPr="00787AB7" w:rsidRDefault="009A1A77" w:rsidP="004542A6">
            <w:pPr>
              <w:jc w:val="center"/>
              <w:rPr>
                <w:rFonts w:asciiTheme="minorHAnsi" w:hAnsiTheme="minorHAnsi"/>
                <w:b/>
                <w:bCs/>
                <w:sz w:val="20"/>
                <w:szCs w:val="20"/>
              </w:rPr>
            </w:pPr>
            <w:r w:rsidRPr="00787AB7">
              <w:rPr>
                <w:rFonts w:asciiTheme="minorHAnsi" w:hAnsiTheme="minorHAnsi"/>
                <w:b/>
                <w:sz w:val="20"/>
                <w:szCs w:val="20"/>
              </w:rPr>
              <w:t xml:space="preserve">Metró </w:t>
            </w:r>
          </w:p>
        </w:tc>
        <w:tc>
          <w:tcPr>
            <w:tcW w:w="1074" w:type="dxa"/>
            <w:shd w:val="clear" w:color="auto" w:fill="2528A3"/>
            <w:vAlign w:val="center"/>
          </w:tcPr>
          <w:p w14:paraId="0E306F08" w14:textId="77777777" w:rsidR="0066395F" w:rsidRPr="00787AB7" w:rsidRDefault="009A1A77" w:rsidP="004542A6">
            <w:pPr>
              <w:jc w:val="center"/>
              <w:rPr>
                <w:rFonts w:asciiTheme="minorHAnsi" w:hAnsiTheme="minorHAnsi"/>
                <w:b/>
                <w:sz w:val="20"/>
                <w:szCs w:val="20"/>
              </w:rPr>
            </w:pPr>
            <w:r w:rsidRPr="00787AB7">
              <w:rPr>
                <w:rFonts w:asciiTheme="minorHAnsi" w:hAnsiTheme="minorHAnsi"/>
                <w:b/>
                <w:sz w:val="20"/>
                <w:szCs w:val="20"/>
              </w:rPr>
              <w:t>Északi szakasz</w:t>
            </w:r>
          </w:p>
          <w:p w14:paraId="732033FC" w14:textId="77777777" w:rsidR="0066395F" w:rsidRPr="00787AB7" w:rsidRDefault="009A1A77" w:rsidP="004542A6">
            <w:pPr>
              <w:jc w:val="center"/>
              <w:rPr>
                <w:rFonts w:asciiTheme="minorHAnsi" w:hAnsiTheme="minorHAnsi"/>
                <w:b/>
                <w:bCs/>
                <w:sz w:val="20"/>
                <w:szCs w:val="20"/>
              </w:rPr>
            </w:pPr>
            <w:r w:rsidRPr="00787AB7">
              <w:rPr>
                <w:rFonts w:asciiTheme="minorHAnsi" w:hAnsiTheme="minorHAnsi"/>
                <w:b/>
                <w:sz w:val="20"/>
                <w:szCs w:val="20"/>
              </w:rPr>
              <w:t>Villamos</w:t>
            </w:r>
          </w:p>
        </w:tc>
        <w:tc>
          <w:tcPr>
            <w:tcW w:w="1074" w:type="dxa"/>
            <w:tcBorders>
              <w:right w:val="double" w:sz="4" w:space="0" w:color="auto"/>
            </w:tcBorders>
            <w:shd w:val="clear" w:color="auto" w:fill="2528A3"/>
            <w:vAlign w:val="center"/>
          </w:tcPr>
          <w:p w14:paraId="35773F96" w14:textId="77777777" w:rsidR="0066395F" w:rsidRPr="00787AB7" w:rsidRDefault="009A1A77" w:rsidP="004542A6">
            <w:pPr>
              <w:jc w:val="center"/>
              <w:rPr>
                <w:rFonts w:asciiTheme="minorHAnsi" w:hAnsiTheme="minorHAnsi"/>
                <w:b/>
                <w:bCs/>
                <w:sz w:val="20"/>
                <w:szCs w:val="20"/>
              </w:rPr>
            </w:pPr>
            <w:r w:rsidRPr="00787AB7">
              <w:rPr>
                <w:rFonts w:asciiTheme="minorHAnsi" w:hAnsiTheme="minorHAnsi"/>
                <w:b/>
                <w:sz w:val="20"/>
                <w:szCs w:val="20"/>
              </w:rPr>
              <w:t>Északi szakasz Autóbusz</w:t>
            </w:r>
          </w:p>
        </w:tc>
        <w:tc>
          <w:tcPr>
            <w:tcW w:w="1074" w:type="dxa"/>
            <w:tcBorders>
              <w:left w:val="double" w:sz="4" w:space="0" w:color="auto"/>
            </w:tcBorders>
            <w:shd w:val="clear" w:color="auto" w:fill="2528A3"/>
            <w:vAlign w:val="center"/>
          </w:tcPr>
          <w:p w14:paraId="3ACF2CD8" w14:textId="77777777" w:rsidR="0066395F" w:rsidRPr="00787AB7" w:rsidRDefault="009A1A77" w:rsidP="004542A6">
            <w:pPr>
              <w:jc w:val="center"/>
              <w:rPr>
                <w:rFonts w:asciiTheme="minorHAnsi" w:hAnsiTheme="minorHAnsi"/>
                <w:b/>
                <w:sz w:val="20"/>
                <w:szCs w:val="20"/>
              </w:rPr>
            </w:pPr>
            <w:r w:rsidRPr="00787AB7">
              <w:rPr>
                <w:rFonts w:asciiTheme="minorHAnsi" w:hAnsiTheme="minorHAnsi"/>
                <w:b/>
                <w:sz w:val="20"/>
                <w:szCs w:val="20"/>
              </w:rPr>
              <w:t>Déli szakasz</w:t>
            </w:r>
          </w:p>
          <w:p w14:paraId="38F81BA8" w14:textId="77777777" w:rsidR="0066395F" w:rsidRPr="00787AB7" w:rsidRDefault="009A1A77" w:rsidP="004542A6">
            <w:pPr>
              <w:jc w:val="center"/>
              <w:rPr>
                <w:rFonts w:asciiTheme="minorHAnsi" w:hAnsiTheme="minorHAnsi"/>
                <w:b/>
                <w:bCs/>
                <w:sz w:val="20"/>
                <w:szCs w:val="20"/>
              </w:rPr>
            </w:pPr>
            <w:r w:rsidRPr="00787AB7">
              <w:rPr>
                <w:rFonts w:asciiTheme="minorHAnsi" w:hAnsiTheme="minorHAnsi"/>
                <w:b/>
                <w:sz w:val="20"/>
                <w:szCs w:val="20"/>
              </w:rPr>
              <w:t>Metró</w:t>
            </w:r>
          </w:p>
        </w:tc>
        <w:tc>
          <w:tcPr>
            <w:tcW w:w="1074" w:type="dxa"/>
            <w:shd w:val="clear" w:color="auto" w:fill="2528A3"/>
            <w:vAlign w:val="center"/>
          </w:tcPr>
          <w:p w14:paraId="2149D6EC" w14:textId="77777777" w:rsidR="0066395F" w:rsidRPr="00787AB7" w:rsidRDefault="009A1A77" w:rsidP="004542A6">
            <w:pPr>
              <w:jc w:val="center"/>
              <w:rPr>
                <w:rFonts w:asciiTheme="minorHAnsi" w:hAnsiTheme="minorHAnsi"/>
                <w:b/>
                <w:bCs/>
                <w:sz w:val="20"/>
                <w:szCs w:val="20"/>
              </w:rPr>
            </w:pPr>
            <w:r w:rsidRPr="00787AB7">
              <w:rPr>
                <w:rFonts w:asciiTheme="minorHAnsi" w:hAnsiTheme="minorHAnsi"/>
                <w:b/>
                <w:sz w:val="20"/>
                <w:szCs w:val="20"/>
              </w:rPr>
              <w:t>Déli szakasz Villamos</w:t>
            </w:r>
          </w:p>
        </w:tc>
        <w:tc>
          <w:tcPr>
            <w:tcW w:w="1074" w:type="dxa"/>
            <w:tcBorders>
              <w:right w:val="double" w:sz="4" w:space="0" w:color="auto"/>
            </w:tcBorders>
            <w:shd w:val="clear" w:color="auto" w:fill="2528A3"/>
            <w:vAlign w:val="center"/>
          </w:tcPr>
          <w:p w14:paraId="28C6DBE0" w14:textId="77777777" w:rsidR="0066395F" w:rsidRPr="00787AB7" w:rsidRDefault="009A1A77" w:rsidP="004542A6">
            <w:pPr>
              <w:jc w:val="center"/>
              <w:rPr>
                <w:rFonts w:asciiTheme="minorHAnsi" w:hAnsiTheme="minorHAnsi"/>
                <w:b/>
                <w:bCs/>
                <w:sz w:val="20"/>
                <w:szCs w:val="20"/>
              </w:rPr>
            </w:pPr>
            <w:r w:rsidRPr="00787AB7">
              <w:rPr>
                <w:rFonts w:asciiTheme="minorHAnsi" w:hAnsiTheme="minorHAnsi"/>
                <w:b/>
                <w:sz w:val="20"/>
                <w:szCs w:val="20"/>
              </w:rPr>
              <w:t>Déli szakasz Autóbusz</w:t>
            </w:r>
          </w:p>
        </w:tc>
        <w:tc>
          <w:tcPr>
            <w:tcW w:w="1075" w:type="dxa"/>
            <w:tcBorders>
              <w:left w:val="double" w:sz="4" w:space="0" w:color="auto"/>
            </w:tcBorders>
            <w:shd w:val="clear" w:color="auto" w:fill="2528A3"/>
            <w:vAlign w:val="center"/>
          </w:tcPr>
          <w:p w14:paraId="6FEDE66E" w14:textId="77777777" w:rsidR="0066395F" w:rsidRPr="00787AB7" w:rsidRDefault="009A1A77" w:rsidP="004542A6">
            <w:pPr>
              <w:jc w:val="center"/>
              <w:rPr>
                <w:rFonts w:asciiTheme="minorHAnsi" w:hAnsiTheme="minorHAnsi"/>
                <w:b/>
                <w:bCs/>
                <w:sz w:val="20"/>
                <w:szCs w:val="20"/>
              </w:rPr>
            </w:pPr>
            <w:r w:rsidRPr="00787AB7">
              <w:rPr>
                <w:rFonts w:asciiTheme="minorHAnsi" w:hAnsiTheme="minorHAnsi"/>
                <w:b/>
                <w:sz w:val="20"/>
                <w:szCs w:val="20"/>
              </w:rPr>
              <w:t>Összesen</w:t>
            </w:r>
          </w:p>
        </w:tc>
      </w:tr>
      <w:tr w:rsidR="00815EC0" w:rsidRPr="00447A3B" w14:paraId="4558A2AE" w14:textId="77777777" w:rsidTr="00787AB7">
        <w:trPr>
          <w:trHeight w:val="732"/>
          <w:jc w:val="center"/>
        </w:trPr>
        <w:tc>
          <w:tcPr>
            <w:tcW w:w="1767" w:type="dxa"/>
            <w:tcBorders>
              <w:right w:val="double" w:sz="4" w:space="0" w:color="auto"/>
            </w:tcBorders>
            <w:vAlign w:val="center"/>
          </w:tcPr>
          <w:p w14:paraId="72D46A12" w14:textId="77777777" w:rsidR="00815EC0" w:rsidRPr="00787AB7" w:rsidRDefault="009A1A77" w:rsidP="004542A6">
            <w:pPr>
              <w:rPr>
                <w:rFonts w:asciiTheme="minorHAnsi" w:hAnsiTheme="minorHAnsi"/>
                <w:b/>
                <w:bCs/>
                <w:sz w:val="18"/>
                <w:szCs w:val="18"/>
              </w:rPr>
            </w:pPr>
            <w:r w:rsidRPr="00787AB7">
              <w:rPr>
                <w:rFonts w:asciiTheme="minorHAnsi" w:hAnsiTheme="minorHAnsi"/>
                <w:sz w:val="18"/>
                <w:szCs w:val="18"/>
              </w:rPr>
              <w:t>Anyagjellegű ráfordítások (energiaköltséggel)</w:t>
            </w:r>
          </w:p>
        </w:tc>
        <w:tc>
          <w:tcPr>
            <w:tcW w:w="1074" w:type="dxa"/>
            <w:tcBorders>
              <w:left w:val="double" w:sz="4" w:space="0" w:color="auto"/>
            </w:tcBorders>
            <w:vAlign w:val="center"/>
          </w:tcPr>
          <w:p w14:paraId="59F620E2" w14:textId="2E7A853C"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093</w:t>
            </w:r>
          </w:p>
        </w:tc>
        <w:tc>
          <w:tcPr>
            <w:tcW w:w="1074" w:type="dxa"/>
            <w:vAlign w:val="center"/>
          </w:tcPr>
          <w:p w14:paraId="5258711E" w14:textId="777751AE"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189</w:t>
            </w:r>
          </w:p>
        </w:tc>
        <w:tc>
          <w:tcPr>
            <w:tcW w:w="1074" w:type="dxa"/>
            <w:tcBorders>
              <w:right w:val="double" w:sz="4" w:space="0" w:color="auto"/>
            </w:tcBorders>
            <w:shd w:val="clear" w:color="auto" w:fill="auto"/>
            <w:vAlign w:val="center"/>
          </w:tcPr>
          <w:p w14:paraId="25F85EC5" w14:textId="13E79EEF"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2</w:t>
            </w:r>
            <w:r w:rsidR="00815EC0">
              <w:rPr>
                <w:rFonts w:asciiTheme="minorHAnsi" w:hAnsiTheme="minorHAnsi" w:cs="Arial"/>
                <w:sz w:val="18"/>
                <w:szCs w:val="18"/>
              </w:rPr>
              <w:t xml:space="preserve"> </w:t>
            </w:r>
            <w:r w:rsidRPr="00787AB7">
              <w:rPr>
                <w:rFonts w:asciiTheme="minorHAnsi" w:hAnsiTheme="minorHAnsi" w:cs="Arial"/>
                <w:sz w:val="18"/>
                <w:szCs w:val="18"/>
              </w:rPr>
              <w:t>523</w:t>
            </w:r>
          </w:p>
        </w:tc>
        <w:tc>
          <w:tcPr>
            <w:tcW w:w="1074" w:type="dxa"/>
            <w:tcBorders>
              <w:left w:val="double" w:sz="4" w:space="0" w:color="auto"/>
            </w:tcBorders>
            <w:shd w:val="clear" w:color="auto" w:fill="auto"/>
            <w:vAlign w:val="center"/>
          </w:tcPr>
          <w:p w14:paraId="4458815C" w14:textId="37C9020E"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-185</w:t>
            </w:r>
          </w:p>
        </w:tc>
        <w:tc>
          <w:tcPr>
            <w:tcW w:w="1074" w:type="dxa"/>
            <w:vAlign w:val="center"/>
          </w:tcPr>
          <w:p w14:paraId="12677F71" w14:textId="331C4762"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36</w:t>
            </w:r>
          </w:p>
        </w:tc>
        <w:tc>
          <w:tcPr>
            <w:tcW w:w="1074" w:type="dxa"/>
            <w:tcBorders>
              <w:right w:val="double" w:sz="4" w:space="0" w:color="auto"/>
            </w:tcBorders>
            <w:vAlign w:val="center"/>
          </w:tcPr>
          <w:p w14:paraId="2790BD70" w14:textId="026443A3"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523</w:t>
            </w:r>
          </w:p>
        </w:tc>
        <w:tc>
          <w:tcPr>
            <w:tcW w:w="1075" w:type="dxa"/>
            <w:tcBorders>
              <w:left w:val="double" w:sz="4" w:space="0" w:color="auto"/>
            </w:tcBorders>
            <w:vAlign w:val="center"/>
          </w:tcPr>
          <w:p w14:paraId="76C02BAE" w14:textId="11041F47"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993</w:t>
            </w:r>
          </w:p>
        </w:tc>
      </w:tr>
      <w:tr w:rsidR="00815EC0" w:rsidRPr="00447A3B" w14:paraId="457E2F73" w14:textId="77777777" w:rsidTr="00787AB7">
        <w:trPr>
          <w:trHeight w:val="732"/>
          <w:jc w:val="center"/>
        </w:trPr>
        <w:tc>
          <w:tcPr>
            <w:tcW w:w="1767" w:type="dxa"/>
            <w:tcBorders>
              <w:right w:val="double" w:sz="4" w:space="0" w:color="auto"/>
            </w:tcBorders>
            <w:vAlign w:val="center"/>
          </w:tcPr>
          <w:p w14:paraId="7465B969" w14:textId="77777777" w:rsidR="00815EC0" w:rsidRPr="00787AB7" w:rsidRDefault="009A1A77" w:rsidP="004542A6">
            <w:pPr>
              <w:rPr>
                <w:rFonts w:asciiTheme="minorHAnsi" w:hAnsiTheme="minorHAnsi"/>
                <w:b/>
                <w:bCs/>
                <w:sz w:val="18"/>
                <w:szCs w:val="18"/>
              </w:rPr>
            </w:pPr>
            <w:r w:rsidRPr="00787AB7">
              <w:rPr>
                <w:rFonts w:asciiTheme="minorHAnsi" w:hAnsiTheme="minorHAnsi"/>
                <w:sz w:val="18"/>
                <w:szCs w:val="18"/>
              </w:rPr>
              <w:t xml:space="preserve">Személyi jellegű ráfordítások </w:t>
            </w:r>
          </w:p>
        </w:tc>
        <w:tc>
          <w:tcPr>
            <w:tcW w:w="1074" w:type="dxa"/>
            <w:tcBorders>
              <w:left w:val="double" w:sz="4" w:space="0" w:color="auto"/>
            </w:tcBorders>
            <w:vAlign w:val="center"/>
          </w:tcPr>
          <w:p w14:paraId="7D86E6EE" w14:textId="74AEB74D"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-349</w:t>
            </w:r>
          </w:p>
        </w:tc>
        <w:tc>
          <w:tcPr>
            <w:tcW w:w="1074" w:type="dxa"/>
            <w:vAlign w:val="center"/>
          </w:tcPr>
          <w:p w14:paraId="3B5626FB" w14:textId="175D6715"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165</w:t>
            </w:r>
          </w:p>
        </w:tc>
        <w:tc>
          <w:tcPr>
            <w:tcW w:w="1074" w:type="dxa"/>
            <w:tcBorders>
              <w:right w:val="double" w:sz="4" w:space="0" w:color="auto"/>
            </w:tcBorders>
            <w:shd w:val="clear" w:color="auto" w:fill="auto"/>
            <w:vAlign w:val="center"/>
          </w:tcPr>
          <w:p w14:paraId="73224206" w14:textId="738B8D65"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986</w:t>
            </w:r>
          </w:p>
        </w:tc>
        <w:tc>
          <w:tcPr>
            <w:tcW w:w="1074" w:type="dxa"/>
            <w:tcBorders>
              <w:left w:val="double" w:sz="4" w:space="0" w:color="auto"/>
            </w:tcBorders>
            <w:shd w:val="clear" w:color="auto" w:fill="auto"/>
            <w:vAlign w:val="center"/>
          </w:tcPr>
          <w:p w14:paraId="044BCE07" w14:textId="4BBC5CA5"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-99</w:t>
            </w:r>
          </w:p>
        </w:tc>
        <w:tc>
          <w:tcPr>
            <w:tcW w:w="1074" w:type="dxa"/>
            <w:vAlign w:val="center"/>
          </w:tcPr>
          <w:p w14:paraId="6B2BA11B" w14:textId="01A67AFF"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32</w:t>
            </w:r>
          </w:p>
        </w:tc>
        <w:tc>
          <w:tcPr>
            <w:tcW w:w="1074" w:type="dxa"/>
            <w:tcBorders>
              <w:right w:val="double" w:sz="4" w:space="0" w:color="auto"/>
            </w:tcBorders>
            <w:vAlign w:val="center"/>
          </w:tcPr>
          <w:p w14:paraId="03D07C5A" w14:textId="437EA871"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545</w:t>
            </w:r>
          </w:p>
        </w:tc>
        <w:tc>
          <w:tcPr>
            <w:tcW w:w="1075" w:type="dxa"/>
            <w:tcBorders>
              <w:left w:val="double" w:sz="4" w:space="0" w:color="auto"/>
            </w:tcBorders>
            <w:vAlign w:val="center"/>
          </w:tcPr>
          <w:p w14:paraId="703F3FC4" w14:textId="516CB79E"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2</w:t>
            </w:r>
            <w:r w:rsidR="00815EC0">
              <w:rPr>
                <w:rFonts w:asciiTheme="minorHAnsi" w:hAnsiTheme="minorHAnsi" w:cs="Arial"/>
                <w:sz w:val="18"/>
                <w:szCs w:val="18"/>
              </w:rPr>
              <w:t xml:space="preserve"> </w:t>
            </w:r>
            <w:r w:rsidRPr="00787AB7">
              <w:rPr>
                <w:rFonts w:asciiTheme="minorHAnsi" w:hAnsiTheme="minorHAnsi" w:cs="Arial"/>
                <w:sz w:val="18"/>
                <w:szCs w:val="18"/>
              </w:rPr>
              <w:t>280</w:t>
            </w:r>
          </w:p>
        </w:tc>
      </w:tr>
      <w:tr w:rsidR="00815EC0" w:rsidRPr="00447A3B" w14:paraId="01B80C8F" w14:textId="77777777" w:rsidTr="00787AB7">
        <w:trPr>
          <w:trHeight w:val="732"/>
          <w:jc w:val="center"/>
        </w:trPr>
        <w:tc>
          <w:tcPr>
            <w:tcW w:w="1767" w:type="dxa"/>
            <w:tcBorders>
              <w:right w:val="double" w:sz="4" w:space="0" w:color="auto"/>
            </w:tcBorders>
            <w:vAlign w:val="center"/>
          </w:tcPr>
          <w:p w14:paraId="14EF2253" w14:textId="77777777" w:rsidR="00815EC0" w:rsidRPr="00787AB7" w:rsidRDefault="009A1A77" w:rsidP="004542A6">
            <w:pPr>
              <w:rPr>
                <w:rFonts w:asciiTheme="minorHAnsi" w:hAnsiTheme="minorHAnsi"/>
                <w:bCs/>
                <w:sz w:val="18"/>
                <w:szCs w:val="18"/>
              </w:rPr>
            </w:pPr>
            <w:r w:rsidRPr="00787AB7">
              <w:rPr>
                <w:rFonts w:asciiTheme="minorHAnsi" w:hAnsiTheme="minorHAnsi"/>
                <w:sz w:val="18"/>
                <w:szCs w:val="18"/>
              </w:rPr>
              <w:t>Összesen</w:t>
            </w:r>
          </w:p>
        </w:tc>
        <w:tc>
          <w:tcPr>
            <w:tcW w:w="1074" w:type="dxa"/>
            <w:tcBorders>
              <w:left w:val="double" w:sz="4" w:space="0" w:color="auto"/>
            </w:tcBorders>
            <w:vAlign w:val="center"/>
          </w:tcPr>
          <w:p w14:paraId="350491EF" w14:textId="56FACD50"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442</w:t>
            </w:r>
          </w:p>
        </w:tc>
        <w:tc>
          <w:tcPr>
            <w:tcW w:w="1074" w:type="dxa"/>
            <w:vAlign w:val="center"/>
          </w:tcPr>
          <w:p w14:paraId="0B5F581E" w14:textId="0A5FA10B"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354</w:t>
            </w:r>
          </w:p>
        </w:tc>
        <w:tc>
          <w:tcPr>
            <w:tcW w:w="1074" w:type="dxa"/>
            <w:tcBorders>
              <w:right w:val="double" w:sz="4" w:space="0" w:color="auto"/>
            </w:tcBorders>
            <w:shd w:val="clear" w:color="auto" w:fill="auto"/>
            <w:vAlign w:val="center"/>
          </w:tcPr>
          <w:p w14:paraId="63C425A7" w14:textId="6CC3058B"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4</w:t>
            </w:r>
            <w:r w:rsidR="00815EC0">
              <w:rPr>
                <w:rFonts w:asciiTheme="minorHAnsi" w:hAnsiTheme="minorHAnsi" w:cs="Arial"/>
                <w:sz w:val="18"/>
                <w:szCs w:val="18"/>
              </w:rPr>
              <w:t xml:space="preserve"> </w:t>
            </w:r>
            <w:r w:rsidRPr="00787AB7">
              <w:rPr>
                <w:rFonts w:asciiTheme="minorHAnsi" w:hAnsiTheme="minorHAnsi" w:cs="Arial"/>
                <w:sz w:val="18"/>
                <w:szCs w:val="18"/>
              </w:rPr>
              <w:t>509</w:t>
            </w:r>
          </w:p>
        </w:tc>
        <w:tc>
          <w:tcPr>
            <w:tcW w:w="1074" w:type="dxa"/>
            <w:tcBorders>
              <w:left w:val="double" w:sz="4" w:space="0" w:color="auto"/>
            </w:tcBorders>
            <w:shd w:val="clear" w:color="auto" w:fill="auto"/>
            <w:vAlign w:val="center"/>
          </w:tcPr>
          <w:p w14:paraId="76E55EB1" w14:textId="10B893B8"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-284</w:t>
            </w:r>
          </w:p>
        </w:tc>
        <w:tc>
          <w:tcPr>
            <w:tcW w:w="1074" w:type="dxa"/>
            <w:vAlign w:val="center"/>
          </w:tcPr>
          <w:p w14:paraId="586EA323" w14:textId="38808953"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68</w:t>
            </w:r>
          </w:p>
        </w:tc>
        <w:tc>
          <w:tcPr>
            <w:tcW w:w="1074" w:type="dxa"/>
            <w:tcBorders>
              <w:right w:val="double" w:sz="4" w:space="0" w:color="auto"/>
            </w:tcBorders>
            <w:vAlign w:val="center"/>
          </w:tcPr>
          <w:p w14:paraId="277552DA" w14:textId="736DC48F"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068</w:t>
            </w:r>
          </w:p>
        </w:tc>
        <w:tc>
          <w:tcPr>
            <w:tcW w:w="1075" w:type="dxa"/>
            <w:tcBorders>
              <w:left w:val="double" w:sz="4" w:space="0" w:color="auto"/>
            </w:tcBorders>
            <w:vAlign w:val="center"/>
          </w:tcPr>
          <w:p w14:paraId="5AF84691" w14:textId="34EA98A6"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4</w:t>
            </w:r>
            <w:r w:rsidR="00815EC0">
              <w:rPr>
                <w:rFonts w:asciiTheme="minorHAnsi" w:hAnsiTheme="minorHAnsi" w:cs="Arial"/>
                <w:sz w:val="18"/>
                <w:szCs w:val="18"/>
              </w:rPr>
              <w:t xml:space="preserve"> </w:t>
            </w:r>
            <w:r w:rsidRPr="00787AB7">
              <w:rPr>
                <w:rFonts w:asciiTheme="minorHAnsi" w:hAnsiTheme="minorHAnsi" w:cs="Arial"/>
                <w:sz w:val="18"/>
                <w:szCs w:val="18"/>
              </w:rPr>
              <w:t>273</w:t>
            </w:r>
          </w:p>
        </w:tc>
      </w:tr>
    </w:tbl>
    <w:p w14:paraId="0CC6824C" w14:textId="77777777" w:rsidR="0066395F" w:rsidRPr="00787AB7" w:rsidRDefault="0066395F" w:rsidP="0066395F">
      <w:pPr>
        <w:jc w:val="both"/>
        <w:rPr>
          <w:rFonts w:asciiTheme="minorHAnsi" w:hAnsiTheme="minorHAnsi"/>
          <w:szCs w:val="18"/>
        </w:rPr>
      </w:pPr>
    </w:p>
    <w:p w14:paraId="368167DE" w14:textId="77777777" w:rsidR="007908D3" w:rsidRPr="00787AB7" w:rsidRDefault="007908D3" w:rsidP="00447B07">
      <w:pPr>
        <w:jc w:val="both"/>
        <w:rPr>
          <w:rFonts w:asciiTheme="minorHAnsi" w:hAnsiTheme="minorHAnsi"/>
          <w:szCs w:val="18"/>
        </w:rPr>
      </w:pPr>
    </w:p>
    <w:p w14:paraId="4B246330" w14:textId="29D8C042" w:rsidR="005F44F6" w:rsidRDefault="009A1A77" w:rsidP="004E3E5B">
      <w:pPr>
        <w:jc w:val="both"/>
        <w:rPr>
          <w:rFonts w:asciiTheme="minorHAnsi" w:hAnsiTheme="minorHAnsi"/>
          <w:b/>
        </w:rPr>
      </w:pPr>
      <w:r w:rsidRPr="00787AB7">
        <w:rPr>
          <w:rFonts w:asciiTheme="minorHAnsi" w:hAnsiTheme="minorHAnsi"/>
          <w:b/>
        </w:rPr>
        <w:t>A BKV Zrt. Üzleti Terv</w:t>
      </w:r>
      <w:r w:rsidR="00BC1B03">
        <w:rPr>
          <w:rFonts w:asciiTheme="minorHAnsi" w:hAnsiTheme="minorHAnsi"/>
          <w:b/>
        </w:rPr>
        <w:t>é</w:t>
      </w:r>
      <w:r w:rsidRPr="00787AB7">
        <w:rPr>
          <w:rFonts w:asciiTheme="minorHAnsi" w:hAnsiTheme="minorHAnsi"/>
          <w:b/>
        </w:rPr>
        <w:t>ben szerepeltetett kompenzációs díj igénye nem tartalmaz észszerű nyereséget, valamint a 2018. évre vonatkozó alulkompenzáció ellentételezését, továbbá a várható bonus-malust és kötbért sem.</w:t>
      </w:r>
    </w:p>
    <w:p w14:paraId="1D7A7A58" w14:textId="0656CDDE" w:rsidR="000D032F" w:rsidRPr="00787AB7" w:rsidRDefault="000D032F" w:rsidP="004E3E5B">
      <w:pPr>
        <w:jc w:val="both"/>
        <w:rPr>
          <w:rFonts w:asciiTheme="minorHAnsi" w:hAnsiTheme="minorHAnsi"/>
          <w:b/>
        </w:rPr>
      </w:pPr>
      <w:r w:rsidRPr="00787AB7">
        <w:rPr>
          <w:rFonts w:asciiTheme="minorHAnsi" w:hAnsiTheme="minorHAnsi"/>
          <w:bCs/>
        </w:rPr>
        <w:br w:type="page"/>
      </w:r>
    </w:p>
    <w:p w14:paraId="7EB45031" w14:textId="77777777" w:rsidR="00FC3465" w:rsidRPr="00787AB7" w:rsidRDefault="00FC3465" w:rsidP="000E7C11">
      <w:pPr>
        <w:jc w:val="both"/>
        <w:rPr>
          <w:rFonts w:asciiTheme="minorHAnsi" w:hAnsiTheme="minorHAnsi"/>
          <w:bCs/>
        </w:rPr>
      </w:pPr>
    </w:p>
    <w:p w14:paraId="667559EA" w14:textId="77777777" w:rsidR="00FC3465" w:rsidRPr="00787AB7" w:rsidRDefault="009A1A77" w:rsidP="00FC3465">
      <w:pPr>
        <w:pStyle w:val="Cmsor1"/>
        <w:tabs>
          <w:tab w:val="clear" w:pos="999"/>
        </w:tabs>
        <w:jc w:val="left"/>
        <w:rPr>
          <w:rFonts w:asciiTheme="minorHAnsi" w:hAnsiTheme="minorHAnsi" w:cstheme="minorHAnsi"/>
          <w:b/>
          <w:sz w:val="28"/>
          <w:szCs w:val="28"/>
        </w:rPr>
      </w:pPr>
      <w:bookmarkStart w:id="3" w:name="_Toc512409604"/>
      <w:r w:rsidRPr="00787AB7">
        <w:rPr>
          <w:rFonts w:asciiTheme="minorHAnsi" w:hAnsiTheme="minorHAnsi" w:cstheme="minorHAnsi"/>
          <w:b/>
          <w:sz w:val="28"/>
          <w:szCs w:val="28"/>
        </w:rPr>
        <w:t>Bevezető</w:t>
      </w:r>
      <w:bookmarkEnd w:id="3"/>
    </w:p>
    <w:p w14:paraId="3F07586C" w14:textId="77777777" w:rsidR="00F80D0A" w:rsidRPr="00787AB7" w:rsidRDefault="00F80D0A" w:rsidP="00903EF3">
      <w:pPr>
        <w:jc w:val="both"/>
        <w:rPr>
          <w:rFonts w:asciiTheme="minorHAnsi" w:hAnsiTheme="minorHAnsi"/>
          <w:bCs/>
        </w:rPr>
      </w:pPr>
    </w:p>
    <w:p w14:paraId="17D80F16" w14:textId="77777777" w:rsidR="00A5087D" w:rsidRPr="00787AB7" w:rsidRDefault="009A1A77" w:rsidP="001E0F17">
      <w:pPr>
        <w:pStyle w:val="Cmsor2"/>
      </w:pPr>
      <w:bookmarkStart w:id="4" w:name="_Toc443317894"/>
      <w:bookmarkStart w:id="5" w:name="_Toc465246357"/>
      <w:bookmarkStart w:id="6" w:name="_Toc512409605"/>
      <w:r w:rsidRPr="00787AB7">
        <w:t>Tervezési peremfeltételek</w:t>
      </w:r>
      <w:bookmarkEnd w:id="4"/>
      <w:bookmarkEnd w:id="5"/>
      <w:bookmarkEnd w:id="6"/>
    </w:p>
    <w:p w14:paraId="56C78F64" w14:textId="77777777" w:rsidR="00A5087D" w:rsidRPr="00787AB7" w:rsidRDefault="00A5087D" w:rsidP="00A5087D">
      <w:pPr>
        <w:jc w:val="both"/>
        <w:rPr>
          <w:rFonts w:asciiTheme="minorHAnsi" w:hAnsiTheme="minorHAnsi" w:cstheme="minorHAnsi"/>
        </w:rPr>
      </w:pPr>
    </w:p>
    <w:p w14:paraId="40D4C559" w14:textId="77777777" w:rsidR="00A5087D" w:rsidRPr="00787AB7" w:rsidRDefault="009A1A77" w:rsidP="00A5087D">
      <w:pPr>
        <w:jc w:val="both"/>
        <w:rPr>
          <w:rFonts w:asciiTheme="minorHAnsi" w:hAnsiTheme="minorHAnsi" w:cstheme="minorHAnsi"/>
        </w:rPr>
      </w:pPr>
      <w:r w:rsidRPr="00787AB7">
        <w:rPr>
          <w:rFonts w:asciiTheme="minorHAnsi" w:hAnsiTheme="minorHAnsi"/>
        </w:rPr>
        <w:t>A 2018. évi Üzleti Terv összeállításához mind Megrendelői, mind pedig Tulajdonosi oldalról Társaságunk részére megküldésre kerültek a tervezéshez felhasználandó tervezési peremfeltételek.</w:t>
      </w:r>
      <w:r w:rsidRPr="00787AB7">
        <w:rPr>
          <w:rFonts w:asciiTheme="minorHAnsi" w:hAnsiTheme="minorHAnsi" w:cstheme="minorHAnsi"/>
        </w:rPr>
        <w:t xml:space="preserve"> </w:t>
      </w:r>
    </w:p>
    <w:p w14:paraId="3DA3AEE4" w14:textId="77777777" w:rsidR="00A5087D" w:rsidRPr="00787AB7" w:rsidRDefault="00A5087D" w:rsidP="00A5087D">
      <w:pPr>
        <w:ind w:left="360"/>
        <w:jc w:val="both"/>
        <w:rPr>
          <w:rFonts w:asciiTheme="minorHAnsi" w:hAnsiTheme="minorHAnsi" w:cstheme="minorHAnsi"/>
        </w:rPr>
      </w:pPr>
    </w:p>
    <w:p w14:paraId="4B792636" w14:textId="77777777" w:rsidR="00A5087D" w:rsidRPr="00787AB7" w:rsidRDefault="009A1A77" w:rsidP="00A5087D">
      <w:pPr>
        <w:rPr>
          <w:rFonts w:asciiTheme="minorHAnsi" w:hAnsiTheme="minorHAnsi" w:cstheme="minorHAnsi"/>
          <w:u w:val="single"/>
        </w:rPr>
      </w:pPr>
      <w:r w:rsidRPr="00787AB7">
        <w:rPr>
          <w:rFonts w:asciiTheme="minorHAnsi" w:hAnsiTheme="minorHAnsi" w:cstheme="minorHAnsi"/>
          <w:u w:val="single"/>
        </w:rPr>
        <w:t>Közszolgáltatási Szerződés</w:t>
      </w:r>
    </w:p>
    <w:p w14:paraId="01BBC71A" w14:textId="77777777" w:rsidR="00A5087D" w:rsidRPr="00787AB7" w:rsidRDefault="009A1A77" w:rsidP="00A5087D">
      <w:pPr>
        <w:ind w:left="360"/>
        <w:jc w:val="both"/>
        <w:rPr>
          <w:rFonts w:asciiTheme="minorHAnsi" w:hAnsiTheme="minorHAnsi" w:cstheme="minorHAnsi"/>
        </w:rPr>
      </w:pPr>
      <w:r w:rsidRPr="00787AB7">
        <w:rPr>
          <w:rFonts w:asciiTheme="minorHAnsi" w:hAnsiTheme="minorHAnsi" w:cstheme="minorHAnsi"/>
        </w:rPr>
        <w:t>A Társaság finanszírozási rendszerét a 2012. május 1-től hatályos, BKK Zrt. és BKV Zrt. között létrejött Közszolgáltatási Szerződés határozza meg. A BKV Zrt. a közszolgáltatási kötelezettség pénzügyi ellentételezéseként kompenzációra jogosult, mely szolgáltatási díjat a BKK Zrt. havonta folyósítja a Társaság részére. A kompenzáció a közszolgáltatási feladatok ellátásával együtt járó, a bevétellel nem fedezett indokolt költségek, az észszerű nyereség, valamint az eszközpótlások fedezetéül szolgál.</w:t>
      </w:r>
    </w:p>
    <w:p w14:paraId="1BD1EFFD" w14:textId="77777777" w:rsidR="00A5087D" w:rsidRPr="00787AB7" w:rsidRDefault="00A5087D" w:rsidP="00A5087D">
      <w:pPr>
        <w:rPr>
          <w:rFonts w:asciiTheme="minorHAnsi" w:hAnsiTheme="minorHAnsi" w:cstheme="minorHAnsi"/>
          <w:u w:val="single"/>
        </w:rPr>
      </w:pPr>
    </w:p>
    <w:p w14:paraId="5FF07196" w14:textId="77777777" w:rsidR="00A5087D" w:rsidRPr="00787AB7" w:rsidRDefault="009A1A77" w:rsidP="00A5087D">
      <w:pPr>
        <w:rPr>
          <w:rFonts w:asciiTheme="minorHAnsi" w:hAnsiTheme="minorHAnsi" w:cstheme="minorHAnsi"/>
          <w:u w:val="single"/>
        </w:rPr>
      </w:pPr>
      <w:r w:rsidRPr="00787AB7">
        <w:rPr>
          <w:rFonts w:asciiTheme="minorHAnsi" w:hAnsiTheme="minorHAnsi" w:cstheme="minorHAnsi"/>
          <w:u w:val="single"/>
        </w:rPr>
        <w:t>Szolgáltatási díj</w:t>
      </w:r>
    </w:p>
    <w:p w14:paraId="26426C93" w14:textId="77D0714C" w:rsidR="00A5087D" w:rsidRPr="00787AB7" w:rsidRDefault="009A1A77" w:rsidP="00A5087D">
      <w:pPr>
        <w:ind w:left="360"/>
        <w:jc w:val="both"/>
        <w:rPr>
          <w:rFonts w:asciiTheme="minorHAnsi" w:hAnsiTheme="minorHAnsi"/>
        </w:rPr>
      </w:pPr>
      <w:r w:rsidRPr="00787AB7">
        <w:rPr>
          <w:rFonts w:asciiTheme="minorHAnsi" w:hAnsiTheme="minorHAnsi"/>
        </w:rPr>
        <w:t>A 2018. évi finanszírozási igény meghatározása a Közszolgáltatási Szerződésben foglalt kompenzáció számítás módszertana szerint történt, figyelembe véve a szerződés</w:t>
      </w:r>
      <w:r w:rsidRPr="00787AB7">
        <w:rPr>
          <w:rFonts w:asciiTheme="minorHAnsi" w:hAnsiTheme="minorHAnsi"/>
        </w:rPr>
        <w:br/>
        <w:t>8. számú módosítását. A tervezés bázisául a 2017. évi tény adatok szolgáltak.</w:t>
      </w:r>
    </w:p>
    <w:p w14:paraId="5D4BF827" w14:textId="49222CAC" w:rsidR="00A5087D" w:rsidRPr="00787AB7" w:rsidRDefault="009A1A77" w:rsidP="00A5087D">
      <w:pPr>
        <w:ind w:left="360"/>
        <w:jc w:val="both"/>
        <w:rPr>
          <w:rFonts w:asciiTheme="minorHAnsi" w:hAnsiTheme="minorHAnsi" w:cstheme="minorHAnsi"/>
        </w:rPr>
      </w:pPr>
      <w:r w:rsidRPr="00787AB7">
        <w:rPr>
          <w:rFonts w:asciiTheme="minorHAnsi" w:hAnsiTheme="minorHAnsi"/>
        </w:rPr>
        <w:t>A kompenzációszámítást a</w:t>
      </w:r>
      <w:r w:rsidR="00BC1B03">
        <w:rPr>
          <w:rFonts w:asciiTheme="minorHAnsi" w:hAnsiTheme="minorHAnsi"/>
        </w:rPr>
        <w:t>z</w:t>
      </w:r>
      <w:r w:rsidRPr="00787AB7">
        <w:rPr>
          <w:rFonts w:asciiTheme="minorHAnsi" w:hAnsiTheme="minorHAnsi"/>
        </w:rPr>
        <w:t xml:space="preserve"> 1370/2007/EK rendelet mellékletének értelmében a „költségek és bevételek kiszámítását a hatályos számviteli és adóügyi szabályoknak, és a hatályos szerződéseknek megfelelően kell elvégezni”.</w:t>
      </w:r>
    </w:p>
    <w:p w14:paraId="467BC536" w14:textId="77777777" w:rsidR="00673528" w:rsidRPr="00787AB7" w:rsidRDefault="00673528" w:rsidP="00673528">
      <w:pPr>
        <w:jc w:val="both"/>
        <w:rPr>
          <w:rFonts w:asciiTheme="minorHAnsi" w:hAnsiTheme="minorHAnsi" w:cstheme="minorHAnsi"/>
          <w:u w:val="single"/>
        </w:rPr>
      </w:pPr>
    </w:p>
    <w:p w14:paraId="154988AE" w14:textId="77777777" w:rsidR="00673528" w:rsidRPr="00787AB7" w:rsidRDefault="009A1A77" w:rsidP="00673528">
      <w:pPr>
        <w:jc w:val="both"/>
        <w:rPr>
          <w:rFonts w:asciiTheme="minorHAnsi" w:hAnsiTheme="minorHAnsi" w:cstheme="minorHAnsi"/>
          <w:u w:val="single"/>
        </w:rPr>
      </w:pPr>
      <w:r w:rsidRPr="00787AB7">
        <w:rPr>
          <w:rFonts w:asciiTheme="minorHAnsi" w:hAnsiTheme="minorHAnsi" w:cstheme="minorHAnsi"/>
          <w:u w:val="single"/>
        </w:rPr>
        <w:t>Tervezési módszertan</w:t>
      </w:r>
    </w:p>
    <w:p w14:paraId="410D2971" w14:textId="77777777" w:rsidR="00673528" w:rsidRPr="00787AB7" w:rsidRDefault="009A1A77" w:rsidP="00AD64AD">
      <w:pPr>
        <w:ind w:left="360"/>
        <w:jc w:val="both"/>
        <w:rPr>
          <w:rFonts w:asciiTheme="minorHAnsi" w:hAnsiTheme="minorHAnsi" w:cstheme="minorHAnsi"/>
        </w:rPr>
      </w:pPr>
      <w:r w:rsidRPr="00787AB7">
        <w:rPr>
          <w:rFonts w:asciiTheme="minorHAnsi" w:hAnsiTheme="minorHAnsi" w:cstheme="minorHAnsi"/>
        </w:rPr>
        <w:t>A Társaság Üzleti Terve a Fővárosi Közgyűlés által elfogadott Monitoring Controlling kézikönyvben, valamint a Közszolgáltatási Szerződésben előírtak alapján került összeállításra.</w:t>
      </w:r>
    </w:p>
    <w:p w14:paraId="30FBB0AA" w14:textId="77777777" w:rsidR="00673528" w:rsidRPr="00787AB7" w:rsidRDefault="00673528" w:rsidP="00A5087D">
      <w:pPr>
        <w:jc w:val="both"/>
        <w:rPr>
          <w:rFonts w:asciiTheme="minorHAnsi" w:hAnsiTheme="minorHAnsi" w:cstheme="minorHAnsi"/>
        </w:rPr>
      </w:pPr>
    </w:p>
    <w:p w14:paraId="42B530B7" w14:textId="77777777" w:rsidR="00A5087D" w:rsidRPr="00787AB7" w:rsidRDefault="009A1A77" w:rsidP="00A5087D">
      <w:pPr>
        <w:rPr>
          <w:rFonts w:asciiTheme="minorHAnsi" w:hAnsiTheme="minorHAnsi" w:cstheme="minorHAnsi"/>
          <w:u w:val="single"/>
        </w:rPr>
      </w:pPr>
      <w:r w:rsidRPr="00787AB7">
        <w:rPr>
          <w:rFonts w:asciiTheme="minorHAnsi" w:hAnsiTheme="minorHAnsi" w:cstheme="minorHAnsi"/>
          <w:u w:val="single"/>
        </w:rPr>
        <w:t>Beruházások</w:t>
      </w:r>
    </w:p>
    <w:p w14:paraId="3C1AB6D8" w14:textId="5F11CFCB" w:rsidR="00A5087D" w:rsidRPr="00787AB7" w:rsidRDefault="00EC796F" w:rsidP="00A17CCA">
      <w:pPr>
        <w:ind w:left="360"/>
        <w:jc w:val="both"/>
        <w:rPr>
          <w:rFonts w:asciiTheme="minorHAnsi" w:hAnsiTheme="minorHAnsi" w:cstheme="minorHAnsi"/>
        </w:rPr>
      </w:pPr>
      <w:r>
        <w:rPr>
          <w:rFonts w:asciiTheme="minorHAnsi" w:hAnsiTheme="minorHAnsi" w:cstheme="minorHAnsi"/>
        </w:rPr>
        <w:t xml:space="preserve">A külső finanszírozásban megvalósuló nagyprojekteken felül a </w:t>
      </w:r>
      <w:r w:rsidR="009A1A77" w:rsidRPr="00787AB7">
        <w:rPr>
          <w:rFonts w:asciiTheme="minorHAnsi" w:hAnsiTheme="minorHAnsi" w:cstheme="minorHAnsi"/>
        </w:rPr>
        <w:t xml:space="preserve">2018. évi beruházások az előző évi beruházási volumen szinten tartásával (8 000 millió Ft) kerültek tervezésre. </w:t>
      </w:r>
      <w:r>
        <w:rPr>
          <w:rFonts w:asciiTheme="minorHAnsi" w:hAnsiTheme="minorHAnsi" w:cstheme="minorHAnsi"/>
        </w:rPr>
        <w:br/>
      </w:r>
      <w:r w:rsidR="009A1A77" w:rsidRPr="00787AB7">
        <w:rPr>
          <w:rFonts w:asciiTheme="minorHAnsi" w:hAnsiTheme="minorHAnsi" w:cstheme="minorHAnsi"/>
        </w:rPr>
        <w:t xml:space="preserve">A kompenzációs díj </w:t>
      </w:r>
      <w:r w:rsidR="00A86F81">
        <w:rPr>
          <w:rFonts w:asciiTheme="minorHAnsi" w:hAnsiTheme="minorHAnsi" w:cstheme="minorHAnsi"/>
        </w:rPr>
        <w:t>csak minimális szinten, 685</w:t>
      </w:r>
      <w:r w:rsidR="005F44F6">
        <w:rPr>
          <w:rFonts w:asciiTheme="minorHAnsi" w:hAnsiTheme="minorHAnsi" w:cstheme="minorHAnsi"/>
        </w:rPr>
        <w:t> </w:t>
      </w:r>
      <w:r w:rsidR="00A86F81">
        <w:rPr>
          <w:rFonts w:asciiTheme="minorHAnsi" w:hAnsiTheme="minorHAnsi" w:cstheme="minorHAnsi"/>
        </w:rPr>
        <w:t>millió</w:t>
      </w:r>
      <w:r w:rsidR="005F44F6">
        <w:rPr>
          <w:rFonts w:asciiTheme="minorHAnsi" w:hAnsiTheme="minorHAnsi" w:cstheme="minorHAnsi"/>
        </w:rPr>
        <w:t> </w:t>
      </w:r>
      <w:r w:rsidR="00A86F81">
        <w:rPr>
          <w:rFonts w:asciiTheme="minorHAnsi" w:hAnsiTheme="minorHAnsi" w:cstheme="minorHAnsi"/>
        </w:rPr>
        <w:t xml:space="preserve">Ft értékben </w:t>
      </w:r>
      <w:r w:rsidR="009A1A77" w:rsidRPr="00787AB7">
        <w:rPr>
          <w:rFonts w:asciiTheme="minorHAnsi" w:hAnsiTheme="minorHAnsi" w:cstheme="minorHAnsi"/>
        </w:rPr>
        <w:t xml:space="preserve">tartalmaz beruházási forrást, </w:t>
      </w:r>
      <w:r>
        <w:rPr>
          <w:rFonts w:asciiTheme="minorHAnsi" w:hAnsiTheme="minorHAnsi" w:cstheme="minorHAnsi"/>
        </w:rPr>
        <w:t>de ez nem veszélyezteti</w:t>
      </w:r>
      <w:r w:rsidR="009A1A77" w:rsidRPr="00787AB7">
        <w:rPr>
          <w:rFonts w:asciiTheme="minorHAnsi" w:hAnsiTheme="minorHAnsi" w:cstheme="minorHAnsi"/>
        </w:rPr>
        <w:t xml:space="preserve"> a beruházások megvalósításá</w:t>
      </w:r>
      <w:r>
        <w:rPr>
          <w:rFonts w:asciiTheme="minorHAnsi" w:hAnsiTheme="minorHAnsi" w:cstheme="minorHAnsi"/>
        </w:rPr>
        <w:t>t a rendelkezésre álló</w:t>
      </w:r>
      <w:r w:rsidR="009A1A77" w:rsidRPr="00787AB7">
        <w:rPr>
          <w:rFonts w:asciiTheme="minorHAnsi" w:hAnsiTheme="minorHAnsi" w:cstheme="minorHAnsi"/>
        </w:rPr>
        <w:t xml:space="preserve"> 2017. év</w:t>
      </w:r>
      <w:r>
        <w:rPr>
          <w:rFonts w:asciiTheme="minorHAnsi" w:hAnsiTheme="minorHAnsi" w:cstheme="minorHAnsi"/>
        </w:rPr>
        <w:t>i</w:t>
      </w:r>
      <w:r w:rsidR="009A1A77" w:rsidRPr="00787AB7">
        <w:rPr>
          <w:rFonts w:asciiTheme="minorHAnsi" w:hAnsiTheme="minorHAnsi" w:cstheme="minorHAnsi"/>
        </w:rPr>
        <w:t xml:space="preserve"> alulfinanszírozottság</w:t>
      </w:r>
      <w:r>
        <w:rPr>
          <w:rFonts w:asciiTheme="minorHAnsi" w:hAnsiTheme="minorHAnsi" w:cstheme="minorHAnsi"/>
        </w:rPr>
        <w:t xml:space="preserve"> miatt</w:t>
      </w:r>
      <w:r w:rsidR="009A1A77" w:rsidRPr="00787AB7">
        <w:rPr>
          <w:rFonts w:asciiTheme="minorHAnsi" w:hAnsiTheme="minorHAnsi" w:cstheme="minorHAnsi"/>
        </w:rPr>
        <w:t xml:space="preserve">. </w:t>
      </w:r>
      <w:r w:rsidR="009A1A77" w:rsidRPr="00787AB7">
        <w:rPr>
          <w:rFonts w:asciiTheme="minorHAnsi" w:hAnsiTheme="minorHAnsi"/>
        </w:rPr>
        <w:t>A halasztott bevételekkel csökkentett amortizáció tervezett szintje 2018-ban 16 0</w:t>
      </w:r>
      <w:r w:rsidR="00E87BB5" w:rsidRPr="00A058CA">
        <w:rPr>
          <w:rFonts w:asciiTheme="minorHAnsi" w:hAnsiTheme="minorHAnsi"/>
        </w:rPr>
        <w:t>3</w:t>
      </w:r>
      <w:r w:rsidR="009A1A77" w:rsidRPr="00787AB7">
        <w:rPr>
          <w:rFonts w:asciiTheme="minorHAnsi" w:hAnsiTheme="minorHAnsi"/>
        </w:rPr>
        <w:t>4 millió Ft.</w:t>
      </w:r>
    </w:p>
    <w:p w14:paraId="67E5588E" w14:textId="77777777" w:rsidR="00A17CCA" w:rsidRPr="00787AB7" w:rsidRDefault="00A17CCA" w:rsidP="00A5087D">
      <w:pPr>
        <w:jc w:val="both"/>
        <w:rPr>
          <w:rFonts w:asciiTheme="minorHAnsi" w:hAnsiTheme="minorHAnsi" w:cstheme="minorHAnsi"/>
          <w:u w:val="single"/>
        </w:rPr>
      </w:pPr>
    </w:p>
    <w:p w14:paraId="6483227D"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Forgalmi teljesítmények</w:t>
      </w:r>
    </w:p>
    <w:p w14:paraId="15CF0CA0" w14:textId="77777777" w:rsidR="00A5087D" w:rsidRPr="00787AB7" w:rsidRDefault="009A1A77" w:rsidP="00FC2871">
      <w:pPr>
        <w:ind w:left="357"/>
        <w:jc w:val="both"/>
        <w:rPr>
          <w:rFonts w:asciiTheme="minorHAnsi" w:hAnsiTheme="minorHAnsi"/>
        </w:rPr>
      </w:pPr>
      <w:r w:rsidRPr="00787AB7">
        <w:rPr>
          <w:rFonts w:asciiTheme="minorHAnsi" w:hAnsiTheme="minorHAnsi"/>
        </w:rPr>
        <w:t>A BKK Zrt. 2017. december 6-án megküldte Társaságunk részére a 2018. évre vonatkozó módosított közszolgáltatási teljesítményeket. A megrendelt teljesítmények havi-ágazati bontásban kerültek meghatározásra, statisztikai férőhelykilométerben. A 2018. évi statisztikai teljesítményterv elkülönítetten tartalmazza az M3 vonali rekonstrukció ágazatonkénti teljesítmény hatásait, északi és déli szakasz bontásban.</w:t>
      </w:r>
    </w:p>
    <w:p w14:paraId="4324093A" w14:textId="77777777" w:rsidR="00A5087D" w:rsidRPr="00787AB7" w:rsidRDefault="00A5087D" w:rsidP="00A5087D">
      <w:pPr>
        <w:ind w:left="360"/>
        <w:jc w:val="both"/>
        <w:rPr>
          <w:rFonts w:asciiTheme="minorHAnsi" w:hAnsiTheme="minorHAnsi" w:cstheme="minorHAnsi"/>
        </w:rPr>
      </w:pPr>
    </w:p>
    <w:p w14:paraId="2CBCB756" w14:textId="77777777" w:rsidR="00A86F81" w:rsidRDefault="00A86F81" w:rsidP="00A5087D">
      <w:pPr>
        <w:jc w:val="both"/>
        <w:rPr>
          <w:rFonts w:asciiTheme="minorHAnsi" w:hAnsiTheme="minorHAnsi" w:cstheme="minorHAnsi"/>
          <w:u w:val="single"/>
        </w:rPr>
      </w:pPr>
    </w:p>
    <w:p w14:paraId="5ED22A98" w14:textId="77777777" w:rsidR="00A86F81" w:rsidRDefault="00A86F81" w:rsidP="00A5087D">
      <w:pPr>
        <w:jc w:val="both"/>
        <w:rPr>
          <w:rFonts w:asciiTheme="minorHAnsi" w:hAnsiTheme="minorHAnsi" w:cstheme="minorHAnsi"/>
          <w:u w:val="single"/>
        </w:rPr>
      </w:pPr>
    </w:p>
    <w:p w14:paraId="3FB8E694"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Infláció</w:t>
      </w:r>
    </w:p>
    <w:p w14:paraId="3372A20B" w14:textId="2A285BC5" w:rsidR="00A5087D" w:rsidRPr="00787AB7" w:rsidRDefault="009A1A77" w:rsidP="00FC2871">
      <w:pPr>
        <w:ind w:left="357"/>
        <w:jc w:val="both"/>
        <w:rPr>
          <w:rFonts w:asciiTheme="minorHAnsi" w:hAnsiTheme="minorHAnsi" w:cstheme="minorHAnsi"/>
        </w:rPr>
      </w:pPr>
      <w:r w:rsidRPr="00787AB7">
        <w:rPr>
          <w:rFonts w:asciiTheme="minorHAnsi" w:hAnsiTheme="minorHAnsi" w:cstheme="minorHAnsi"/>
        </w:rPr>
        <w:t>A kapott premissza értelmében a 2018. évi tervezés során a meglévő szállítói szerződések esetében az árkövetést kötelezően előíró szerződések vonatkozásában történhet meg automatikusan a rögzített, általánosságban az inflációval megegyező mértékű árkövetés. A meglévő, árkövetésről nem</w:t>
      </w:r>
      <w:r w:rsidR="00405919">
        <w:rPr>
          <w:rFonts w:asciiTheme="minorHAnsi" w:hAnsiTheme="minorHAnsi" w:cstheme="minorHAnsi"/>
        </w:rPr>
        <w:t>,</w:t>
      </w:r>
      <w:r w:rsidRPr="00787AB7">
        <w:rPr>
          <w:rFonts w:asciiTheme="minorHAnsi" w:hAnsiTheme="minorHAnsi" w:cstheme="minorHAnsi"/>
        </w:rPr>
        <w:t xml:space="preserve"> vagy csak feltételes módban nyilatkozó szerződések esetében növekedés nem tervezhető. A </w:t>
      </w:r>
      <w:r w:rsidRPr="00787AB7">
        <w:rPr>
          <w:rFonts w:asciiTheme="minorHAnsi" w:hAnsiTheme="minorHAnsi"/>
        </w:rPr>
        <w:t>premisszában megadott 2,8%-os inflációs rátát a BKV Zrt. automatikusan nem érvényesítheti, általános indexálást nem alkalmazhat.</w:t>
      </w:r>
      <w:r w:rsidRPr="00787AB7">
        <w:rPr>
          <w:rFonts w:asciiTheme="minorHAnsi" w:hAnsiTheme="minorHAnsi"/>
        </w:rPr>
        <w:br/>
        <w:t>A kompenzációs igény csökkentésére vonatkozó elvárás teljesítése érdekében a BKV Zrt. a 2018. évben 0%-os inflációs rátát érvényesít, azaz a működési hatékonyság javításával teljes mértékben ellensúlyozni kívánja a megjelenő inflációs hatást.</w:t>
      </w:r>
    </w:p>
    <w:p w14:paraId="4FBF5783" w14:textId="77777777" w:rsidR="00A5087D" w:rsidRPr="00787AB7" w:rsidRDefault="00A5087D" w:rsidP="00A5087D">
      <w:pPr>
        <w:ind w:left="360"/>
        <w:jc w:val="both"/>
        <w:rPr>
          <w:rFonts w:asciiTheme="minorHAnsi" w:hAnsiTheme="minorHAnsi" w:cstheme="minorHAnsi"/>
        </w:rPr>
      </w:pPr>
    </w:p>
    <w:p w14:paraId="7A8D1C6B" w14:textId="77777777" w:rsidR="00A5087D" w:rsidRPr="00787AB7" w:rsidRDefault="009A1A77" w:rsidP="00A5087D">
      <w:pPr>
        <w:jc w:val="both"/>
        <w:rPr>
          <w:rFonts w:asciiTheme="minorHAnsi" w:hAnsiTheme="minorHAnsi"/>
          <w:u w:val="single"/>
        </w:rPr>
      </w:pPr>
      <w:r w:rsidRPr="00787AB7">
        <w:rPr>
          <w:rFonts w:asciiTheme="minorHAnsi" w:hAnsiTheme="minorHAnsi"/>
          <w:u w:val="single"/>
        </w:rPr>
        <w:t>Személyi jellegű ráfordítások</w:t>
      </w:r>
    </w:p>
    <w:p w14:paraId="1288414A" w14:textId="3D6FD2C4" w:rsidR="00A5087D" w:rsidRPr="00787AB7" w:rsidRDefault="009A1A77" w:rsidP="00FC2871">
      <w:pPr>
        <w:ind w:left="357"/>
        <w:jc w:val="both"/>
        <w:rPr>
          <w:rFonts w:asciiTheme="minorHAnsi" w:hAnsiTheme="minorHAnsi" w:cstheme="minorHAnsi"/>
        </w:rPr>
      </w:pPr>
      <w:r w:rsidRPr="00787AB7">
        <w:rPr>
          <w:rFonts w:asciiTheme="minorHAnsi" w:hAnsiTheme="minorHAnsi" w:cstheme="minorHAnsi"/>
        </w:rPr>
        <w:t xml:space="preserve">A megkapott feltételrendszer előírta, hogy a bérek tervezésénél az adott Társaságra vonatkozó </w:t>
      </w:r>
      <w:r w:rsidR="00D836EE">
        <w:rPr>
          <w:rFonts w:asciiTheme="minorHAnsi" w:hAnsiTheme="minorHAnsi" w:cstheme="minorHAnsi"/>
        </w:rPr>
        <w:t>s</w:t>
      </w:r>
      <w:r w:rsidRPr="00787AB7">
        <w:rPr>
          <w:rFonts w:asciiTheme="minorHAnsi" w:hAnsiTheme="minorHAnsi" w:cstheme="minorHAnsi"/>
        </w:rPr>
        <w:t>zakszervezeti (vagy egyéb érdekképviseleti szervezettel kötött) bérmegállapodásnak megfelelően kerüljön elkészítésre az Üzleti Terv. A tárgyalások eredményeképpen megszületett a 2018. évre vonatkozó bérmegállapodás, melynek hatásai a humán fejezet alatt kerülnek bemutatásra.</w:t>
      </w:r>
    </w:p>
    <w:p w14:paraId="103D76A6" w14:textId="77777777" w:rsidR="00A5087D" w:rsidRPr="00787AB7" w:rsidRDefault="00A5087D" w:rsidP="00A5087D">
      <w:pPr>
        <w:ind w:left="360"/>
        <w:jc w:val="both"/>
        <w:rPr>
          <w:rFonts w:asciiTheme="minorHAnsi" w:hAnsiTheme="minorHAnsi" w:cstheme="minorHAnsi"/>
        </w:rPr>
      </w:pPr>
    </w:p>
    <w:p w14:paraId="20FD6BB7"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Gázolaj és energiaköltségek</w:t>
      </w:r>
    </w:p>
    <w:p w14:paraId="351A01CE" w14:textId="07F42CDB" w:rsidR="00A5087D" w:rsidRPr="00787AB7" w:rsidRDefault="009A1A77" w:rsidP="00FC2871">
      <w:pPr>
        <w:ind w:left="357"/>
        <w:jc w:val="both"/>
        <w:rPr>
          <w:rFonts w:asciiTheme="minorHAnsi" w:hAnsiTheme="minorHAnsi" w:cstheme="minorHAnsi"/>
        </w:rPr>
      </w:pPr>
      <w:r w:rsidRPr="00787AB7">
        <w:rPr>
          <w:rFonts w:asciiTheme="minorHAnsi" w:hAnsiTheme="minorHAnsi" w:cstheme="minorHAnsi"/>
        </w:rPr>
        <w:t xml:space="preserve">Az üzemeltetési gázolaj vonatkozásában a Fővárosi Önkormányzat által a </w:t>
      </w:r>
      <w:r w:rsidRPr="00787AB7">
        <w:rPr>
          <w:rFonts w:asciiTheme="minorHAnsi" w:hAnsiTheme="minorHAnsi" w:cstheme="minorHAnsi"/>
        </w:rPr>
        <w:br/>
        <w:t xml:space="preserve">2017. szeptember 5-én megküldött </w:t>
      </w:r>
      <w:r w:rsidR="001879E6">
        <w:rPr>
          <w:rFonts w:asciiTheme="minorHAnsi" w:hAnsiTheme="minorHAnsi" w:cstheme="minorHAnsi"/>
        </w:rPr>
        <w:t>terv</w:t>
      </w:r>
      <w:r w:rsidRPr="00787AB7">
        <w:rPr>
          <w:rFonts w:asciiTheme="minorHAnsi" w:hAnsiTheme="minorHAnsi" w:cstheme="minorHAnsi"/>
        </w:rPr>
        <w:t xml:space="preserve">érték (340 Ft/l) nettósításra került és csökkentve lett a nagykereskedelmi árhoz biztosított kedvezménnyel, valamint a jövedéki adó visszatéríthető részével. Így a 2018. évi Üzleti Tervbe a 254,19 Ft/l </w:t>
      </w:r>
      <w:r w:rsidR="001879E6">
        <w:rPr>
          <w:rFonts w:asciiTheme="minorHAnsi" w:hAnsiTheme="minorHAnsi" w:cstheme="minorHAnsi"/>
        </w:rPr>
        <w:t xml:space="preserve">tervezett </w:t>
      </w:r>
      <w:r w:rsidRPr="00787AB7">
        <w:rPr>
          <w:rFonts w:asciiTheme="minorHAnsi" w:hAnsiTheme="minorHAnsi" w:cstheme="minorHAnsi"/>
        </w:rPr>
        <w:t xml:space="preserve">felhasználási átlagár került beépítésre. A 2018. évben a CNG üzemanyag 195,92 Ft/kg-mal került tervezésre, </w:t>
      </w:r>
      <w:r w:rsidR="004B4A94">
        <w:rPr>
          <w:rFonts w:asciiTheme="minorHAnsi" w:hAnsiTheme="minorHAnsi" w:cstheme="minorHAnsi"/>
        </w:rPr>
        <w:t xml:space="preserve">a 2017. évi tisztított </w:t>
      </w:r>
      <w:r w:rsidRPr="00787AB7">
        <w:rPr>
          <w:rFonts w:asciiTheme="minorHAnsi" w:hAnsiTheme="minorHAnsi" w:cstheme="minorHAnsi"/>
        </w:rPr>
        <w:t>egységár</w:t>
      </w:r>
      <w:r w:rsidR="004B4A94">
        <w:rPr>
          <w:rFonts w:asciiTheme="minorHAnsi" w:hAnsiTheme="minorHAnsi" w:cstheme="minorHAnsi"/>
        </w:rPr>
        <w:t>ak alapján</w:t>
      </w:r>
      <w:r w:rsidRPr="00787AB7">
        <w:rPr>
          <w:rFonts w:asciiTheme="minorHAnsi" w:hAnsiTheme="minorHAnsi" w:cstheme="minorHAnsi"/>
        </w:rPr>
        <w:t>. A villamos energia teljes tervezési egységára a hatósági díjakkal, adókkal együtt 28,03 Ft/kWh.</w:t>
      </w:r>
    </w:p>
    <w:p w14:paraId="41C409C3" w14:textId="77777777" w:rsidR="00A5087D" w:rsidRPr="00787AB7" w:rsidRDefault="00A5087D" w:rsidP="00A5087D">
      <w:pPr>
        <w:jc w:val="both"/>
        <w:rPr>
          <w:rFonts w:asciiTheme="minorHAnsi" w:hAnsiTheme="minorHAnsi" w:cstheme="minorHAnsi"/>
          <w:u w:val="single"/>
        </w:rPr>
      </w:pPr>
    </w:p>
    <w:p w14:paraId="18B75416"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Adók és járulékok</w:t>
      </w:r>
    </w:p>
    <w:p w14:paraId="4C218617" w14:textId="77777777" w:rsidR="00A5087D" w:rsidRPr="00787AB7" w:rsidRDefault="009A1A77" w:rsidP="00FC2871">
      <w:pPr>
        <w:ind w:left="357"/>
        <w:jc w:val="both"/>
        <w:rPr>
          <w:rFonts w:asciiTheme="minorHAnsi" w:hAnsiTheme="minorHAnsi" w:cstheme="minorHAnsi"/>
        </w:rPr>
      </w:pPr>
      <w:r w:rsidRPr="00787AB7">
        <w:rPr>
          <w:rFonts w:asciiTheme="minorHAnsi" w:hAnsiTheme="minorHAnsi" w:cstheme="minorHAnsi"/>
        </w:rPr>
        <w:t xml:space="preserve">A tervezés során a jelenleg hatályos jogszabályok, valamint a kapott tervezési premisszák lettek figyelembe véve. </w:t>
      </w:r>
    </w:p>
    <w:p w14:paraId="3D21FFBD" w14:textId="77777777" w:rsidR="00A5087D" w:rsidRPr="00787AB7" w:rsidRDefault="00A5087D" w:rsidP="00A5087D">
      <w:pPr>
        <w:ind w:left="360"/>
        <w:jc w:val="both"/>
        <w:rPr>
          <w:rFonts w:asciiTheme="minorHAnsi" w:hAnsiTheme="minorHAnsi" w:cstheme="minorHAnsi"/>
        </w:rPr>
      </w:pPr>
    </w:p>
    <w:p w14:paraId="5C5CD844"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Észszerű nyereség</w:t>
      </w:r>
    </w:p>
    <w:p w14:paraId="70E1840A" w14:textId="495D9296" w:rsidR="00A5087D" w:rsidRPr="00787AB7" w:rsidRDefault="009A1A77" w:rsidP="00FC2871">
      <w:pPr>
        <w:ind w:left="357"/>
        <w:jc w:val="both"/>
        <w:rPr>
          <w:rFonts w:asciiTheme="minorHAnsi" w:hAnsiTheme="minorHAnsi" w:cstheme="minorHAnsi"/>
        </w:rPr>
      </w:pPr>
      <w:r w:rsidRPr="00787AB7">
        <w:rPr>
          <w:rFonts w:asciiTheme="minorHAnsi" w:hAnsiTheme="minorHAnsi" w:cstheme="minorHAnsi"/>
        </w:rPr>
        <w:t>A Társaság 2018. évi végleges Üzleti Terve a tervezési premisszáknak megfelelően nem tartalmaz észszerű nyereséget.</w:t>
      </w:r>
    </w:p>
    <w:p w14:paraId="16935D96" w14:textId="77777777" w:rsidR="00A5087D" w:rsidRPr="00787AB7" w:rsidRDefault="00A5087D" w:rsidP="00A5087D">
      <w:pPr>
        <w:jc w:val="both"/>
        <w:rPr>
          <w:rFonts w:asciiTheme="minorHAnsi" w:hAnsiTheme="minorHAnsi" w:cstheme="minorHAnsi"/>
        </w:rPr>
      </w:pPr>
    </w:p>
    <w:p w14:paraId="2E79F0FA"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Ingatlanhasznosítási terv</w:t>
      </w:r>
    </w:p>
    <w:p w14:paraId="171E641D" w14:textId="77777777" w:rsidR="00D26F9A" w:rsidRPr="00787AB7" w:rsidRDefault="009A1A77" w:rsidP="0019782E">
      <w:pPr>
        <w:ind w:left="357"/>
        <w:jc w:val="both"/>
        <w:rPr>
          <w:rFonts w:asciiTheme="minorHAnsi" w:hAnsiTheme="minorHAnsi" w:cstheme="minorHAnsi"/>
        </w:rPr>
      </w:pPr>
      <w:r w:rsidRPr="00787AB7">
        <w:rPr>
          <w:rFonts w:asciiTheme="minorHAnsi" w:hAnsiTheme="minorHAnsi" w:cstheme="minorHAnsi"/>
        </w:rPr>
        <w:t>A BKV Zrt. Alapszabálya 2015. június 23-án módosításra került, és ezt követően az ingatlangazdálkodással kapcsolatos döntések az Alapító kizárólagos hatáskörébe tartoznak. Az ingatlanhasznosítási tevékenység folyamatos fenntartása érdekében a Társaság 2015-ben kidolgozta Ingatlangazdálkodási Tervét. Az Ingatlanhasznosítási Terv aktualizálását a 11-es számú melléklet tartalmazza.</w:t>
      </w:r>
      <w:bookmarkStart w:id="7" w:name="_Toc450555030"/>
      <w:bookmarkStart w:id="8" w:name="_Toc369615479"/>
      <w:bookmarkStart w:id="9" w:name="_Toc443317895"/>
      <w:bookmarkStart w:id="10" w:name="_Toc465246358"/>
      <w:bookmarkEnd w:id="7"/>
    </w:p>
    <w:p w14:paraId="03F37658" w14:textId="77777777" w:rsidR="0019782E" w:rsidRPr="00787AB7" w:rsidRDefault="0019782E" w:rsidP="0019782E">
      <w:pPr>
        <w:ind w:left="357"/>
        <w:jc w:val="both"/>
        <w:rPr>
          <w:rFonts w:asciiTheme="minorHAnsi" w:hAnsiTheme="minorHAnsi" w:cstheme="minorHAnsi"/>
        </w:rPr>
      </w:pPr>
    </w:p>
    <w:p w14:paraId="2E0FBE39" w14:textId="77777777" w:rsidR="00BC7A9E" w:rsidRPr="00787AB7" w:rsidRDefault="009A1A77">
      <w:pPr>
        <w:rPr>
          <w:rFonts w:asciiTheme="minorHAnsi" w:hAnsiTheme="minorHAnsi" w:cstheme="minorHAnsi"/>
        </w:rPr>
      </w:pPr>
      <w:r w:rsidRPr="00787AB7">
        <w:rPr>
          <w:rFonts w:asciiTheme="minorHAnsi" w:hAnsiTheme="minorHAnsi" w:cstheme="minorHAnsi"/>
        </w:rPr>
        <w:br w:type="page"/>
      </w:r>
    </w:p>
    <w:p w14:paraId="2D0169A6" w14:textId="77777777" w:rsidR="00A5087D" w:rsidRPr="0056690E" w:rsidRDefault="00A5087D" w:rsidP="001E0F17">
      <w:pPr>
        <w:pStyle w:val="Cmsor2"/>
      </w:pPr>
      <w:bookmarkStart w:id="11" w:name="_Toc512409606"/>
      <w:r w:rsidRPr="0056690E">
        <w:lastRenderedPageBreak/>
        <w:t>Kockázatok</w:t>
      </w:r>
      <w:bookmarkEnd w:id="8"/>
      <w:r w:rsidRPr="0056690E">
        <w:t xml:space="preserve"> és működési környeze</w:t>
      </w:r>
      <w:bookmarkEnd w:id="9"/>
      <w:bookmarkEnd w:id="10"/>
      <w:r w:rsidRPr="0056690E">
        <w:t>t</w:t>
      </w:r>
      <w:bookmarkEnd w:id="11"/>
    </w:p>
    <w:p w14:paraId="2A3ED016" w14:textId="77777777" w:rsidR="00A5087D" w:rsidRPr="00787AB7" w:rsidRDefault="00A5087D" w:rsidP="00A5087D">
      <w:pPr>
        <w:jc w:val="both"/>
        <w:rPr>
          <w:rFonts w:asciiTheme="minorHAnsi" w:hAnsiTheme="minorHAnsi" w:cstheme="minorHAnsi"/>
        </w:rPr>
      </w:pPr>
    </w:p>
    <w:p w14:paraId="46C19A1C" w14:textId="77777777" w:rsidR="00A5087D" w:rsidRPr="00787AB7" w:rsidRDefault="00A5087D" w:rsidP="00A5087D">
      <w:pPr>
        <w:ind w:left="360"/>
        <w:jc w:val="both"/>
        <w:rPr>
          <w:rFonts w:asciiTheme="minorHAnsi" w:hAnsiTheme="minorHAnsi" w:cstheme="minorHAnsi"/>
        </w:rPr>
      </w:pPr>
    </w:p>
    <w:p w14:paraId="0C41EDE8"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Megrendelt teljesítmények</w:t>
      </w:r>
    </w:p>
    <w:p w14:paraId="58508691" w14:textId="77777777" w:rsidR="00A5087D" w:rsidRPr="00787AB7" w:rsidRDefault="009A1A77" w:rsidP="00A5087D">
      <w:pPr>
        <w:ind w:left="360"/>
        <w:jc w:val="both"/>
        <w:rPr>
          <w:rFonts w:asciiTheme="minorHAnsi" w:hAnsiTheme="minorHAnsi" w:cstheme="minorHAnsi"/>
        </w:rPr>
      </w:pPr>
      <w:r w:rsidRPr="00787AB7">
        <w:rPr>
          <w:rFonts w:asciiTheme="minorHAnsi" w:hAnsiTheme="minorHAnsi" w:cstheme="minorHAnsi"/>
        </w:rPr>
        <w:t>A BKV Zrt. működésének alapja a megrendelt forgalmi teljesítmény, ezért kiemelten fontos, hogy a Társaság a valós, ténylegesen megrendelésre kerülő ágazati teljesítmények ismeretében alakítsa ki az optimális üzemméretét, s annak ingadozása fontos szempont a hatékony költséggazdálkodás szempontjából. A teljesítmények alakulását befolyásolja, illetve jelentős (adott esetben likviditási) kockázatot jelenthet az M3 metróvonal rekonstrukció egyes szakaszainak tervezettől eltérő indulása is.</w:t>
      </w:r>
    </w:p>
    <w:p w14:paraId="244745BD" w14:textId="77777777" w:rsidR="00A5087D" w:rsidRPr="00787AB7" w:rsidRDefault="009A1A77" w:rsidP="00A5087D">
      <w:pPr>
        <w:ind w:left="360"/>
        <w:jc w:val="both"/>
        <w:rPr>
          <w:rFonts w:asciiTheme="minorHAnsi" w:hAnsiTheme="minorHAnsi" w:cstheme="minorHAnsi"/>
        </w:rPr>
      </w:pPr>
      <w:r w:rsidRPr="00787AB7">
        <w:rPr>
          <w:rFonts w:asciiTheme="minorHAnsi" w:hAnsiTheme="minorHAnsi" w:cstheme="minorHAnsi"/>
        </w:rPr>
        <w:t xml:space="preserve">Az Üzleti Tervben megrendelt teljesítménytervtől való jelentős eltérés kezelhetetlenné teszi az erőforrásokkal történő eredményes és felelősségteljes gazdálkodást. </w:t>
      </w:r>
    </w:p>
    <w:p w14:paraId="5D4B2E10" w14:textId="77777777" w:rsidR="00A5087D" w:rsidRPr="00787AB7" w:rsidRDefault="00A5087D" w:rsidP="00A5087D">
      <w:pPr>
        <w:jc w:val="both"/>
        <w:rPr>
          <w:rFonts w:asciiTheme="minorHAnsi" w:hAnsiTheme="minorHAnsi" w:cstheme="minorHAnsi"/>
        </w:rPr>
      </w:pPr>
    </w:p>
    <w:p w14:paraId="283303D1" w14:textId="77777777" w:rsidR="00A5087D" w:rsidRPr="00787AB7" w:rsidRDefault="009A1A77" w:rsidP="00A5087D">
      <w:pPr>
        <w:ind w:left="540" w:hanging="540"/>
        <w:jc w:val="both"/>
        <w:rPr>
          <w:rFonts w:asciiTheme="minorHAnsi" w:hAnsiTheme="minorHAnsi" w:cstheme="minorHAnsi"/>
          <w:u w:val="single"/>
        </w:rPr>
      </w:pPr>
      <w:r w:rsidRPr="00787AB7">
        <w:rPr>
          <w:rFonts w:asciiTheme="minorHAnsi" w:hAnsiTheme="minorHAnsi" w:cstheme="minorHAnsi"/>
          <w:u w:val="single"/>
        </w:rPr>
        <w:t>Gázolaj ára</w:t>
      </w:r>
    </w:p>
    <w:p w14:paraId="482620E6" w14:textId="77777777" w:rsidR="009A68EA" w:rsidRPr="00787AB7" w:rsidRDefault="009A1A77" w:rsidP="00A5087D">
      <w:pPr>
        <w:ind w:left="360"/>
        <w:jc w:val="both"/>
        <w:rPr>
          <w:rFonts w:asciiTheme="minorHAnsi" w:hAnsiTheme="minorHAnsi" w:cstheme="minorHAnsi"/>
        </w:rPr>
      </w:pPr>
      <w:r w:rsidRPr="00787AB7">
        <w:rPr>
          <w:rFonts w:asciiTheme="minorHAnsi" w:hAnsiTheme="minorHAnsi" w:cstheme="minorHAnsi"/>
        </w:rPr>
        <w:t>Az olajpiaci árak éves szinten ingadozást mutatnak, így egy esetleges hirtelen változás befolyásolhatja a Társaság üzemanyag költségeit, ennek következtében jelentős kockázatot hordoz magában.</w:t>
      </w:r>
    </w:p>
    <w:p w14:paraId="79C8E554" w14:textId="77777777" w:rsidR="00A5087D" w:rsidRPr="00787AB7" w:rsidRDefault="009A1A77" w:rsidP="00B25D51">
      <w:pPr>
        <w:ind w:left="360"/>
        <w:jc w:val="both"/>
        <w:rPr>
          <w:rFonts w:asciiTheme="minorHAnsi" w:hAnsiTheme="minorHAnsi" w:cstheme="minorHAnsi"/>
        </w:rPr>
      </w:pPr>
      <w:r w:rsidRPr="00787AB7">
        <w:rPr>
          <w:rFonts w:asciiTheme="minorHAnsi" w:hAnsiTheme="minorHAnsi" w:cstheme="minorHAnsi"/>
        </w:rPr>
        <w:t>A 2018. évi Üzleti Terv összesen 29,9 millió liter gázolaj felhasználással számol, így a tervezés során alkalmazott 254,19 Ft/liter nettó átlagár 1 Ft-os átlagos emelkedése</w:t>
      </w:r>
      <w:r w:rsidRPr="00787AB7">
        <w:rPr>
          <w:rFonts w:asciiTheme="minorHAnsi" w:hAnsiTheme="minorHAnsi" w:cstheme="minorHAnsi"/>
        </w:rPr>
        <w:br/>
        <w:t>közel 30 millió Ft-os többlet ráfordítást eredményez a Társaság számára.</w:t>
      </w:r>
    </w:p>
    <w:p w14:paraId="2B12B630" w14:textId="77777777" w:rsidR="00A5087D" w:rsidRPr="00787AB7" w:rsidRDefault="00A5087D" w:rsidP="00A37C08">
      <w:pPr>
        <w:jc w:val="both"/>
        <w:rPr>
          <w:rFonts w:asciiTheme="minorHAnsi" w:hAnsiTheme="minorHAnsi" w:cstheme="minorHAnsi"/>
        </w:rPr>
      </w:pPr>
    </w:p>
    <w:p w14:paraId="07E40DDB" w14:textId="77777777" w:rsidR="00A5087D" w:rsidRPr="00787AB7" w:rsidRDefault="009A1A77" w:rsidP="00A5087D">
      <w:pPr>
        <w:ind w:left="540" w:hanging="540"/>
        <w:jc w:val="both"/>
        <w:rPr>
          <w:rFonts w:asciiTheme="minorHAnsi" w:hAnsiTheme="minorHAnsi" w:cstheme="minorHAnsi"/>
          <w:u w:val="single"/>
        </w:rPr>
      </w:pPr>
      <w:r w:rsidRPr="00787AB7">
        <w:rPr>
          <w:rFonts w:asciiTheme="minorHAnsi" w:hAnsiTheme="minorHAnsi" w:cstheme="minorHAnsi"/>
          <w:u w:val="single"/>
        </w:rPr>
        <w:t>Alulkompenzáltság, Malus/kötbér</w:t>
      </w:r>
    </w:p>
    <w:p w14:paraId="52F449CC" w14:textId="0AEC0834" w:rsidR="00A5087D" w:rsidRPr="00787AB7" w:rsidRDefault="009A1A77" w:rsidP="00A5087D">
      <w:pPr>
        <w:ind w:left="360"/>
        <w:jc w:val="both"/>
        <w:rPr>
          <w:rFonts w:asciiTheme="minorHAnsi" w:hAnsiTheme="minorHAnsi" w:cstheme="minorHAnsi"/>
        </w:rPr>
      </w:pPr>
      <w:r w:rsidRPr="00787AB7">
        <w:rPr>
          <w:rFonts w:asciiTheme="minorHAnsi" w:hAnsiTheme="minorHAnsi" w:cstheme="minorHAnsi"/>
        </w:rPr>
        <w:t xml:space="preserve">A BKK által kiadott premisszák következtében az alulfinanszírozottság ellentételezését </w:t>
      </w:r>
      <w:r w:rsidR="00F62960" w:rsidRPr="00787AB7">
        <w:rPr>
          <w:rFonts w:asciiTheme="minorHAnsi" w:hAnsiTheme="minorHAnsi" w:cstheme="minorHAnsi"/>
        </w:rPr>
        <w:t xml:space="preserve">az Üzleti Terv </w:t>
      </w:r>
      <w:r w:rsidRPr="00787AB7">
        <w:rPr>
          <w:rFonts w:asciiTheme="minorHAnsi" w:hAnsiTheme="minorHAnsi" w:cstheme="minorHAnsi"/>
        </w:rPr>
        <w:t>nem veszi figyelembe</w:t>
      </w:r>
      <w:r w:rsidR="00F62960">
        <w:rPr>
          <w:rFonts w:asciiTheme="minorHAnsi" w:hAnsiTheme="minorHAnsi" w:cstheme="minorHAnsi"/>
        </w:rPr>
        <w:t>.</w:t>
      </w:r>
      <w:r w:rsidRPr="00787AB7">
        <w:rPr>
          <w:rFonts w:asciiTheme="minorHAnsi" w:hAnsiTheme="minorHAnsi" w:cstheme="minorHAnsi"/>
        </w:rPr>
        <w:t xml:space="preserve"> </w:t>
      </w:r>
      <w:r w:rsidR="00F62960">
        <w:rPr>
          <w:rFonts w:asciiTheme="minorHAnsi" w:hAnsiTheme="minorHAnsi" w:cstheme="minorHAnsi"/>
        </w:rPr>
        <w:t>A</w:t>
      </w:r>
      <w:r w:rsidRPr="00787AB7">
        <w:rPr>
          <w:rFonts w:asciiTheme="minorHAnsi" w:hAnsiTheme="minorHAnsi" w:cstheme="minorHAnsi"/>
        </w:rPr>
        <w:t xml:space="preserve"> várható </w:t>
      </w:r>
      <w:r w:rsidR="00F62960" w:rsidRPr="00787AB7">
        <w:rPr>
          <w:rFonts w:asciiTheme="minorHAnsi" w:hAnsiTheme="minorHAnsi" w:cstheme="minorHAnsi"/>
        </w:rPr>
        <w:t>alulfinanszírozottság</w:t>
      </w:r>
      <w:r w:rsidR="00F62960">
        <w:rPr>
          <w:rFonts w:asciiTheme="minorHAnsi" w:hAnsiTheme="minorHAnsi" w:cstheme="minorHAnsi"/>
        </w:rPr>
        <w:t xml:space="preserve"> megítélése az éves elszámolás során kerülhet megállapításra.</w:t>
      </w:r>
    </w:p>
    <w:p w14:paraId="00BFFCA4" w14:textId="4AFC247E" w:rsidR="00A5087D" w:rsidRPr="00787AB7" w:rsidRDefault="009A1A77" w:rsidP="00127D83">
      <w:pPr>
        <w:ind w:left="360"/>
        <w:jc w:val="both"/>
        <w:rPr>
          <w:rFonts w:asciiTheme="minorHAnsi" w:hAnsiTheme="minorHAnsi" w:cstheme="minorHAnsi"/>
        </w:rPr>
      </w:pPr>
      <w:r w:rsidRPr="00787AB7">
        <w:rPr>
          <w:rFonts w:asciiTheme="minorHAnsi" w:hAnsiTheme="minorHAnsi" w:cstheme="minorHAnsi"/>
        </w:rPr>
        <w:t xml:space="preserve">Malus és kötbér fizetéshez kapcsolódó kockázatok megjelenését okozhatja egyes beruházások elhúzódása, de az üzemeltetési feladatok esetleges elhalasztása is. </w:t>
      </w:r>
    </w:p>
    <w:p w14:paraId="604BD7C6" w14:textId="77777777" w:rsidR="00AE7CD9" w:rsidRPr="00787AB7" w:rsidRDefault="00AE7CD9" w:rsidP="00A5087D">
      <w:pPr>
        <w:jc w:val="both"/>
        <w:rPr>
          <w:rFonts w:asciiTheme="minorHAnsi" w:hAnsiTheme="minorHAnsi" w:cstheme="minorHAnsi"/>
          <w:u w:val="single"/>
        </w:rPr>
      </w:pPr>
    </w:p>
    <w:p w14:paraId="58A1A99C"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Infláció</w:t>
      </w:r>
    </w:p>
    <w:p w14:paraId="4CF4B371" w14:textId="77777777" w:rsidR="00725576" w:rsidRPr="00787AB7" w:rsidRDefault="009A1A77" w:rsidP="00B706A0">
      <w:pPr>
        <w:ind w:left="360"/>
        <w:jc w:val="both"/>
        <w:rPr>
          <w:rFonts w:asciiTheme="minorHAnsi" w:hAnsiTheme="minorHAnsi" w:cstheme="minorHAnsi"/>
        </w:rPr>
      </w:pPr>
      <w:r w:rsidRPr="00787AB7">
        <w:rPr>
          <w:rFonts w:asciiTheme="minorHAnsi" w:hAnsiTheme="minorHAnsi" w:cstheme="minorHAnsi"/>
        </w:rPr>
        <w:t xml:space="preserve">A BKV Zrt. a 2018. évi Üzleti Tervét </w:t>
      </w:r>
      <w:r w:rsidRPr="00787AB7">
        <w:rPr>
          <w:rFonts w:asciiTheme="minorHAnsi" w:hAnsiTheme="minorHAnsi"/>
        </w:rPr>
        <w:t>infláció beépítése nélkül</w:t>
      </w:r>
      <w:r w:rsidRPr="00787AB7">
        <w:rPr>
          <w:rFonts w:asciiTheme="minorHAnsi" w:hAnsiTheme="minorHAnsi" w:cstheme="minorHAnsi"/>
        </w:rPr>
        <w:t xml:space="preserve"> állította össze. A Megrendelő által kiadott premissza feltételezi, hogy a beszállítók döntő hányadánál nem történik áremelés az év folyamán, azonban fennáll a kockázata annak, hogy vannak olyan termékek, alkatrészek, anyagok és szolgáltatások, melyek esetében a BKV Zrt. nem tud elérni bázis szintű árakat, mivel azok alakulására nincs hatással, illetve az áremelkedést nem minden esetben tudja ellensúlyozni a működés hatékonyságának növelésével. További kockázatot jelent, hogy az országosan emelkedő bérek kihatással lehetnek az igénybevett szolgáltatások árainak alakulására, így nagy valószínűséggel előfordulhat, hogy a megkötött szerződések egy részének díjszintje az inflációt meghaladó mértékben fog emelkedni, melyre vonatkozóan már konkrét jelzések érkeztek.</w:t>
      </w:r>
    </w:p>
    <w:p w14:paraId="6294D3DC" w14:textId="77777777" w:rsidR="006D1B60" w:rsidRPr="00787AB7" w:rsidRDefault="006D1B60" w:rsidP="005923F2">
      <w:pPr>
        <w:jc w:val="both"/>
        <w:rPr>
          <w:rFonts w:asciiTheme="minorHAnsi" w:hAnsiTheme="minorHAnsi" w:cstheme="minorHAnsi"/>
          <w:u w:val="single"/>
        </w:rPr>
      </w:pPr>
    </w:p>
    <w:p w14:paraId="029088A6" w14:textId="77777777" w:rsidR="00A5087D" w:rsidRPr="00787AB7" w:rsidRDefault="009A1A77" w:rsidP="005923F2">
      <w:pPr>
        <w:jc w:val="both"/>
        <w:rPr>
          <w:rFonts w:asciiTheme="minorHAnsi" w:hAnsiTheme="minorHAnsi" w:cstheme="minorHAnsi"/>
        </w:rPr>
      </w:pPr>
      <w:r w:rsidRPr="00787AB7">
        <w:rPr>
          <w:rFonts w:asciiTheme="minorHAnsi" w:hAnsiTheme="minorHAnsi" w:cstheme="minorHAnsi"/>
          <w:u w:val="single"/>
        </w:rPr>
        <w:t>Beruházás</w:t>
      </w:r>
    </w:p>
    <w:p w14:paraId="7DD70717" w14:textId="4610C007" w:rsidR="00A5087D" w:rsidRPr="00787AB7" w:rsidRDefault="009A1A77" w:rsidP="00A5087D">
      <w:pPr>
        <w:ind w:left="360"/>
        <w:jc w:val="both"/>
        <w:rPr>
          <w:rFonts w:asciiTheme="minorHAnsi" w:hAnsiTheme="minorHAnsi" w:cstheme="minorHAnsi"/>
        </w:rPr>
      </w:pPr>
      <w:r w:rsidRPr="00787AB7">
        <w:rPr>
          <w:rFonts w:asciiTheme="minorHAnsi" w:hAnsiTheme="minorHAnsi" w:cstheme="minorHAnsi"/>
        </w:rPr>
        <w:t xml:space="preserve">A korábbi években elmaradt beruházások következtében az elöregedett eszközpark műszakilag indokolt beruházási igénye meghaladja az értékcsökkenési leírás mértékét. </w:t>
      </w:r>
      <w:r w:rsidRPr="00787AB7">
        <w:rPr>
          <w:rFonts w:asciiTheme="minorHAnsi" w:hAnsiTheme="minorHAnsi" w:cstheme="minorHAnsi"/>
        </w:rPr>
        <w:br/>
        <w:t xml:space="preserve">Az eszközállomány műszaki színvonalának emelésére megközelítőleg 41,6 milliárd Ft beruházási forrásra lenne szükség. </w:t>
      </w:r>
    </w:p>
    <w:p w14:paraId="3D3805CD" w14:textId="77777777" w:rsidR="00A5087D" w:rsidRPr="00787AB7" w:rsidRDefault="00A5087D" w:rsidP="00A37C08">
      <w:pPr>
        <w:jc w:val="both"/>
        <w:rPr>
          <w:rFonts w:asciiTheme="minorHAnsi" w:hAnsiTheme="minorHAnsi" w:cstheme="minorHAnsi"/>
        </w:rPr>
      </w:pPr>
    </w:p>
    <w:p w14:paraId="29437166"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Jogszabályi háttér</w:t>
      </w:r>
    </w:p>
    <w:p w14:paraId="1B622D6C" w14:textId="77777777" w:rsidR="00A5087D" w:rsidRPr="00787AB7" w:rsidRDefault="009A1A77" w:rsidP="00A5087D">
      <w:pPr>
        <w:ind w:left="360"/>
        <w:jc w:val="both"/>
        <w:rPr>
          <w:rFonts w:asciiTheme="minorHAnsi" w:hAnsiTheme="minorHAnsi" w:cstheme="minorHAnsi"/>
        </w:rPr>
      </w:pPr>
      <w:r w:rsidRPr="00787AB7">
        <w:rPr>
          <w:rFonts w:asciiTheme="minorHAnsi" w:hAnsiTheme="minorHAnsi" w:cstheme="minorHAnsi"/>
        </w:rPr>
        <w:t>2018. évi esetleges jogszabályi háttér változások kedvezőtlen hatásai.</w:t>
      </w:r>
    </w:p>
    <w:p w14:paraId="20755A22" w14:textId="77777777" w:rsidR="00A5087D" w:rsidRPr="00787AB7" w:rsidRDefault="00A5087D" w:rsidP="00A5087D">
      <w:pPr>
        <w:jc w:val="both"/>
        <w:rPr>
          <w:rFonts w:asciiTheme="minorHAnsi" w:hAnsiTheme="minorHAnsi" w:cstheme="minorHAnsi"/>
          <w:u w:val="single"/>
        </w:rPr>
      </w:pPr>
      <w:bookmarkStart w:id="12" w:name="_Toc336006805"/>
    </w:p>
    <w:p w14:paraId="510F9248" w14:textId="77777777" w:rsidR="00A5087D"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Nagyobb rendezetlen kötelezettségek és követelések</w:t>
      </w:r>
      <w:bookmarkEnd w:id="12"/>
    </w:p>
    <w:p w14:paraId="5D6BBC61" w14:textId="0BA3A69C" w:rsidR="00A5087D" w:rsidRPr="00787AB7" w:rsidRDefault="009A1A77" w:rsidP="00A5087D">
      <w:pPr>
        <w:ind w:left="357"/>
        <w:jc w:val="both"/>
        <w:rPr>
          <w:rFonts w:asciiTheme="minorHAnsi" w:hAnsiTheme="minorHAnsi" w:cstheme="minorHAnsi"/>
        </w:rPr>
      </w:pPr>
      <w:r w:rsidRPr="00787AB7">
        <w:rPr>
          <w:rFonts w:asciiTheme="minorHAnsi" w:hAnsiTheme="minorHAnsi" w:cstheme="minorHAnsi"/>
        </w:rPr>
        <w:t xml:space="preserve">Jelentős összeget képvisel a folyamatban lévő 2 db 150 millió Ft feletti peres eljárás, az </w:t>
      </w:r>
      <w:r w:rsidRPr="00787AB7">
        <w:rPr>
          <w:rFonts w:asciiTheme="minorHAnsi" w:hAnsiTheme="minorHAnsi" w:cstheme="minorHAnsi"/>
        </w:rPr>
        <w:br/>
        <w:t>R-CO Zrt-vel és a Cédrus Vásárcsarnok-Piac Kft-vel szemben, melyekre összesen</w:t>
      </w:r>
      <w:r w:rsidRPr="00787AB7">
        <w:rPr>
          <w:rFonts w:asciiTheme="minorHAnsi" w:hAnsiTheme="minorHAnsi" w:cstheme="minorHAnsi"/>
        </w:rPr>
        <w:br/>
        <w:t>1,4 milliárd Ft céltartalékot tart nyilván Társaságunk.</w:t>
      </w:r>
    </w:p>
    <w:p w14:paraId="0926C87B" w14:textId="77777777" w:rsidR="00A5087D" w:rsidRPr="00787AB7" w:rsidRDefault="009A1A77" w:rsidP="00A5087D">
      <w:pPr>
        <w:ind w:left="357"/>
        <w:jc w:val="both"/>
        <w:rPr>
          <w:rFonts w:asciiTheme="minorHAnsi" w:hAnsiTheme="minorHAnsi" w:cstheme="minorHAnsi"/>
        </w:rPr>
      </w:pPr>
      <w:r w:rsidRPr="00787AB7">
        <w:rPr>
          <w:rFonts w:asciiTheme="minorHAnsi" w:hAnsiTheme="minorHAnsi" w:cstheme="minorHAnsi"/>
        </w:rPr>
        <w:t>A perek végkimenetelének ismerete nélkül a nagyobb rendezetlen kötelezettségek és követelések igen nagy kockázati tényezőt jelentenek a BKV Zrt. számára. A céltartalék képzés nem jelenti azt, hogy Társaságunk rendelkezik elegendő forrással az esetleges kifizetésekre, a kötelezettségek teljesítése érdekében fővárosi forrásbevonásra is szükség lehet.</w:t>
      </w:r>
    </w:p>
    <w:p w14:paraId="2FE5D819" w14:textId="77777777" w:rsidR="0045170E" w:rsidRPr="00787AB7" w:rsidRDefault="009A1A77" w:rsidP="0045170E">
      <w:pPr>
        <w:ind w:left="357"/>
        <w:jc w:val="both"/>
        <w:rPr>
          <w:rFonts w:asciiTheme="minorHAnsi" w:hAnsiTheme="minorHAnsi" w:cstheme="minorHAnsi"/>
        </w:rPr>
      </w:pPr>
      <w:r w:rsidRPr="00787AB7">
        <w:rPr>
          <w:rFonts w:asciiTheme="minorHAnsi" w:hAnsiTheme="minorHAnsi" w:cstheme="minorHAnsi"/>
        </w:rPr>
        <w:t>Emellett folyamatban van számos, a DBR projekttel kapcsolatos per is, melyek peres értéke megközelíti a 3,5 milliárd Ft-ot. A peres eljárásokkal kapcsolatosan céltartalék képzésre nem került sor, mivel az esetlegesen keletkező fizetési kötelezettségek kiegészítő állami, illetve Európai Uniós támogatás terhére kerülnek rendezésre.</w:t>
      </w:r>
    </w:p>
    <w:p w14:paraId="1FA00084" w14:textId="77777777" w:rsidR="00A5087D" w:rsidRPr="00787AB7" w:rsidRDefault="00A5087D" w:rsidP="00A5087D">
      <w:pPr>
        <w:jc w:val="both"/>
        <w:rPr>
          <w:rFonts w:asciiTheme="minorHAnsi" w:hAnsiTheme="minorHAnsi" w:cstheme="minorHAnsi"/>
        </w:rPr>
      </w:pPr>
    </w:p>
    <w:p w14:paraId="58407BBA" w14:textId="77777777" w:rsidR="00A37C08" w:rsidRPr="00787AB7" w:rsidRDefault="009A1A77" w:rsidP="00A5087D">
      <w:pPr>
        <w:jc w:val="both"/>
        <w:rPr>
          <w:rFonts w:asciiTheme="minorHAnsi" w:hAnsiTheme="minorHAnsi" w:cstheme="minorHAnsi"/>
          <w:u w:val="single"/>
        </w:rPr>
      </w:pPr>
      <w:r w:rsidRPr="00787AB7">
        <w:rPr>
          <w:rFonts w:asciiTheme="minorHAnsi" w:hAnsiTheme="minorHAnsi" w:cstheme="minorHAnsi"/>
          <w:u w:val="single"/>
        </w:rPr>
        <w:t>Létszám</w:t>
      </w:r>
    </w:p>
    <w:p w14:paraId="3CD77C1E" w14:textId="203B6EE3" w:rsidR="00A37C08" w:rsidRPr="00787AB7" w:rsidRDefault="009A1A77" w:rsidP="00AE7CD9">
      <w:pPr>
        <w:ind w:left="357"/>
        <w:jc w:val="both"/>
        <w:rPr>
          <w:rFonts w:asciiTheme="minorHAnsi" w:hAnsiTheme="minorHAnsi" w:cstheme="minorHAnsi"/>
        </w:rPr>
      </w:pPr>
      <w:r w:rsidRPr="00787AB7">
        <w:rPr>
          <w:rFonts w:asciiTheme="minorHAnsi" w:hAnsiTheme="minorHAnsi" w:cstheme="minorHAnsi"/>
        </w:rPr>
        <w:t>Kiemelkedő kockázat – elsősorban az M3 pótláshoz szükséges – járművezetői állomány rendelkezésre állása. A 2017. és</w:t>
      </w:r>
      <w:r w:rsidR="00D25499">
        <w:rPr>
          <w:rFonts w:asciiTheme="minorHAnsi" w:hAnsiTheme="minorHAnsi" w:cstheme="minorHAnsi"/>
        </w:rPr>
        <w:t xml:space="preserve"> a</w:t>
      </w:r>
      <w:r w:rsidRPr="00787AB7">
        <w:rPr>
          <w:rFonts w:asciiTheme="minorHAnsi" w:hAnsiTheme="minorHAnsi" w:cstheme="minorHAnsi"/>
        </w:rPr>
        <w:t xml:space="preserve"> 2018. évi Bérmegállapodás, valamint a Társaság Humánstratégiája a létszámhiány javítása érdekében kiemelten kezeli a járművezetői létszám növelését. Ugyanakkor a munkaerőpiacon a járművezetői munkakörben olyan nagymértékű hiány tapasztalható, mely következtében a szükséges létszám megszerzése, felvétele, majd megtartása nehézséget okozhat.</w:t>
      </w:r>
    </w:p>
    <w:p w14:paraId="31C153CE" w14:textId="77777777" w:rsidR="0045170E" w:rsidRPr="00787AB7" w:rsidRDefault="0045170E" w:rsidP="00AE7CD9">
      <w:pPr>
        <w:ind w:left="357"/>
        <w:jc w:val="both"/>
        <w:rPr>
          <w:rFonts w:asciiTheme="minorHAnsi" w:hAnsiTheme="minorHAnsi" w:cstheme="minorHAnsi"/>
        </w:rPr>
      </w:pPr>
    </w:p>
    <w:p w14:paraId="60B8D58F" w14:textId="77777777" w:rsidR="00DE3B7C" w:rsidRPr="00787AB7" w:rsidRDefault="009A1A77" w:rsidP="00DE3B7C">
      <w:pPr>
        <w:jc w:val="both"/>
        <w:rPr>
          <w:rFonts w:asciiTheme="minorHAnsi" w:hAnsiTheme="minorHAnsi" w:cstheme="minorHAnsi"/>
          <w:u w:val="single"/>
        </w:rPr>
      </w:pPr>
      <w:r w:rsidRPr="00787AB7">
        <w:rPr>
          <w:rFonts w:asciiTheme="minorHAnsi" w:hAnsiTheme="minorHAnsi" w:cstheme="minorHAnsi"/>
          <w:u w:val="single"/>
        </w:rPr>
        <w:t>Likviditási kockázat</w:t>
      </w:r>
    </w:p>
    <w:p w14:paraId="761783BE" w14:textId="77777777" w:rsidR="00447E01" w:rsidRDefault="00447E01" w:rsidP="00447E01">
      <w:pPr>
        <w:ind w:left="360"/>
        <w:jc w:val="both"/>
        <w:rPr>
          <w:rFonts w:ascii="Calibri" w:hAnsi="Calibri"/>
        </w:rPr>
      </w:pPr>
      <w:r w:rsidRPr="00687E9A">
        <w:rPr>
          <w:rFonts w:ascii="Calibri" w:hAnsi="Calibri"/>
        </w:rPr>
        <w:t xml:space="preserve">A likviditási kockázat a bevételek és kiadások </w:t>
      </w:r>
      <w:r>
        <w:rPr>
          <w:rFonts w:ascii="Calibri" w:hAnsi="Calibri"/>
        </w:rPr>
        <w:t>jelentkezésének időbeli eltéréséből ered, amelynek</w:t>
      </w:r>
      <w:r w:rsidRPr="00687E9A">
        <w:rPr>
          <w:rFonts w:ascii="Calibri" w:hAnsi="Calibri"/>
        </w:rPr>
        <w:t xml:space="preserve"> kezelésére a szállítói faktoring keret nyújt</w:t>
      </w:r>
      <w:r>
        <w:rPr>
          <w:rFonts w:ascii="Calibri" w:hAnsi="Calibri"/>
        </w:rPr>
        <w:t xml:space="preserve"> 4.000 millió </w:t>
      </w:r>
      <w:r w:rsidRPr="00687E9A">
        <w:rPr>
          <w:rFonts w:ascii="Calibri" w:hAnsi="Calibri"/>
        </w:rPr>
        <w:t xml:space="preserve">Ft összegben rövidtávon felhasználható, 6 hónapos fizetési haladékot biztosító </w:t>
      </w:r>
      <w:r>
        <w:rPr>
          <w:rFonts w:ascii="Calibri" w:hAnsi="Calibri"/>
        </w:rPr>
        <w:t>lehetőséget</w:t>
      </w:r>
      <w:r w:rsidRPr="00687E9A">
        <w:rPr>
          <w:rFonts w:ascii="Calibri" w:hAnsi="Calibri"/>
        </w:rPr>
        <w:t>.</w:t>
      </w:r>
    </w:p>
    <w:p w14:paraId="7654EC13" w14:textId="77777777" w:rsidR="00447E01" w:rsidRDefault="00447E01" w:rsidP="00DE3B7C">
      <w:pPr>
        <w:jc w:val="both"/>
        <w:rPr>
          <w:rFonts w:ascii="Calibri" w:hAnsi="Calibri"/>
        </w:rPr>
      </w:pPr>
    </w:p>
    <w:p w14:paraId="62E1769B" w14:textId="77777777" w:rsidR="00DE3B7C" w:rsidRPr="00787AB7" w:rsidRDefault="009A1A77" w:rsidP="00DE3B7C">
      <w:pPr>
        <w:jc w:val="both"/>
        <w:rPr>
          <w:rFonts w:asciiTheme="minorHAnsi" w:hAnsiTheme="minorHAnsi" w:cstheme="minorHAnsi"/>
          <w:u w:val="single"/>
        </w:rPr>
      </w:pPr>
      <w:r w:rsidRPr="00787AB7">
        <w:rPr>
          <w:rFonts w:asciiTheme="minorHAnsi" w:hAnsiTheme="minorHAnsi" w:cstheme="minorHAnsi"/>
          <w:u w:val="single"/>
        </w:rPr>
        <w:t>Kamatkockázat</w:t>
      </w:r>
    </w:p>
    <w:p w14:paraId="63E15165" w14:textId="77777777" w:rsidR="00447E01" w:rsidRDefault="00447E01" w:rsidP="00447E01">
      <w:pPr>
        <w:ind w:left="360"/>
        <w:jc w:val="both"/>
      </w:pPr>
      <w:r>
        <w:rPr>
          <w:rFonts w:ascii="Calibri" w:hAnsi="Calibri"/>
        </w:rPr>
        <w:t>A</w:t>
      </w:r>
      <w:r w:rsidRPr="0021562E">
        <w:rPr>
          <w:rFonts w:ascii="Calibri" w:hAnsi="Calibri"/>
        </w:rPr>
        <w:t xml:space="preserve"> jelenlegi szállítói faktoring szerződésben a kamatfelár rögzített</w:t>
      </w:r>
      <w:r>
        <w:rPr>
          <w:rFonts w:ascii="Calibri" w:hAnsi="Calibri"/>
        </w:rPr>
        <w:t xml:space="preserve"> évi 2,1%</w:t>
      </w:r>
      <w:r w:rsidRPr="0021562E">
        <w:rPr>
          <w:rFonts w:ascii="Calibri" w:hAnsi="Calibri"/>
        </w:rPr>
        <w:t>,</w:t>
      </w:r>
      <w:r>
        <w:rPr>
          <w:rFonts w:ascii="Calibri" w:hAnsi="Calibri"/>
        </w:rPr>
        <w:t xml:space="preserve"> a</w:t>
      </w:r>
      <w:r w:rsidRPr="0021562E">
        <w:rPr>
          <w:rFonts w:ascii="Calibri" w:hAnsi="Calibri"/>
        </w:rPr>
        <w:t xml:space="preserve"> </w:t>
      </w:r>
      <w:r w:rsidRPr="00361F31">
        <w:rPr>
          <w:rFonts w:ascii="Calibri" w:hAnsi="Calibri"/>
        </w:rPr>
        <w:t>referenciakamat</w:t>
      </w:r>
      <w:r>
        <w:rPr>
          <w:rFonts w:ascii="Calibri" w:hAnsi="Calibri"/>
        </w:rPr>
        <w:t xml:space="preserve"> a 3 </w:t>
      </w:r>
      <w:r w:rsidRPr="00361F31">
        <w:rPr>
          <w:rFonts w:ascii="Calibri" w:hAnsi="Calibri"/>
        </w:rPr>
        <w:t>havi BUBOR</w:t>
      </w:r>
      <w:r>
        <w:rPr>
          <w:rFonts w:ascii="Calibri" w:hAnsi="Calibri"/>
        </w:rPr>
        <w:t>, amely a tervezés időpontjában 0,03%</w:t>
      </w:r>
      <w:r w:rsidRPr="0021562E">
        <w:rPr>
          <w:rFonts w:ascii="Calibri" w:hAnsi="Calibri"/>
        </w:rPr>
        <w:t>.</w:t>
      </w:r>
      <w:r>
        <w:rPr>
          <w:rFonts w:ascii="Calibri" w:hAnsi="Calibri"/>
        </w:rPr>
        <w:t xml:space="preserve"> Átmeneti likviditáshiány esetén a szállítói faktoring alkalmazása a fenti feltételek mellett lehetséges.</w:t>
      </w:r>
    </w:p>
    <w:p w14:paraId="55FC7E0F" w14:textId="77777777" w:rsidR="00447E01" w:rsidRDefault="00447E01" w:rsidP="00447E01">
      <w:pPr>
        <w:ind w:left="360"/>
        <w:jc w:val="both"/>
        <w:rPr>
          <w:rFonts w:ascii="Calibri" w:hAnsi="Calibri"/>
        </w:rPr>
      </w:pPr>
      <w:r>
        <w:rPr>
          <w:rFonts w:ascii="Calibri" w:hAnsi="Calibri"/>
        </w:rPr>
        <w:t xml:space="preserve">A 2018. évi kamatbevételek becslése esetében a 2017. évi kamatszint figyelembe vétele mellett 0,02%-os átlagos kamatláb került feltételezésre, és a tervezés időpontjában nem látható olyan körülmény, amely alapján a következő évben növekvő kamatszint lenne prognosztizálható. </w:t>
      </w:r>
    </w:p>
    <w:p w14:paraId="4C5F98EC" w14:textId="77777777" w:rsidR="00072EEA" w:rsidRPr="00787AB7" w:rsidRDefault="00072EEA" w:rsidP="00AE7CD9">
      <w:pPr>
        <w:ind w:left="357"/>
        <w:jc w:val="both"/>
        <w:rPr>
          <w:rFonts w:asciiTheme="minorHAnsi" w:hAnsiTheme="minorHAnsi" w:cstheme="minorHAnsi"/>
        </w:rPr>
      </w:pPr>
    </w:p>
    <w:p w14:paraId="0A7A835C" w14:textId="77777777" w:rsidR="004E6FB3" w:rsidRPr="00787AB7" w:rsidRDefault="009A1A77" w:rsidP="00106B84">
      <w:pPr>
        <w:pStyle w:val="Cmsor1"/>
        <w:pageBreakBefore/>
        <w:numPr>
          <w:ilvl w:val="0"/>
          <w:numId w:val="17"/>
        </w:numPr>
        <w:spacing w:before="360" w:after="360"/>
        <w:jc w:val="left"/>
        <w:rPr>
          <w:rStyle w:val="Stlus14ptFlkvrAlhzs"/>
          <w:rFonts w:asciiTheme="minorHAnsi" w:hAnsiTheme="minorHAnsi" w:cstheme="minorHAnsi"/>
          <w:bCs/>
          <w:i w:val="0"/>
          <w:u w:val="none"/>
        </w:rPr>
      </w:pPr>
      <w:bookmarkStart w:id="13" w:name="_Toc512409607"/>
      <w:r w:rsidRPr="00787AB7">
        <w:rPr>
          <w:rStyle w:val="Stlus14ptFlkvrAlhzs"/>
          <w:rFonts w:asciiTheme="minorHAnsi" w:hAnsiTheme="minorHAnsi" w:cstheme="minorHAnsi"/>
          <w:bCs/>
          <w:i w:val="0"/>
          <w:u w:val="none"/>
        </w:rPr>
        <w:lastRenderedPageBreak/>
        <w:t>Tevékenységek fedezetei</w:t>
      </w:r>
      <w:bookmarkEnd w:id="13"/>
    </w:p>
    <w:p w14:paraId="190E09EF" w14:textId="77777777" w:rsidR="00D408EA" w:rsidRPr="00787AB7" w:rsidRDefault="00D408EA" w:rsidP="00D408EA">
      <w:pPr>
        <w:pStyle w:val="Lista3"/>
      </w:pPr>
    </w:p>
    <w:p w14:paraId="4A9FE16D" w14:textId="77777777" w:rsidR="003A1FEC" w:rsidRPr="00A058CA" w:rsidRDefault="003A1FEC" w:rsidP="001E0F17">
      <w:pPr>
        <w:pStyle w:val="Cmsor2"/>
      </w:pPr>
      <w:bookmarkStart w:id="14" w:name="_Toc512409608"/>
      <w:bookmarkStart w:id="15" w:name="_Toc443317897"/>
      <w:bookmarkStart w:id="16" w:name="_Toc465246361"/>
      <w:r w:rsidRPr="00A058CA">
        <w:t xml:space="preserve">I/a. </w:t>
      </w:r>
      <w:r w:rsidR="00047AC1" w:rsidRPr="00A058CA">
        <w:t>Forgalmi t</w:t>
      </w:r>
      <w:r w:rsidRPr="00A058CA">
        <w:t>eljesítmények</w:t>
      </w:r>
      <w:bookmarkEnd w:id="14"/>
    </w:p>
    <w:p w14:paraId="7297F700" w14:textId="77777777" w:rsidR="003A1FEC" w:rsidRPr="00787AB7" w:rsidRDefault="003A1FEC" w:rsidP="00904533">
      <w:pPr>
        <w:jc w:val="both"/>
        <w:rPr>
          <w:rFonts w:asciiTheme="minorHAnsi" w:hAnsiTheme="minorHAnsi"/>
        </w:rPr>
      </w:pPr>
    </w:p>
    <w:p w14:paraId="4AEBA420" w14:textId="77777777" w:rsidR="00B840AB" w:rsidRPr="00A058CA" w:rsidRDefault="00B840AB" w:rsidP="00B840AB">
      <w:pPr>
        <w:jc w:val="both"/>
        <w:rPr>
          <w:rFonts w:asciiTheme="minorHAnsi" w:hAnsiTheme="minorHAnsi"/>
        </w:rPr>
      </w:pPr>
      <w:r w:rsidRPr="00A058CA">
        <w:rPr>
          <w:rFonts w:asciiTheme="minorHAnsi" w:hAnsiTheme="minorHAnsi"/>
        </w:rPr>
        <w:t>A Közszolgáltatási Szerződés 8. sz. módosításának megfelelően a 2017. évtől bevezetésre került a statisztikai férőhely fogalma, ami a továbbiakban is alapját képezi a forgalmi teljesítmény elszámolásnak.</w:t>
      </w:r>
    </w:p>
    <w:p w14:paraId="4D043378" w14:textId="77777777" w:rsidR="00B840AB" w:rsidRPr="00A058CA" w:rsidRDefault="00B840AB" w:rsidP="00B840AB">
      <w:pPr>
        <w:pStyle w:val="Lista3"/>
        <w:ind w:left="0" w:firstLine="0"/>
        <w:jc w:val="both"/>
        <w:rPr>
          <w:rFonts w:asciiTheme="minorHAnsi" w:hAnsiTheme="minorHAnsi" w:cstheme="minorHAnsi"/>
        </w:rPr>
      </w:pPr>
    </w:p>
    <w:p w14:paraId="35376640" w14:textId="77777777" w:rsidR="00B840AB" w:rsidRPr="00A058CA" w:rsidRDefault="00B840AB" w:rsidP="00B840AB">
      <w:pPr>
        <w:jc w:val="both"/>
        <w:rPr>
          <w:rFonts w:asciiTheme="minorHAnsi" w:hAnsiTheme="minorHAnsi" w:cstheme="minorHAnsi"/>
        </w:rPr>
      </w:pPr>
      <w:r w:rsidRPr="00A058CA">
        <w:rPr>
          <w:rFonts w:asciiTheme="minorHAnsi" w:hAnsiTheme="minorHAnsi" w:cstheme="minorHAnsi"/>
        </w:rPr>
        <w:t>A BKK Zrt. 2017. december 06-án megküldte a 2018. évi Üzleti Terv készítéséhez felhasználandó tervezési peremfeltételeket és a kapcsolódó premisszákat.</w:t>
      </w:r>
    </w:p>
    <w:p w14:paraId="295A6F0E" w14:textId="77777777" w:rsidR="00B840AB" w:rsidRPr="00A058CA" w:rsidRDefault="00B840AB" w:rsidP="00B840AB">
      <w:pPr>
        <w:jc w:val="both"/>
        <w:rPr>
          <w:rFonts w:asciiTheme="minorHAnsi" w:hAnsiTheme="minorHAnsi" w:cstheme="minorHAnsi"/>
        </w:rPr>
      </w:pPr>
      <w:r w:rsidRPr="00A058CA">
        <w:rPr>
          <w:rFonts w:asciiTheme="minorHAnsi" w:hAnsiTheme="minorHAnsi" w:cstheme="minorHAnsi"/>
          <w:b/>
        </w:rPr>
        <w:t xml:space="preserve">A forgalmi teljesítménykövetelmények alapján a BKV Zrt. férőhely-kilométer teljesítménye 2018-ban 3,0 %-kal csökken </w:t>
      </w:r>
      <w:r w:rsidRPr="00A058CA">
        <w:rPr>
          <w:rFonts w:asciiTheme="minorHAnsi" w:hAnsiTheme="minorHAnsi" w:cstheme="minorHAnsi"/>
        </w:rPr>
        <w:t>a 2017. évi tény adatokhoz képest</w:t>
      </w:r>
      <w:r w:rsidRPr="00A058CA">
        <w:rPr>
          <w:rFonts w:asciiTheme="minorHAnsi" w:hAnsiTheme="minorHAnsi" w:cstheme="minorHAnsi"/>
          <w:b/>
        </w:rPr>
        <w:t>, mely összesen</w:t>
      </w:r>
      <w:r w:rsidRPr="00A058CA">
        <w:rPr>
          <w:rFonts w:asciiTheme="minorHAnsi" w:hAnsiTheme="minorHAnsi" w:cstheme="minorHAnsi"/>
        </w:rPr>
        <w:t xml:space="preserve"> </w:t>
      </w:r>
      <w:r w:rsidRPr="00A058CA">
        <w:rPr>
          <w:rFonts w:asciiTheme="minorHAnsi" w:hAnsiTheme="minorHAnsi" w:cstheme="minorHAnsi"/>
          <w:b/>
        </w:rPr>
        <w:t>407 074 ezer fhkm visszaesést jelent</w:t>
      </w:r>
      <w:r w:rsidRPr="00A058CA">
        <w:rPr>
          <w:rFonts w:asciiTheme="minorHAnsi" w:hAnsiTheme="minorHAnsi" w:cstheme="minorHAnsi"/>
        </w:rPr>
        <w:t>. Az M3 metróvonal rekonstrukciója miatt az egyes ágazatokat eltérő mértékben érinti a fent említett változás, ezért ennek bemutatása külön fejezet részét képezi.</w:t>
      </w:r>
    </w:p>
    <w:p w14:paraId="0D6342B5" w14:textId="77777777" w:rsidR="00B840AB" w:rsidRPr="00A058CA" w:rsidRDefault="00B840AB" w:rsidP="00B840AB">
      <w:pPr>
        <w:jc w:val="both"/>
        <w:rPr>
          <w:rFonts w:asciiTheme="minorHAnsi" w:hAnsiTheme="minorHAnsi" w:cstheme="minorHAnsi"/>
        </w:rPr>
      </w:pPr>
    </w:p>
    <w:p w14:paraId="3402CC55" w14:textId="77777777" w:rsidR="00B840AB" w:rsidRPr="00A058CA" w:rsidRDefault="00B840AB" w:rsidP="00B840AB">
      <w:pPr>
        <w:jc w:val="both"/>
        <w:rPr>
          <w:rFonts w:asciiTheme="minorHAnsi" w:hAnsiTheme="minorHAnsi" w:cstheme="minorHAnsi"/>
        </w:rPr>
      </w:pPr>
      <w:r w:rsidRPr="00A058CA">
        <w:rPr>
          <w:rFonts w:asciiTheme="minorHAnsi" w:hAnsiTheme="minorHAnsi" w:cstheme="minorHAnsi"/>
        </w:rPr>
        <w:t>A forgalmi teljesítmények alakulását az alábbi táblázat szemlélteti:</w:t>
      </w:r>
    </w:p>
    <w:p w14:paraId="6A65A3A8" w14:textId="77777777" w:rsidR="00272E9C" w:rsidRPr="00A058CA" w:rsidRDefault="00272E9C" w:rsidP="00272E9C">
      <w:pPr>
        <w:pStyle w:val="Lista3"/>
      </w:pPr>
    </w:p>
    <w:p w14:paraId="5B1FD8F4" w14:textId="77777777" w:rsidR="00AB1149" w:rsidRPr="00787AB7" w:rsidRDefault="00AB1149" w:rsidP="00AB1149">
      <w:pPr>
        <w:pStyle w:val="Lista3"/>
      </w:pPr>
      <w:bookmarkStart w:id="17" w:name="_Toc443317898"/>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342"/>
        <w:gridCol w:w="1311"/>
        <w:gridCol w:w="1311"/>
        <w:gridCol w:w="1301"/>
        <w:gridCol w:w="1291"/>
      </w:tblGrid>
      <w:tr w:rsidR="00272E9C" w:rsidRPr="00272E9C" w14:paraId="656A63D7" w14:textId="77777777" w:rsidTr="006706C4">
        <w:trPr>
          <w:trHeight w:val="744"/>
          <w:jc w:val="center"/>
        </w:trPr>
        <w:tc>
          <w:tcPr>
            <w:tcW w:w="1401" w:type="dxa"/>
            <w:shd w:val="clear" w:color="auto" w:fill="2528A3"/>
            <w:vAlign w:val="center"/>
          </w:tcPr>
          <w:p w14:paraId="6FD2FCC7" w14:textId="77777777" w:rsidR="00DC4968" w:rsidRPr="00787AB7" w:rsidRDefault="009A1A77" w:rsidP="006706C4">
            <w:pPr>
              <w:rPr>
                <w:rFonts w:ascii="Calibri" w:hAnsi="Calibri"/>
                <w:b/>
                <w:sz w:val="20"/>
                <w:szCs w:val="20"/>
              </w:rPr>
            </w:pPr>
            <w:r w:rsidRPr="00787AB7">
              <w:rPr>
                <w:rFonts w:ascii="Calibri" w:hAnsi="Calibri"/>
                <w:b/>
                <w:sz w:val="20"/>
                <w:szCs w:val="20"/>
              </w:rPr>
              <w:t>Megnevezés</w:t>
            </w:r>
          </w:p>
        </w:tc>
        <w:tc>
          <w:tcPr>
            <w:tcW w:w="1342" w:type="dxa"/>
            <w:shd w:val="clear" w:color="auto" w:fill="2528A3"/>
            <w:vAlign w:val="center"/>
          </w:tcPr>
          <w:p w14:paraId="0C384CF7" w14:textId="77777777" w:rsidR="00DC4968" w:rsidRPr="00787AB7" w:rsidRDefault="009A1A77" w:rsidP="006706C4">
            <w:pPr>
              <w:jc w:val="center"/>
              <w:rPr>
                <w:rFonts w:ascii="Calibri" w:hAnsi="Calibri"/>
                <w:b/>
                <w:sz w:val="20"/>
                <w:szCs w:val="20"/>
              </w:rPr>
            </w:pPr>
            <w:r w:rsidRPr="00787AB7">
              <w:rPr>
                <w:rFonts w:ascii="Calibri" w:hAnsi="Calibri"/>
                <w:b/>
                <w:sz w:val="20"/>
                <w:szCs w:val="20"/>
              </w:rPr>
              <w:t>Ágazat</w:t>
            </w:r>
          </w:p>
        </w:tc>
        <w:tc>
          <w:tcPr>
            <w:tcW w:w="1311" w:type="dxa"/>
            <w:shd w:val="clear" w:color="auto" w:fill="2528A3"/>
            <w:vAlign w:val="center"/>
          </w:tcPr>
          <w:p w14:paraId="66ED5E25" w14:textId="0DF61380" w:rsidR="00DC4968" w:rsidRPr="00787AB7" w:rsidRDefault="00272E9C">
            <w:pPr>
              <w:jc w:val="center"/>
              <w:rPr>
                <w:rFonts w:ascii="Calibri" w:hAnsi="Calibri" w:cs="Calibri"/>
                <w:b/>
                <w:bCs/>
                <w:sz w:val="20"/>
                <w:szCs w:val="20"/>
              </w:rPr>
            </w:pPr>
            <w:r w:rsidRPr="00E32596">
              <w:rPr>
                <w:rFonts w:ascii="Calibri" w:hAnsi="Calibri" w:cs="Calibri"/>
                <w:b/>
                <w:bCs/>
                <w:sz w:val="20"/>
                <w:szCs w:val="20"/>
              </w:rPr>
              <w:t>2017. évi Tény</w:t>
            </w:r>
          </w:p>
        </w:tc>
        <w:tc>
          <w:tcPr>
            <w:tcW w:w="1311" w:type="dxa"/>
            <w:shd w:val="clear" w:color="auto" w:fill="2528A3"/>
            <w:vAlign w:val="center"/>
          </w:tcPr>
          <w:p w14:paraId="3B41970B" w14:textId="77777777" w:rsidR="00DC4968" w:rsidRPr="00787AB7" w:rsidRDefault="009A1A77" w:rsidP="006706C4">
            <w:pPr>
              <w:jc w:val="center"/>
              <w:rPr>
                <w:rFonts w:ascii="Calibri" w:hAnsi="Calibri" w:cs="Calibri"/>
                <w:b/>
                <w:bCs/>
                <w:sz w:val="20"/>
                <w:szCs w:val="20"/>
              </w:rPr>
            </w:pPr>
            <w:r w:rsidRPr="00787AB7">
              <w:rPr>
                <w:rFonts w:ascii="Calibri" w:hAnsi="Calibri" w:cs="Calibri"/>
                <w:b/>
                <w:bCs/>
                <w:sz w:val="20"/>
                <w:szCs w:val="20"/>
              </w:rPr>
              <w:t>2018. évi Terv</w:t>
            </w:r>
          </w:p>
        </w:tc>
        <w:tc>
          <w:tcPr>
            <w:tcW w:w="1301" w:type="dxa"/>
            <w:shd w:val="clear" w:color="auto" w:fill="2528A3"/>
            <w:vAlign w:val="center"/>
          </w:tcPr>
          <w:p w14:paraId="5E4C6686" w14:textId="77777777" w:rsidR="00DC4968" w:rsidRPr="00787AB7" w:rsidRDefault="009A1A77" w:rsidP="006706C4">
            <w:pPr>
              <w:jc w:val="center"/>
              <w:rPr>
                <w:rFonts w:ascii="Calibri" w:hAnsi="Calibri" w:cs="Calibri"/>
                <w:b/>
                <w:bCs/>
                <w:sz w:val="20"/>
                <w:szCs w:val="20"/>
              </w:rPr>
            </w:pPr>
            <w:r w:rsidRPr="00787AB7">
              <w:rPr>
                <w:rFonts w:ascii="Calibri" w:hAnsi="Calibri" w:cs="Calibri"/>
                <w:b/>
                <w:bCs/>
                <w:sz w:val="20"/>
                <w:szCs w:val="20"/>
              </w:rPr>
              <w:t>Eltérés</w:t>
            </w:r>
          </w:p>
        </w:tc>
        <w:tc>
          <w:tcPr>
            <w:tcW w:w="1291" w:type="dxa"/>
            <w:shd w:val="clear" w:color="auto" w:fill="2528A3"/>
            <w:vAlign w:val="center"/>
          </w:tcPr>
          <w:p w14:paraId="3406013E" w14:textId="77777777" w:rsidR="00DC4968" w:rsidRPr="00787AB7" w:rsidRDefault="009A1A77" w:rsidP="006706C4">
            <w:pPr>
              <w:jc w:val="center"/>
              <w:rPr>
                <w:rFonts w:ascii="Calibri" w:hAnsi="Calibri" w:cs="Calibri"/>
                <w:b/>
                <w:bCs/>
                <w:sz w:val="20"/>
                <w:szCs w:val="20"/>
              </w:rPr>
            </w:pPr>
            <w:r w:rsidRPr="00787AB7">
              <w:rPr>
                <w:rFonts w:ascii="Calibri" w:hAnsi="Calibri" w:cs="Calibri"/>
                <w:b/>
                <w:bCs/>
                <w:sz w:val="20"/>
                <w:szCs w:val="20"/>
              </w:rPr>
              <w:t xml:space="preserve">Index </w:t>
            </w:r>
          </w:p>
        </w:tc>
      </w:tr>
      <w:tr w:rsidR="00272E9C" w:rsidRPr="00272E9C" w14:paraId="053EC33A" w14:textId="77777777" w:rsidTr="006706C4">
        <w:trPr>
          <w:trHeight w:val="361"/>
          <w:jc w:val="center"/>
        </w:trPr>
        <w:tc>
          <w:tcPr>
            <w:tcW w:w="1401" w:type="dxa"/>
            <w:vMerge w:val="restart"/>
            <w:shd w:val="clear" w:color="auto" w:fill="auto"/>
            <w:vAlign w:val="center"/>
          </w:tcPr>
          <w:p w14:paraId="3D851169" w14:textId="77777777" w:rsidR="00272E9C" w:rsidRPr="00787AB7" w:rsidRDefault="009A1A77" w:rsidP="00272E9C">
            <w:pPr>
              <w:rPr>
                <w:rFonts w:ascii="Calibri" w:hAnsi="Calibri" w:cs="Calibri"/>
                <w:bCs/>
                <w:sz w:val="18"/>
                <w:szCs w:val="18"/>
              </w:rPr>
            </w:pPr>
            <w:r w:rsidRPr="00787AB7">
              <w:rPr>
                <w:rFonts w:ascii="Calibri" w:hAnsi="Calibri" w:cs="Calibri"/>
                <w:bCs/>
                <w:sz w:val="18"/>
                <w:szCs w:val="18"/>
              </w:rPr>
              <w:t>Aktív (vonali) statisztikai férőhely-</w:t>
            </w:r>
            <w:r w:rsidRPr="00787AB7">
              <w:rPr>
                <w:rFonts w:ascii="Calibri" w:hAnsi="Calibri" w:cs="Calibri"/>
                <w:bCs/>
                <w:sz w:val="18"/>
                <w:szCs w:val="18"/>
              </w:rPr>
              <w:br/>
              <w:t>kilométer</w:t>
            </w:r>
            <w:r w:rsidRPr="00787AB7">
              <w:rPr>
                <w:rFonts w:ascii="Calibri" w:hAnsi="Calibri" w:cs="Calibri"/>
                <w:bCs/>
                <w:sz w:val="18"/>
                <w:szCs w:val="18"/>
              </w:rPr>
              <w:br/>
              <w:t>(ezer fhkm)</w:t>
            </w:r>
          </w:p>
        </w:tc>
        <w:tc>
          <w:tcPr>
            <w:tcW w:w="1342" w:type="dxa"/>
            <w:vAlign w:val="center"/>
          </w:tcPr>
          <w:p w14:paraId="34F9CEF9" w14:textId="77777777" w:rsidR="00272E9C" w:rsidRPr="00787AB7" w:rsidRDefault="009A1A77" w:rsidP="00272E9C">
            <w:pPr>
              <w:rPr>
                <w:rFonts w:ascii="Calibri" w:hAnsi="Calibri"/>
                <w:sz w:val="18"/>
                <w:szCs w:val="18"/>
              </w:rPr>
            </w:pPr>
            <w:r w:rsidRPr="00787AB7">
              <w:rPr>
                <w:rFonts w:ascii="Calibri" w:hAnsi="Calibri"/>
                <w:sz w:val="18"/>
                <w:szCs w:val="18"/>
              </w:rPr>
              <w:t>Metró-MFAV</w:t>
            </w:r>
          </w:p>
        </w:tc>
        <w:tc>
          <w:tcPr>
            <w:tcW w:w="1311" w:type="dxa"/>
            <w:vAlign w:val="center"/>
          </w:tcPr>
          <w:p w14:paraId="6E85FA86" w14:textId="3456CD8C" w:rsidR="00272E9C" w:rsidRPr="00787AB7" w:rsidRDefault="00272E9C" w:rsidP="00272E9C">
            <w:pPr>
              <w:jc w:val="right"/>
              <w:rPr>
                <w:rFonts w:ascii="Calibri" w:hAnsi="Calibri" w:cs="Calibri"/>
                <w:sz w:val="18"/>
                <w:szCs w:val="18"/>
              </w:rPr>
            </w:pPr>
            <w:r w:rsidRPr="00272E9C">
              <w:rPr>
                <w:rFonts w:ascii="Calibri" w:hAnsi="Calibri" w:cs="Calibri"/>
                <w:sz w:val="18"/>
                <w:szCs w:val="18"/>
              </w:rPr>
              <w:t>4 884 690</w:t>
            </w:r>
          </w:p>
        </w:tc>
        <w:tc>
          <w:tcPr>
            <w:tcW w:w="1311" w:type="dxa"/>
            <w:vAlign w:val="center"/>
          </w:tcPr>
          <w:p w14:paraId="24E8DF3E" w14:textId="0118489C" w:rsidR="00272E9C" w:rsidRPr="00787AB7" w:rsidRDefault="00272E9C" w:rsidP="00272E9C">
            <w:pPr>
              <w:jc w:val="right"/>
              <w:rPr>
                <w:rFonts w:ascii="Calibri" w:hAnsi="Calibri"/>
                <w:sz w:val="18"/>
                <w:szCs w:val="18"/>
              </w:rPr>
            </w:pPr>
            <w:r w:rsidRPr="00272E9C">
              <w:rPr>
                <w:rFonts w:ascii="Calibri" w:hAnsi="Calibri"/>
                <w:sz w:val="18"/>
                <w:szCs w:val="18"/>
              </w:rPr>
              <w:t>3 616 967</w:t>
            </w:r>
          </w:p>
        </w:tc>
        <w:tc>
          <w:tcPr>
            <w:tcW w:w="1301" w:type="dxa"/>
            <w:shd w:val="clear" w:color="auto" w:fill="auto"/>
            <w:vAlign w:val="center"/>
          </w:tcPr>
          <w:p w14:paraId="14C90B0B" w14:textId="1BA6267F" w:rsidR="00272E9C" w:rsidRPr="00787AB7" w:rsidRDefault="00272E9C" w:rsidP="00272E9C">
            <w:pPr>
              <w:jc w:val="right"/>
              <w:rPr>
                <w:rFonts w:ascii="Calibri" w:hAnsi="Calibri"/>
                <w:sz w:val="18"/>
                <w:szCs w:val="18"/>
              </w:rPr>
            </w:pPr>
            <w:r w:rsidRPr="00272E9C">
              <w:rPr>
                <w:rFonts w:ascii="Calibri" w:hAnsi="Calibri"/>
                <w:sz w:val="18"/>
                <w:szCs w:val="18"/>
              </w:rPr>
              <w:t>-1 267 723</w:t>
            </w:r>
          </w:p>
        </w:tc>
        <w:tc>
          <w:tcPr>
            <w:tcW w:w="1291" w:type="dxa"/>
            <w:shd w:val="clear" w:color="auto" w:fill="auto"/>
            <w:vAlign w:val="center"/>
          </w:tcPr>
          <w:p w14:paraId="7FB95D57" w14:textId="501F94DA" w:rsidR="00272E9C" w:rsidRPr="00787AB7" w:rsidRDefault="00272E9C" w:rsidP="00272E9C">
            <w:pPr>
              <w:jc w:val="right"/>
              <w:rPr>
                <w:rFonts w:ascii="Calibri" w:hAnsi="Calibri"/>
                <w:sz w:val="18"/>
                <w:szCs w:val="18"/>
              </w:rPr>
            </w:pPr>
            <w:r w:rsidRPr="00272E9C">
              <w:rPr>
                <w:rFonts w:ascii="Calibri" w:hAnsi="Calibri"/>
                <w:sz w:val="18"/>
                <w:szCs w:val="18"/>
              </w:rPr>
              <w:t>74,0%</w:t>
            </w:r>
          </w:p>
        </w:tc>
      </w:tr>
      <w:tr w:rsidR="00272E9C" w:rsidRPr="00272E9C" w14:paraId="38007968" w14:textId="77777777" w:rsidTr="006706C4">
        <w:trPr>
          <w:trHeight w:val="361"/>
          <w:jc w:val="center"/>
        </w:trPr>
        <w:tc>
          <w:tcPr>
            <w:tcW w:w="1401" w:type="dxa"/>
            <w:vMerge/>
            <w:shd w:val="clear" w:color="auto" w:fill="auto"/>
            <w:vAlign w:val="center"/>
          </w:tcPr>
          <w:p w14:paraId="53D43BD8" w14:textId="77777777" w:rsidR="00272E9C" w:rsidRPr="00787AB7" w:rsidRDefault="00272E9C" w:rsidP="00272E9C">
            <w:pPr>
              <w:rPr>
                <w:rFonts w:ascii="Calibri" w:hAnsi="Calibri" w:cs="Calibri"/>
                <w:bCs/>
                <w:sz w:val="18"/>
                <w:szCs w:val="18"/>
              </w:rPr>
            </w:pPr>
          </w:p>
        </w:tc>
        <w:tc>
          <w:tcPr>
            <w:tcW w:w="1342" w:type="dxa"/>
            <w:vAlign w:val="center"/>
          </w:tcPr>
          <w:p w14:paraId="1008BB04" w14:textId="77777777" w:rsidR="00272E9C" w:rsidRPr="00787AB7" w:rsidRDefault="009A1A77" w:rsidP="00272E9C">
            <w:pPr>
              <w:rPr>
                <w:rFonts w:ascii="Calibri" w:hAnsi="Calibri"/>
                <w:sz w:val="18"/>
                <w:szCs w:val="18"/>
              </w:rPr>
            </w:pPr>
            <w:r w:rsidRPr="00787AB7">
              <w:rPr>
                <w:rFonts w:ascii="Calibri" w:hAnsi="Calibri"/>
                <w:sz w:val="18"/>
                <w:szCs w:val="18"/>
              </w:rPr>
              <w:t>Villamos-fogas</w:t>
            </w:r>
          </w:p>
        </w:tc>
        <w:tc>
          <w:tcPr>
            <w:tcW w:w="1311" w:type="dxa"/>
            <w:vAlign w:val="center"/>
          </w:tcPr>
          <w:p w14:paraId="39FB515C" w14:textId="669E55CF" w:rsidR="00272E9C" w:rsidRPr="00787AB7" w:rsidRDefault="00272E9C" w:rsidP="00272E9C">
            <w:pPr>
              <w:jc w:val="right"/>
              <w:rPr>
                <w:rFonts w:ascii="Calibri" w:hAnsi="Calibri" w:cs="Calibri"/>
                <w:sz w:val="18"/>
                <w:szCs w:val="18"/>
              </w:rPr>
            </w:pPr>
            <w:r w:rsidRPr="00272E9C">
              <w:rPr>
                <w:rFonts w:ascii="Calibri" w:hAnsi="Calibri" w:cs="Calibri"/>
                <w:sz w:val="18"/>
                <w:szCs w:val="18"/>
              </w:rPr>
              <w:t>4 236 272</w:t>
            </w:r>
          </w:p>
        </w:tc>
        <w:tc>
          <w:tcPr>
            <w:tcW w:w="1311" w:type="dxa"/>
            <w:vAlign w:val="center"/>
          </w:tcPr>
          <w:p w14:paraId="796D0624" w14:textId="634EC9ED" w:rsidR="00272E9C" w:rsidRPr="00787AB7" w:rsidRDefault="00272E9C" w:rsidP="00272E9C">
            <w:pPr>
              <w:jc w:val="right"/>
              <w:rPr>
                <w:rFonts w:ascii="Calibri" w:hAnsi="Calibri"/>
                <w:sz w:val="18"/>
                <w:szCs w:val="18"/>
              </w:rPr>
            </w:pPr>
            <w:r w:rsidRPr="00272E9C">
              <w:rPr>
                <w:rFonts w:ascii="Calibri" w:hAnsi="Calibri"/>
                <w:sz w:val="18"/>
                <w:szCs w:val="18"/>
              </w:rPr>
              <w:t>4 451 617</w:t>
            </w:r>
          </w:p>
        </w:tc>
        <w:tc>
          <w:tcPr>
            <w:tcW w:w="1301" w:type="dxa"/>
            <w:shd w:val="clear" w:color="auto" w:fill="auto"/>
            <w:vAlign w:val="center"/>
          </w:tcPr>
          <w:p w14:paraId="66919D78" w14:textId="60A5803B" w:rsidR="00272E9C" w:rsidRPr="00787AB7" w:rsidRDefault="00272E9C" w:rsidP="00272E9C">
            <w:pPr>
              <w:jc w:val="right"/>
              <w:rPr>
                <w:rFonts w:ascii="Calibri" w:hAnsi="Calibri"/>
                <w:sz w:val="18"/>
                <w:szCs w:val="18"/>
              </w:rPr>
            </w:pPr>
            <w:r w:rsidRPr="00272E9C">
              <w:rPr>
                <w:rFonts w:ascii="Calibri" w:hAnsi="Calibri"/>
                <w:sz w:val="18"/>
                <w:szCs w:val="18"/>
              </w:rPr>
              <w:t>215 345</w:t>
            </w:r>
          </w:p>
        </w:tc>
        <w:tc>
          <w:tcPr>
            <w:tcW w:w="1291" w:type="dxa"/>
            <w:shd w:val="clear" w:color="auto" w:fill="auto"/>
            <w:vAlign w:val="center"/>
          </w:tcPr>
          <w:p w14:paraId="7B52F150" w14:textId="4835504B" w:rsidR="00272E9C" w:rsidRPr="00787AB7" w:rsidRDefault="00272E9C" w:rsidP="00272E9C">
            <w:pPr>
              <w:jc w:val="right"/>
              <w:rPr>
                <w:rFonts w:ascii="Calibri" w:hAnsi="Calibri"/>
                <w:sz w:val="18"/>
                <w:szCs w:val="18"/>
              </w:rPr>
            </w:pPr>
            <w:r w:rsidRPr="00272E9C">
              <w:rPr>
                <w:rFonts w:ascii="Calibri" w:hAnsi="Calibri"/>
                <w:sz w:val="18"/>
                <w:szCs w:val="18"/>
              </w:rPr>
              <w:t>105,1%</w:t>
            </w:r>
          </w:p>
        </w:tc>
      </w:tr>
      <w:tr w:rsidR="00272E9C" w:rsidRPr="00272E9C" w14:paraId="20090599" w14:textId="77777777" w:rsidTr="006706C4">
        <w:trPr>
          <w:trHeight w:val="361"/>
          <w:jc w:val="center"/>
        </w:trPr>
        <w:tc>
          <w:tcPr>
            <w:tcW w:w="1401" w:type="dxa"/>
            <w:vMerge/>
            <w:shd w:val="clear" w:color="auto" w:fill="auto"/>
            <w:vAlign w:val="center"/>
          </w:tcPr>
          <w:p w14:paraId="053E61A1" w14:textId="77777777" w:rsidR="00272E9C" w:rsidRPr="00787AB7" w:rsidRDefault="00272E9C" w:rsidP="00272E9C">
            <w:pPr>
              <w:rPr>
                <w:rFonts w:ascii="Calibri" w:hAnsi="Calibri" w:cs="Calibri"/>
                <w:bCs/>
                <w:sz w:val="18"/>
                <w:szCs w:val="18"/>
              </w:rPr>
            </w:pPr>
          </w:p>
        </w:tc>
        <w:tc>
          <w:tcPr>
            <w:tcW w:w="1342" w:type="dxa"/>
            <w:vAlign w:val="center"/>
          </w:tcPr>
          <w:p w14:paraId="4533FE9B" w14:textId="77777777" w:rsidR="00272E9C" w:rsidRPr="00787AB7" w:rsidRDefault="009A1A77" w:rsidP="00272E9C">
            <w:pPr>
              <w:rPr>
                <w:rFonts w:ascii="Calibri" w:hAnsi="Calibri"/>
                <w:sz w:val="18"/>
                <w:szCs w:val="18"/>
              </w:rPr>
            </w:pPr>
            <w:r w:rsidRPr="00787AB7">
              <w:rPr>
                <w:rFonts w:ascii="Calibri" w:hAnsi="Calibri"/>
                <w:sz w:val="18"/>
                <w:szCs w:val="18"/>
              </w:rPr>
              <w:t>Trolibusz</w:t>
            </w:r>
          </w:p>
        </w:tc>
        <w:tc>
          <w:tcPr>
            <w:tcW w:w="1311" w:type="dxa"/>
            <w:vAlign w:val="center"/>
          </w:tcPr>
          <w:p w14:paraId="76BB6516" w14:textId="40562690" w:rsidR="00272E9C" w:rsidRPr="00787AB7" w:rsidRDefault="00272E9C" w:rsidP="00272E9C">
            <w:pPr>
              <w:jc w:val="right"/>
              <w:rPr>
                <w:rFonts w:ascii="Calibri" w:hAnsi="Calibri" w:cs="Calibri"/>
                <w:sz w:val="18"/>
                <w:szCs w:val="18"/>
              </w:rPr>
            </w:pPr>
            <w:r w:rsidRPr="00272E9C">
              <w:rPr>
                <w:rFonts w:ascii="Calibri" w:hAnsi="Calibri" w:cs="Calibri"/>
                <w:sz w:val="18"/>
                <w:szCs w:val="18"/>
              </w:rPr>
              <w:t>471 931</w:t>
            </w:r>
          </w:p>
        </w:tc>
        <w:tc>
          <w:tcPr>
            <w:tcW w:w="1311" w:type="dxa"/>
            <w:vAlign w:val="center"/>
          </w:tcPr>
          <w:p w14:paraId="0E21E299" w14:textId="44122992" w:rsidR="00272E9C" w:rsidRPr="00787AB7" w:rsidRDefault="00272E9C" w:rsidP="00272E9C">
            <w:pPr>
              <w:jc w:val="right"/>
              <w:rPr>
                <w:rFonts w:ascii="Calibri" w:hAnsi="Calibri"/>
                <w:sz w:val="18"/>
                <w:szCs w:val="18"/>
              </w:rPr>
            </w:pPr>
            <w:r w:rsidRPr="00272E9C">
              <w:rPr>
                <w:rFonts w:ascii="Calibri" w:hAnsi="Calibri"/>
                <w:sz w:val="18"/>
                <w:szCs w:val="18"/>
              </w:rPr>
              <w:t>511 623</w:t>
            </w:r>
          </w:p>
        </w:tc>
        <w:tc>
          <w:tcPr>
            <w:tcW w:w="1301" w:type="dxa"/>
            <w:shd w:val="clear" w:color="auto" w:fill="auto"/>
            <w:vAlign w:val="center"/>
          </w:tcPr>
          <w:p w14:paraId="44FEC6BF" w14:textId="07D195EB" w:rsidR="00272E9C" w:rsidRPr="00787AB7" w:rsidRDefault="00272E9C" w:rsidP="00272E9C">
            <w:pPr>
              <w:jc w:val="right"/>
              <w:rPr>
                <w:rFonts w:ascii="Calibri" w:hAnsi="Calibri"/>
                <w:sz w:val="18"/>
                <w:szCs w:val="18"/>
              </w:rPr>
            </w:pPr>
            <w:r w:rsidRPr="00272E9C">
              <w:rPr>
                <w:rFonts w:ascii="Calibri" w:hAnsi="Calibri"/>
                <w:sz w:val="18"/>
                <w:szCs w:val="18"/>
              </w:rPr>
              <w:t>39 692</w:t>
            </w:r>
          </w:p>
        </w:tc>
        <w:tc>
          <w:tcPr>
            <w:tcW w:w="1291" w:type="dxa"/>
            <w:shd w:val="clear" w:color="auto" w:fill="auto"/>
            <w:vAlign w:val="center"/>
          </w:tcPr>
          <w:p w14:paraId="7D1B6BF1" w14:textId="0E70FD9D" w:rsidR="00272E9C" w:rsidRPr="00787AB7" w:rsidRDefault="00272E9C" w:rsidP="00272E9C">
            <w:pPr>
              <w:jc w:val="right"/>
              <w:rPr>
                <w:rFonts w:ascii="Calibri" w:hAnsi="Calibri"/>
                <w:sz w:val="18"/>
                <w:szCs w:val="18"/>
              </w:rPr>
            </w:pPr>
            <w:r w:rsidRPr="00272E9C">
              <w:rPr>
                <w:rFonts w:ascii="Calibri" w:hAnsi="Calibri"/>
                <w:sz w:val="18"/>
                <w:szCs w:val="18"/>
              </w:rPr>
              <w:t>108,4%</w:t>
            </w:r>
          </w:p>
        </w:tc>
      </w:tr>
      <w:tr w:rsidR="00272E9C" w:rsidRPr="00272E9C" w14:paraId="1E7AED52" w14:textId="77777777" w:rsidTr="006706C4">
        <w:trPr>
          <w:trHeight w:val="361"/>
          <w:jc w:val="center"/>
        </w:trPr>
        <w:tc>
          <w:tcPr>
            <w:tcW w:w="1401" w:type="dxa"/>
            <w:vMerge/>
            <w:shd w:val="clear" w:color="auto" w:fill="auto"/>
            <w:vAlign w:val="center"/>
          </w:tcPr>
          <w:p w14:paraId="15287A9A" w14:textId="77777777" w:rsidR="00272E9C" w:rsidRPr="00787AB7" w:rsidRDefault="00272E9C" w:rsidP="00272E9C">
            <w:pPr>
              <w:rPr>
                <w:rFonts w:ascii="Calibri" w:hAnsi="Calibri" w:cs="Calibri"/>
                <w:bCs/>
                <w:sz w:val="18"/>
                <w:szCs w:val="18"/>
              </w:rPr>
            </w:pPr>
          </w:p>
        </w:tc>
        <w:tc>
          <w:tcPr>
            <w:tcW w:w="1342" w:type="dxa"/>
            <w:vAlign w:val="center"/>
          </w:tcPr>
          <w:p w14:paraId="4CF42C61" w14:textId="77777777" w:rsidR="00272E9C" w:rsidRPr="00787AB7" w:rsidRDefault="009A1A77" w:rsidP="00272E9C">
            <w:pPr>
              <w:rPr>
                <w:rFonts w:ascii="Calibri" w:hAnsi="Calibri"/>
                <w:sz w:val="18"/>
                <w:szCs w:val="18"/>
              </w:rPr>
            </w:pPr>
            <w:r w:rsidRPr="00787AB7">
              <w:rPr>
                <w:rFonts w:ascii="Calibri" w:hAnsi="Calibri"/>
                <w:sz w:val="18"/>
                <w:szCs w:val="18"/>
              </w:rPr>
              <w:t>Autóbusz</w:t>
            </w:r>
          </w:p>
        </w:tc>
        <w:tc>
          <w:tcPr>
            <w:tcW w:w="1311" w:type="dxa"/>
            <w:vAlign w:val="center"/>
          </w:tcPr>
          <w:p w14:paraId="4E575530" w14:textId="1FBE2E14" w:rsidR="00272E9C" w:rsidRPr="00787AB7" w:rsidRDefault="00272E9C" w:rsidP="00272E9C">
            <w:pPr>
              <w:jc w:val="right"/>
              <w:rPr>
                <w:rFonts w:ascii="Calibri" w:hAnsi="Calibri" w:cs="Calibri"/>
                <w:sz w:val="18"/>
                <w:szCs w:val="18"/>
              </w:rPr>
            </w:pPr>
            <w:r w:rsidRPr="00272E9C">
              <w:rPr>
                <w:rFonts w:ascii="Calibri" w:hAnsi="Calibri" w:cs="Calibri"/>
                <w:sz w:val="18"/>
                <w:szCs w:val="18"/>
              </w:rPr>
              <w:t>3 961 662</w:t>
            </w:r>
          </w:p>
        </w:tc>
        <w:tc>
          <w:tcPr>
            <w:tcW w:w="1311" w:type="dxa"/>
            <w:vAlign w:val="center"/>
          </w:tcPr>
          <w:p w14:paraId="076BE503" w14:textId="5DFA7806" w:rsidR="00272E9C" w:rsidRPr="00787AB7" w:rsidRDefault="00272E9C" w:rsidP="00272E9C">
            <w:pPr>
              <w:jc w:val="right"/>
              <w:rPr>
                <w:rFonts w:ascii="Calibri" w:hAnsi="Calibri"/>
                <w:sz w:val="18"/>
                <w:szCs w:val="18"/>
              </w:rPr>
            </w:pPr>
            <w:r w:rsidRPr="00272E9C">
              <w:rPr>
                <w:rFonts w:ascii="Calibri" w:hAnsi="Calibri"/>
                <w:sz w:val="18"/>
                <w:szCs w:val="18"/>
              </w:rPr>
              <w:t>4 567 274</w:t>
            </w:r>
          </w:p>
        </w:tc>
        <w:tc>
          <w:tcPr>
            <w:tcW w:w="1301" w:type="dxa"/>
            <w:shd w:val="clear" w:color="auto" w:fill="auto"/>
            <w:vAlign w:val="center"/>
          </w:tcPr>
          <w:p w14:paraId="513D5E02" w14:textId="6CDB784F" w:rsidR="00272E9C" w:rsidRPr="00787AB7" w:rsidRDefault="00272E9C" w:rsidP="00272E9C">
            <w:pPr>
              <w:jc w:val="right"/>
              <w:rPr>
                <w:rFonts w:ascii="Calibri" w:hAnsi="Calibri"/>
                <w:sz w:val="18"/>
                <w:szCs w:val="18"/>
              </w:rPr>
            </w:pPr>
            <w:r w:rsidRPr="00272E9C">
              <w:rPr>
                <w:rFonts w:ascii="Calibri" w:hAnsi="Calibri"/>
                <w:sz w:val="18"/>
                <w:szCs w:val="18"/>
              </w:rPr>
              <w:t>605 612</w:t>
            </w:r>
          </w:p>
        </w:tc>
        <w:tc>
          <w:tcPr>
            <w:tcW w:w="1291" w:type="dxa"/>
            <w:shd w:val="clear" w:color="auto" w:fill="auto"/>
            <w:vAlign w:val="center"/>
          </w:tcPr>
          <w:p w14:paraId="3A4C5C3A" w14:textId="3AA371C0" w:rsidR="00272E9C" w:rsidRPr="00787AB7" w:rsidRDefault="00272E9C" w:rsidP="00272E9C">
            <w:pPr>
              <w:jc w:val="right"/>
              <w:rPr>
                <w:rFonts w:ascii="Calibri" w:hAnsi="Calibri"/>
                <w:sz w:val="18"/>
                <w:szCs w:val="18"/>
              </w:rPr>
            </w:pPr>
            <w:r w:rsidRPr="00272E9C">
              <w:rPr>
                <w:rFonts w:ascii="Calibri" w:hAnsi="Calibri"/>
                <w:sz w:val="18"/>
                <w:szCs w:val="18"/>
              </w:rPr>
              <w:t>115,3%</w:t>
            </w:r>
          </w:p>
        </w:tc>
      </w:tr>
      <w:tr w:rsidR="00272E9C" w:rsidRPr="00272E9C" w14:paraId="1082B6BC" w14:textId="77777777" w:rsidTr="006706C4">
        <w:trPr>
          <w:trHeight w:val="361"/>
          <w:jc w:val="center"/>
        </w:trPr>
        <w:tc>
          <w:tcPr>
            <w:tcW w:w="1401" w:type="dxa"/>
            <w:vMerge/>
            <w:shd w:val="clear" w:color="auto" w:fill="auto"/>
            <w:vAlign w:val="center"/>
          </w:tcPr>
          <w:p w14:paraId="6CEF2ADE" w14:textId="77777777" w:rsidR="00272E9C" w:rsidRPr="00787AB7" w:rsidRDefault="00272E9C" w:rsidP="00272E9C">
            <w:pPr>
              <w:rPr>
                <w:rFonts w:ascii="Calibri" w:hAnsi="Calibri" w:cs="Calibri"/>
                <w:bCs/>
                <w:sz w:val="18"/>
                <w:szCs w:val="18"/>
              </w:rPr>
            </w:pPr>
          </w:p>
        </w:tc>
        <w:tc>
          <w:tcPr>
            <w:tcW w:w="1342" w:type="dxa"/>
            <w:vAlign w:val="center"/>
          </w:tcPr>
          <w:p w14:paraId="2E4C7CD0" w14:textId="77777777" w:rsidR="00272E9C" w:rsidRPr="00787AB7" w:rsidRDefault="009A1A77" w:rsidP="00272E9C">
            <w:pPr>
              <w:rPr>
                <w:rFonts w:ascii="Calibri" w:hAnsi="Calibri"/>
                <w:b/>
                <w:sz w:val="18"/>
                <w:szCs w:val="18"/>
              </w:rPr>
            </w:pPr>
            <w:r w:rsidRPr="00787AB7">
              <w:rPr>
                <w:rFonts w:ascii="Calibri" w:hAnsi="Calibri"/>
                <w:b/>
                <w:sz w:val="18"/>
                <w:szCs w:val="18"/>
              </w:rPr>
              <w:t>Mindösszesen</w:t>
            </w:r>
          </w:p>
        </w:tc>
        <w:tc>
          <w:tcPr>
            <w:tcW w:w="1311" w:type="dxa"/>
            <w:vAlign w:val="center"/>
          </w:tcPr>
          <w:p w14:paraId="475CFC46" w14:textId="2B4FA0C0" w:rsidR="00272E9C" w:rsidRPr="00787AB7" w:rsidRDefault="00272E9C" w:rsidP="00272E9C">
            <w:pPr>
              <w:jc w:val="right"/>
              <w:rPr>
                <w:rFonts w:ascii="Calibri" w:hAnsi="Calibri" w:cs="Calibri"/>
                <w:b/>
                <w:sz w:val="18"/>
                <w:szCs w:val="18"/>
              </w:rPr>
            </w:pPr>
            <w:r w:rsidRPr="00272E9C">
              <w:rPr>
                <w:rFonts w:ascii="Calibri" w:hAnsi="Calibri" w:cs="Calibri"/>
                <w:b/>
                <w:sz w:val="18"/>
                <w:szCs w:val="18"/>
              </w:rPr>
              <w:t>13 554 555</w:t>
            </w:r>
          </w:p>
        </w:tc>
        <w:tc>
          <w:tcPr>
            <w:tcW w:w="1311" w:type="dxa"/>
            <w:vAlign w:val="center"/>
          </w:tcPr>
          <w:p w14:paraId="5546D28F" w14:textId="28D6C2F6" w:rsidR="00272E9C" w:rsidRPr="00787AB7" w:rsidRDefault="00272E9C" w:rsidP="00272E9C">
            <w:pPr>
              <w:jc w:val="right"/>
              <w:rPr>
                <w:rFonts w:ascii="Calibri" w:hAnsi="Calibri"/>
                <w:b/>
                <w:sz w:val="18"/>
                <w:szCs w:val="18"/>
              </w:rPr>
            </w:pPr>
            <w:r w:rsidRPr="00272E9C">
              <w:rPr>
                <w:rFonts w:ascii="Calibri" w:hAnsi="Calibri"/>
                <w:b/>
                <w:sz w:val="18"/>
                <w:szCs w:val="18"/>
              </w:rPr>
              <w:t>13 147 481</w:t>
            </w:r>
          </w:p>
        </w:tc>
        <w:tc>
          <w:tcPr>
            <w:tcW w:w="1301" w:type="dxa"/>
            <w:shd w:val="clear" w:color="auto" w:fill="auto"/>
            <w:vAlign w:val="center"/>
          </w:tcPr>
          <w:p w14:paraId="19089C95" w14:textId="52022FB5" w:rsidR="00272E9C" w:rsidRPr="00787AB7" w:rsidRDefault="00272E9C" w:rsidP="00272E9C">
            <w:pPr>
              <w:jc w:val="right"/>
              <w:rPr>
                <w:rFonts w:ascii="Calibri" w:hAnsi="Calibri"/>
                <w:b/>
                <w:sz w:val="18"/>
                <w:szCs w:val="18"/>
              </w:rPr>
            </w:pPr>
            <w:r w:rsidRPr="00272E9C">
              <w:rPr>
                <w:rFonts w:ascii="Calibri" w:hAnsi="Calibri"/>
                <w:b/>
                <w:sz w:val="18"/>
                <w:szCs w:val="18"/>
              </w:rPr>
              <w:t>-407 074</w:t>
            </w:r>
          </w:p>
        </w:tc>
        <w:tc>
          <w:tcPr>
            <w:tcW w:w="1291" w:type="dxa"/>
            <w:shd w:val="clear" w:color="auto" w:fill="auto"/>
            <w:vAlign w:val="center"/>
          </w:tcPr>
          <w:p w14:paraId="7A6BB16E" w14:textId="38ED1283" w:rsidR="00272E9C" w:rsidRPr="00787AB7" w:rsidRDefault="00272E9C" w:rsidP="00272E9C">
            <w:pPr>
              <w:jc w:val="right"/>
              <w:rPr>
                <w:rFonts w:ascii="Calibri" w:hAnsi="Calibri"/>
                <w:b/>
                <w:sz w:val="18"/>
                <w:szCs w:val="18"/>
              </w:rPr>
            </w:pPr>
            <w:r w:rsidRPr="00272E9C">
              <w:rPr>
                <w:rFonts w:ascii="Calibri" w:hAnsi="Calibri"/>
                <w:b/>
                <w:sz w:val="18"/>
                <w:szCs w:val="18"/>
              </w:rPr>
              <w:t>97,0%</w:t>
            </w:r>
          </w:p>
        </w:tc>
      </w:tr>
      <w:tr w:rsidR="00272E9C" w:rsidRPr="00272E9C" w14:paraId="325F27F2" w14:textId="77777777" w:rsidTr="006706C4">
        <w:trPr>
          <w:trHeight w:val="361"/>
          <w:jc w:val="center"/>
        </w:trPr>
        <w:tc>
          <w:tcPr>
            <w:tcW w:w="1401" w:type="dxa"/>
            <w:vMerge/>
            <w:shd w:val="clear" w:color="auto" w:fill="auto"/>
            <w:vAlign w:val="center"/>
          </w:tcPr>
          <w:p w14:paraId="01A901D3" w14:textId="77777777" w:rsidR="00272E9C" w:rsidRPr="00787AB7" w:rsidRDefault="00272E9C" w:rsidP="00272E9C">
            <w:pPr>
              <w:rPr>
                <w:rFonts w:ascii="Calibri" w:hAnsi="Calibri" w:cs="Calibri"/>
                <w:bCs/>
                <w:sz w:val="18"/>
                <w:szCs w:val="18"/>
              </w:rPr>
            </w:pPr>
          </w:p>
        </w:tc>
        <w:tc>
          <w:tcPr>
            <w:tcW w:w="1342" w:type="dxa"/>
            <w:vAlign w:val="center"/>
          </w:tcPr>
          <w:p w14:paraId="4BB79F9E" w14:textId="77777777" w:rsidR="00272E9C" w:rsidRPr="00787AB7" w:rsidRDefault="009A1A77" w:rsidP="00272E9C">
            <w:pPr>
              <w:rPr>
                <w:rFonts w:ascii="Calibri" w:hAnsi="Calibri"/>
                <w:sz w:val="18"/>
                <w:szCs w:val="18"/>
              </w:rPr>
            </w:pPr>
            <w:r w:rsidRPr="00787AB7">
              <w:rPr>
                <w:rFonts w:ascii="Calibri" w:hAnsi="Calibri"/>
                <w:sz w:val="18"/>
                <w:szCs w:val="18"/>
              </w:rPr>
              <w:t>Hajó üzemóra</w:t>
            </w:r>
          </w:p>
        </w:tc>
        <w:tc>
          <w:tcPr>
            <w:tcW w:w="1311" w:type="dxa"/>
            <w:vAlign w:val="center"/>
          </w:tcPr>
          <w:p w14:paraId="5E73516E" w14:textId="79EC0AAC" w:rsidR="00272E9C" w:rsidRPr="00787AB7" w:rsidRDefault="00272E9C" w:rsidP="00272E9C">
            <w:pPr>
              <w:jc w:val="right"/>
              <w:rPr>
                <w:rFonts w:ascii="Calibri" w:hAnsi="Calibri" w:cs="Calibri"/>
                <w:sz w:val="18"/>
                <w:szCs w:val="18"/>
              </w:rPr>
            </w:pPr>
            <w:r w:rsidRPr="00272E9C">
              <w:rPr>
                <w:rFonts w:ascii="Calibri" w:hAnsi="Calibri" w:cs="Calibri"/>
                <w:sz w:val="18"/>
                <w:szCs w:val="18"/>
              </w:rPr>
              <w:t>23 487</w:t>
            </w:r>
          </w:p>
        </w:tc>
        <w:tc>
          <w:tcPr>
            <w:tcW w:w="1311" w:type="dxa"/>
            <w:vAlign w:val="center"/>
          </w:tcPr>
          <w:p w14:paraId="0907D6E2" w14:textId="6F625594" w:rsidR="00272E9C" w:rsidRPr="00787AB7" w:rsidRDefault="00272E9C" w:rsidP="00272E9C">
            <w:pPr>
              <w:jc w:val="right"/>
              <w:rPr>
                <w:rFonts w:ascii="Calibri" w:hAnsi="Calibri"/>
                <w:sz w:val="18"/>
                <w:szCs w:val="18"/>
              </w:rPr>
            </w:pPr>
            <w:r w:rsidRPr="00272E9C">
              <w:rPr>
                <w:rFonts w:ascii="Calibri" w:hAnsi="Calibri"/>
                <w:sz w:val="18"/>
                <w:szCs w:val="18"/>
              </w:rPr>
              <w:t>22 795</w:t>
            </w:r>
          </w:p>
        </w:tc>
        <w:tc>
          <w:tcPr>
            <w:tcW w:w="1301" w:type="dxa"/>
            <w:shd w:val="clear" w:color="auto" w:fill="auto"/>
            <w:vAlign w:val="center"/>
          </w:tcPr>
          <w:p w14:paraId="0CCB617D" w14:textId="2A79FA97" w:rsidR="00272E9C" w:rsidRPr="00787AB7" w:rsidRDefault="00272E9C" w:rsidP="00272E9C">
            <w:pPr>
              <w:jc w:val="right"/>
              <w:rPr>
                <w:rFonts w:ascii="Calibri" w:hAnsi="Calibri"/>
                <w:sz w:val="18"/>
                <w:szCs w:val="18"/>
              </w:rPr>
            </w:pPr>
            <w:r w:rsidRPr="00272E9C">
              <w:rPr>
                <w:rFonts w:ascii="Calibri" w:hAnsi="Calibri"/>
                <w:sz w:val="18"/>
                <w:szCs w:val="18"/>
              </w:rPr>
              <w:t>-692</w:t>
            </w:r>
          </w:p>
        </w:tc>
        <w:tc>
          <w:tcPr>
            <w:tcW w:w="1291" w:type="dxa"/>
            <w:shd w:val="clear" w:color="auto" w:fill="auto"/>
            <w:vAlign w:val="center"/>
          </w:tcPr>
          <w:p w14:paraId="7167B387" w14:textId="248F3505" w:rsidR="00272E9C" w:rsidRPr="00787AB7" w:rsidRDefault="00272E9C" w:rsidP="00272E9C">
            <w:pPr>
              <w:jc w:val="right"/>
              <w:rPr>
                <w:rFonts w:ascii="Calibri" w:hAnsi="Calibri"/>
                <w:sz w:val="18"/>
                <w:szCs w:val="18"/>
              </w:rPr>
            </w:pPr>
            <w:r w:rsidRPr="00272E9C">
              <w:rPr>
                <w:rFonts w:ascii="Calibri" w:hAnsi="Calibri"/>
                <w:sz w:val="18"/>
                <w:szCs w:val="18"/>
              </w:rPr>
              <w:t xml:space="preserve"> 97,1%</w:t>
            </w:r>
          </w:p>
        </w:tc>
      </w:tr>
    </w:tbl>
    <w:p w14:paraId="078C49F5" w14:textId="77777777" w:rsidR="00047AC1" w:rsidRPr="00787AB7" w:rsidRDefault="00047AC1" w:rsidP="00904533">
      <w:pPr>
        <w:pStyle w:val="Lista3"/>
        <w:ind w:left="0" w:firstLine="0"/>
        <w:jc w:val="both"/>
        <w:rPr>
          <w:rFonts w:asciiTheme="minorHAnsi" w:hAnsiTheme="minorHAnsi"/>
        </w:rPr>
      </w:pPr>
    </w:p>
    <w:p w14:paraId="2BFDE3B8" w14:textId="77777777" w:rsidR="00B840AB" w:rsidRPr="00815EC0" w:rsidRDefault="00B840AB" w:rsidP="00B840AB">
      <w:pPr>
        <w:pStyle w:val="Lista3"/>
        <w:ind w:left="0" w:firstLine="0"/>
        <w:jc w:val="both"/>
        <w:rPr>
          <w:rFonts w:asciiTheme="minorHAnsi" w:hAnsiTheme="minorHAnsi"/>
        </w:rPr>
      </w:pPr>
      <w:r w:rsidRPr="00815EC0">
        <w:rPr>
          <w:rFonts w:asciiTheme="minorHAnsi" w:hAnsiTheme="minorHAnsi"/>
        </w:rPr>
        <w:t>A premisszáknak megfelelően, a fenti táblázat 2018. évi Terv adatai minden ágazat esetén +1% teljesítmény-tartalékot tartalmaznak, a terv készítésekor tételesen még nem ismert, 2018-as rendezvények okozta többlet igények fedezésére (pl.: Papp László Aréna rendezvényei, labdarúgó mérkőzések, tömegsport rendezvények, fővárosi út zárak, stb.).</w:t>
      </w:r>
    </w:p>
    <w:p w14:paraId="4C99729D" w14:textId="77777777" w:rsidR="00904533" w:rsidRPr="00787AB7" w:rsidRDefault="00904533" w:rsidP="00904533">
      <w:pPr>
        <w:rPr>
          <w:rFonts w:asciiTheme="minorHAnsi" w:hAnsiTheme="minorHAnsi" w:cstheme="minorHAnsi"/>
          <w:b/>
        </w:rPr>
      </w:pPr>
    </w:p>
    <w:p w14:paraId="35CED12B" w14:textId="77777777" w:rsidR="00904533" w:rsidRPr="00787AB7" w:rsidRDefault="00904533">
      <w:pPr>
        <w:rPr>
          <w:rFonts w:asciiTheme="minorHAnsi" w:hAnsiTheme="minorHAnsi" w:cstheme="minorHAnsi"/>
          <w:b/>
        </w:rPr>
      </w:pPr>
    </w:p>
    <w:p w14:paraId="5A3B3A2F" w14:textId="7D67CB00" w:rsidR="00272E9C" w:rsidRPr="00E32596" w:rsidRDefault="00272E9C" w:rsidP="00272E9C">
      <w:pPr>
        <w:pStyle w:val="Cmsor3"/>
        <w:tabs>
          <w:tab w:val="clear" w:pos="2007"/>
        </w:tabs>
        <w:ind w:left="0" w:firstLine="0"/>
        <w:rPr>
          <w:rFonts w:asciiTheme="minorHAnsi" w:hAnsiTheme="minorHAnsi"/>
        </w:rPr>
      </w:pPr>
      <w:bookmarkStart w:id="18" w:name="_Toc512409609"/>
      <w:r w:rsidRPr="00E32596">
        <w:rPr>
          <w:rFonts w:asciiTheme="minorHAnsi" w:hAnsiTheme="minorHAnsi"/>
          <w:bCs w:val="0"/>
        </w:rPr>
        <w:t>- Az alapteljesítmények vizsgálata</w:t>
      </w:r>
      <w:bookmarkEnd w:id="18"/>
    </w:p>
    <w:p w14:paraId="2D33F591" w14:textId="77777777" w:rsidR="00272E9C" w:rsidRPr="00E32596" w:rsidRDefault="00272E9C" w:rsidP="00272E9C">
      <w:pPr>
        <w:pStyle w:val="Lista3"/>
        <w:ind w:left="0" w:firstLine="0"/>
        <w:jc w:val="both"/>
      </w:pPr>
    </w:p>
    <w:p w14:paraId="05A6AF53" w14:textId="7C3184B3" w:rsidR="004B752F" w:rsidRPr="00787AB7" w:rsidRDefault="00B840AB" w:rsidP="00787AB7">
      <w:pPr>
        <w:pStyle w:val="Lista3"/>
        <w:ind w:left="0" w:firstLine="0"/>
        <w:jc w:val="both"/>
        <w:rPr>
          <w:b/>
        </w:rPr>
      </w:pPr>
      <w:r w:rsidRPr="00E32596">
        <w:rPr>
          <w:rFonts w:asciiTheme="minorHAnsi" w:hAnsiTheme="minorHAnsi"/>
        </w:rPr>
        <w:t>Az ágazatok alapteljesítménye (mely az M3 rekonstrukciós hatás nélküli forgalmi teljesítmények összessége) az alábbiak szerint változik a 2018. évben:</w:t>
      </w:r>
      <w:r w:rsidR="009A1A77" w:rsidRPr="00787AB7">
        <w:br w:type="page"/>
      </w:r>
    </w:p>
    <w:bookmarkEnd w:id="17"/>
    <w:p w14:paraId="66A0C251" w14:textId="77777777" w:rsidR="00AB1149" w:rsidRPr="00787AB7" w:rsidRDefault="00AB1149" w:rsidP="00AB1149">
      <w:pPr>
        <w:pStyle w:val="Lista3"/>
        <w:ind w:left="0" w:firstLine="0"/>
        <w:jc w:val="both"/>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107"/>
        <w:gridCol w:w="1076"/>
        <w:gridCol w:w="1388"/>
        <w:gridCol w:w="1234"/>
        <w:gridCol w:w="1188"/>
      </w:tblGrid>
      <w:tr w:rsidR="00272E9C" w:rsidRPr="0056690E" w14:paraId="22CEA182" w14:textId="77777777" w:rsidTr="00272E9C">
        <w:trPr>
          <w:trHeight w:val="742"/>
          <w:jc w:val="center"/>
        </w:trPr>
        <w:tc>
          <w:tcPr>
            <w:tcW w:w="2067" w:type="dxa"/>
            <w:shd w:val="clear" w:color="auto" w:fill="2528A3"/>
            <w:vAlign w:val="center"/>
          </w:tcPr>
          <w:p w14:paraId="404B7BFC" w14:textId="12BCAF2E" w:rsidR="00272E9C" w:rsidRPr="00787AB7" w:rsidRDefault="009A1A77" w:rsidP="00272E9C">
            <w:pPr>
              <w:rPr>
                <w:rFonts w:ascii="Calibri" w:hAnsi="Calibri"/>
                <w:b/>
                <w:color w:val="FFFFFF" w:themeColor="background1"/>
                <w:sz w:val="20"/>
                <w:szCs w:val="20"/>
              </w:rPr>
            </w:pPr>
            <w:r w:rsidRPr="00787AB7">
              <w:rPr>
                <w:rFonts w:ascii="Calibri" w:hAnsi="Calibri"/>
                <w:b/>
                <w:color w:val="FFFFFF" w:themeColor="background1"/>
                <w:sz w:val="20"/>
                <w:szCs w:val="20"/>
              </w:rPr>
              <w:t>Megnevezés</w:t>
            </w:r>
          </w:p>
        </w:tc>
        <w:tc>
          <w:tcPr>
            <w:tcW w:w="2107" w:type="dxa"/>
            <w:shd w:val="clear" w:color="auto" w:fill="2528A3"/>
            <w:vAlign w:val="center"/>
          </w:tcPr>
          <w:p w14:paraId="2AE0553B" w14:textId="6B993D9E" w:rsidR="00272E9C" w:rsidRPr="00787AB7" w:rsidRDefault="009A1A77" w:rsidP="00272E9C">
            <w:pPr>
              <w:jc w:val="center"/>
              <w:rPr>
                <w:rFonts w:ascii="Calibri" w:hAnsi="Calibri"/>
                <w:b/>
                <w:color w:val="FFFFFF" w:themeColor="background1"/>
                <w:sz w:val="20"/>
                <w:szCs w:val="20"/>
              </w:rPr>
            </w:pPr>
            <w:r w:rsidRPr="00787AB7">
              <w:rPr>
                <w:rFonts w:ascii="Calibri" w:hAnsi="Calibri"/>
                <w:b/>
                <w:color w:val="FFFFFF" w:themeColor="background1"/>
                <w:sz w:val="20"/>
                <w:szCs w:val="20"/>
              </w:rPr>
              <w:t>BKV szárazföldi teljesítmény, M3 rekonstrukciós hatás nélkül</w:t>
            </w:r>
          </w:p>
        </w:tc>
        <w:tc>
          <w:tcPr>
            <w:tcW w:w="1076" w:type="dxa"/>
            <w:shd w:val="clear" w:color="auto" w:fill="2528A3"/>
            <w:vAlign w:val="center"/>
          </w:tcPr>
          <w:p w14:paraId="7B32745F" w14:textId="70DDC24B" w:rsidR="00272E9C" w:rsidRPr="00787AB7" w:rsidRDefault="009A1A77" w:rsidP="00272E9C">
            <w:pPr>
              <w:jc w:val="center"/>
              <w:rPr>
                <w:rFonts w:ascii="Calibri" w:hAnsi="Calibri" w:cs="Calibri"/>
                <w:b/>
                <w:bCs/>
                <w:color w:val="FFFFFF" w:themeColor="background1"/>
                <w:sz w:val="20"/>
                <w:szCs w:val="20"/>
              </w:rPr>
            </w:pPr>
            <w:r w:rsidRPr="00787AB7">
              <w:rPr>
                <w:rFonts w:ascii="Calibri" w:hAnsi="Calibri" w:cs="Calibri"/>
                <w:b/>
                <w:bCs/>
                <w:color w:val="FFFFFF" w:themeColor="background1"/>
                <w:sz w:val="20"/>
                <w:szCs w:val="20"/>
              </w:rPr>
              <w:t>2017. évi Tény*</w:t>
            </w:r>
          </w:p>
        </w:tc>
        <w:tc>
          <w:tcPr>
            <w:tcW w:w="1388" w:type="dxa"/>
            <w:shd w:val="clear" w:color="auto" w:fill="2528A3"/>
            <w:vAlign w:val="center"/>
          </w:tcPr>
          <w:p w14:paraId="59A76CB4" w14:textId="0673A6AB" w:rsidR="00272E9C" w:rsidRPr="00787AB7" w:rsidRDefault="009A1A77" w:rsidP="00272E9C">
            <w:pPr>
              <w:jc w:val="center"/>
              <w:rPr>
                <w:rFonts w:ascii="Calibri" w:hAnsi="Calibri" w:cs="Calibri"/>
                <w:b/>
                <w:bCs/>
                <w:color w:val="FFFFFF" w:themeColor="background1"/>
                <w:sz w:val="20"/>
                <w:szCs w:val="20"/>
              </w:rPr>
            </w:pPr>
            <w:r w:rsidRPr="00787AB7">
              <w:rPr>
                <w:rFonts w:ascii="Calibri" w:hAnsi="Calibri" w:cs="Calibri"/>
                <w:b/>
                <w:bCs/>
                <w:color w:val="FFFFFF" w:themeColor="background1"/>
                <w:sz w:val="20"/>
                <w:szCs w:val="20"/>
              </w:rPr>
              <w:t>2018. évi Terv</w:t>
            </w:r>
          </w:p>
        </w:tc>
        <w:tc>
          <w:tcPr>
            <w:tcW w:w="1234" w:type="dxa"/>
            <w:shd w:val="clear" w:color="auto" w:fill="2528A3"/>
            <w:vAlign w:val="center"/>
          </w:tcPr>
          <w:p w14:paraId="0702098A" w14:textId="1DCDA57F" w:rsidR="00272E9C" w:rsidRPr="00787AB7" w:rsidRDefault="009A1A77" w:rsidP="00272E9C">
            <w:pPr>
              <w:jc w:val="center"/>
              <w:rPr>
                <w:rFonts w:ascii="Calibri" w:hAnsi="Calibri" w:cs="Calibri"/>
                <w:b/>
                <w:bCs/>
                <w:color w:val="FFFFFF" w:themeColor="background1"/>
                <w:sz w:val="20"/>
                <w:szCs w:val="20"/>
              </w:rPr>
            </w:pPr>
            <w:r w:rsidRPr="00787AB7">
              <w:rPr>
                <w:rFonts w:ascii="Calibri" w:hAnsi="Calibri" w:cs="Calibri"/>
                <w:b/>
                <w:bCs/>
                <w:color w:val="FFFFFF" w:themeColor="background1"/>
                <w:sz w:val="20"/>
                <w:szCs w:val="20"/>
              </w:rPr>
              <w:t>Eltérés</w:t>
            </w:r>
          </w:p>
        </w:tc>
        <w:tc>
          <w:tcPr>
            <w:tcW w:w="1188" w:type="dxa"/>
            <w:shd w:val="clear" w:color="auto" w:fill="2528A3"/>
            <w:vAlign w:val="center"/>
          </w:tcPr>
          <w:p w14:paraId="7434A5EE" w14:textId="7552B587" w:rsidR="00272E9C" w:rsidRPr="00787AB7" w:rsidRDefault="009A1A77" w:rsidP="00272E9C">
            <w:pPr>
              <w:jc w:val="center"/>
              <w:rPr>
                <w:rFonts w:ascii="Calibri" w:hAnsi="Calibri" w:cs="Calibri"/>
                <w:b/>
                <w:bCs/>
                <w:color w:val="FFFFFF" w:themeColor="background1"/>
                <w:sz w:val="20"/>
                <w:szCs w:val="20"/>
              </w:rPr>
            </w:pPr>
            <w:r w:rsidRPr="00787AB7">
              <w:rPr>
                <w:rFonts w:ascii="Calibri" w:hAnsi="Calibri" w:cs="Calibri"/>
                <w:b/>
                <w:bCs/>
                <w:color w:val="FFFFFF" w:themeColor="background1"/>
                <w:sz w:val="20"/>
                <w:szCs w:val="20"/>
              </w:rPr>
              <w:t xml:space="preserve">Index </w:t>
            </w:r>
          </w:p>
        </w:tc>
      </w:tr>
      <w:tr w:rsidR="00272E9C" w:rsidRPr="0056690E" w14:paraId="5FCAB860" w14:textId="77777777" w:rsidTr="00272E9C">
        <w:trPr>
          <w:trHeight w:val="360"/>
          <w:jc w:val="center"/>
        </w:trPr>
        <w:tc>
          <w:tcPr>
            <w:tcW w:w="2067" w:type="dxa"/>
            <w:vMerge w:val="restart"/>
            <w:shd w:val="clear" w:color="auto" w:fill="auto"/>
            <w:vAlign w:val="center"/>
          </w:tcPr>
          <w:p w14:paraId="6C16D06A" w14:textId="010AE552" w:rsidR="00272E9C" w:rsidRPr="00787AB7" w:rsidRDefault="00272E9C" w:rsidP="00272E9C">
            <w:pPr>
              <w:rPr>
                <w:rFonts w:ascii="Calibri" w:hAnsi="Calibri" w:cs="Calibri"/>
                <w:bCs/>
                <w:sz w:val="18"/>
                <w:szCs w:val="18"/>
              </w:rPr>
            </w:pPr>
            <w:r w:rsidRPr="00815EC0">
              <w:rPr>
                <w:rFonts w:ascii="Calibri" w:hAnsi="Calibri" w:cs="Calibri"/>
                <w:bCs/>
                <w:sz w:val="18"/>
                <w:szCs w:val="18"/>
              </w:rPr>
              <w:t>Aktív (vonali) statisztikai férőhely-</w:t>
            </w:r>
            <w:r w:rsidRPr="00815EC0">
              <w:rPr>
                <w:rFonts w:ascii="Calibri" w:hAnsi="Calibri" w:cs="Calibri"/>
                <w:bCs/>
                <w:sz w:val="18"/>
                <w:szCs w:val="18"/>
              </w:rPr>
              <w:br/>
              <w:t>kilométer</w:t>
            </w:r>
            <w:r w:rsidRPr="00815EC0">
              <w:rPr>
                <w:rFonts w:ascii="Calibri" w:hAnsi="Calibri" w:cs="Calibri"/>
                <w:bCs/>
                <w:sz w:val="18"/>
                <w:szCs w:val="18"/>
              </w:rPr>
              <w:br/>
              <w:t>(ezer fhkm)</w:t>
            </w:r>
          </w:p>
        </w:tc>
        <w:tc>
          <w:tcPr>
            <w:tcW w:w="2107" w:type="dxa"/>
            <w:vAlign w:val="center"/>
          </w:tcPr>
          <w:p w14:paraId="42466AB1" w14:textId="1A0C3636" w:rsidR="00272E9C" w:rsidRPr="00787AB7" w:rsidRDefault="00272E9C" w:rsidP="00272E9C">
            <w:pPr>
              <w:rPr>
                <w:rFonts w:ascii="Calibri" w:hAnsi="Calibri"/>
                <w:sz w:val="18"/>
                <w:szCs w:val="18"/>
              </w:rPr>
            </w:pPr>
            <w:r w:rsidRPr="00815EC0">
              <w:rPr>
                <w:rFonts w:ascii="Calibri" w:hAnsi="Calibri"/>
                <w:sz w:val="18"/>
                <w:szCs w:val="18"/>
              </w:rPr>
              <w:t>Metró-MFAV</w:t>
            </w:r>
          </w:p>
        </w:tc>
        <w:tc>
          <w:tcPr>
            <w:tcW w:w="1076" w:type="dxa"/>
            <w:vAlign w:val="center"/>
          </w:tcPr>
          <w:p w14:paraId="2277EFA1" w14:textId="61886AAA" w:rsidR="00272E9C" w:rsidRPr="00787AB7" w:rsidRDefault="00272E9C" w:rsidP="00272E9C">
            <w:pPr>
              <w:jc w:val="right"/>
              <w:rPr>
                <w:rFonts w:ascii="Calibri" w:hAnsi="Calibri" w:cs="Calibri"/>
                <w:sz w:val="18"/>
                <w:szCs w:val="18"/>
              </w:rPr>
            </w:pPr>
            <w:r w:rsidRPr="00815EC0">
              <w:rPr>
                <w:rFonts w:ascii="Calibri" w:hAnsi="Calibri" w:cs="Calibri"/>
                <w:sz w:val="18"/>
                <w:szCs w:val="18"/>
              </w:rPr>
              <w:t>5 093 767</w:t>
            </w:r>
          </w:p>
        </w:tc>
        <w:tc>
          <w:tcPr>
            <w:tcW w:w="1388" w:type="dxa"/>
            <w:vAlign w:val="center"/>
          </w:tcPr>
          <w:p w14:paraId="6E30B978" w14:textId="4970F82D" w:rsidR="00272E9C" w:rsidRPr="00787AB7" w:rsidRDefault="00272E9C" w:rsidP="00272E9C">
            <w:pPr>
              <w:jc w:val="right"/>
              <w:rPr>
                <w:rFonts w:ascii="Calibri" w:hAnsi="Calibri"/>
                <w:sz w:val="18"/>
                <w:szCs w:val="18"/>
              </w:rPr>
            </w:pPr>
            <w:r w:rsidRPr="00815EC0">
              <w:rPr>
                <w:rFonts w:ascii="Calibri" w:hAnsi="Calibri"/>
                <w:sz w:val="18"/>
                <w:szCs w:val="18"/>
              </w:rPr>
              <w:t>5 266 135</w:t>
            </w:r>
          </w:p>
        </w:tc>
        <w:tc>
          <w:tcPr>
            <w:tcW w:w="1234" w:type="dxa"/>
            <w:shd w:val="clear" w:color="auto" w:fill="auto"/>
            <w:vAlign w:val="center"/>
          </w:tcPr>
          <w:p w14:paraId="5E482375" w14:textId="0DEDB49C" w:rsidR="00272E9C" w:rsidRPr="00787AB7" w:rsidRDefault="00272E9C" w:rsidP="00272E9C">
            <w:pPr>
              <w:jc w:val="right"/>
              <w:rPr>
                <w:rFonts w:ascii="Calibri" w:hAnsi="Calibri"/>
                <w:sz w:val="18"/>
                <w:szCs w:val="18"/>
              </w:rPr>
            </w:pPr>
            <w:r w:rsidRPr="00815EC0">
              <w:rPr>
                <w:rFonts w:ascii="Calibri" w:hAnsi="Calibri"/>
                <w:sz w:val="18"/>
                <w:szCs w:val="18"/>
              </w:rPr>
              <w:t>172 368</w:t>
            </w:r>
          </w:p>
        </w:tc>
        <w:tc>
          <w:tcPr>
            <w:tcW w:w="1188" w:type="dxa"/>
            <w:shd w:val="clear" w:color="auto" w:fill="auto"/>
            <w:vAlign w:val="center"/>
          </w:tcPr>
          <w:p w14:paraId="10852AE1" w14:textId="73368B7A" w:rsidR="00272E9C" w:rsidRPr="00787AB7" w:rsidRDefault="00272E9C" w:rsidP="00272E9C">
            <w:pPr>
              <w:jc w:val="right"/>
              <w:rPr>
                <w:rFonts w:ascii="Calibri" w:hAnsi="Calibri"/>
                <w:sz w:val="18"/>
                <w:szCs w:val="18"/>
              </w:rPr>
            </w:pPr>
            <w:r w:rsidRPr="00815EC0">
              <w:rPr>
                <w:rFonts w:ascii="Calibri" w:hAnsi="Calibri"/>
                <w:sz w:val="18"/>
                <w:szCs w:val="18"/>
              </w:rPr>
              <w:t>103,4%</w:t>
            </w:r>
          </w:p>
        </w:tc>
      </w:tr>
      <w:tr w:rsidR="00272E9C" w:rsidRPr="0056690E" w14:paraId="68E5B032" w14:textId="77777777" w:rsidTr="00272E9C">
        <w:trPr>
          <w:trHeight w:val="360"/>
          <w:jc w:val="center"/>
        </w:trPr>
        <w:tc>
          <w:tcPr>
            <w:tcW w:w="2067" w:type="dxa"/>
            <w:vMerge/>
            <w:shd w:val="clear" w:color="auto" w:fill="auto"/>
            <w:vAlign w:val="center"/>
          </w:tcPr>
          <w:p w14:paraId="7F103561" w14:textId="77777777" w:rsidR="00272E9C" w:rsidRPr="00787AB7" w:rsidRDefault="00272E9C" w:rsidP="00272E9C">
            <w:pPr>
              <w:rPr>
                <w:rFonts w:ascii="Calibri" w:hAnsi="Calibri" w:cs="Calibri"/>
                <w:bCs/>
                <w:sz w:val="18"/>
                <w:szCs w:val="18"/>
              </w:rPr>
            </w:pPr>
          </w:p>
        </w:tc>
        <w:tc>
          <w:tcPr>
            <w:tcW w:w="2107" w:type="dxa"/>
            <w:vAlign w:val="center"/>
          </w:tcPr>
          <w:p w14:paraId="2BDCC9C5" w14:textId="0E91BA1D" w:rsidR="00272E9C" w:rsidRPr="00787AB7" w:rsidRDefault="00272E9C" w:rsidP="00272E9C">
            <w:pPr>
              <w:rPr>
                <w:rFonts w:ascii="Calibri" w:hAnsi="Calibri"/>
                <w:sz w:val="18"/>
                <w:szCs w:val="18"/>
              </w:rPr>
            </w:pPr>
            <w:r w:rsidRPr="00815EC0">
              <w:rPr>
                <w:rFonts w:ascii="Calibri" w:hAnsi="Calibri"/>
                <w:sz w:val="18"/>
                <w:szCs w:val="18"/>
              </w:rPr>
              <w:t>Villamos-fogas</w:t>
            </w:r>
          </w:p>
        </w:tc>
        <w:tc>
          <w:tcPr>
            <w:tcW w:w="1076" w:type="dxa"/>
            <w:vAlign w:val="center"/>
          </w:tcPr>
          <w:p w14:paraId="50354409" w14:textId="079DA881" w:rsidR="00272E9C" w:rsidRPr="00787AB7" w:rsidRDefault="00272E9C" w:rsidP="00272E9C">
            <w:pPr>
              <w:jc w:val="right"/>
              <w:rPr>
                <w:rFonts w:ascii="Calibri" w:hAnsi="Calibri" w:cs="Calibri"/>
                <w:sz w:val="18"/>
                <w:szCs w:val="18"/>
              </w:rPr>
            </w:pPr>
            <w:r w:rsidRPr="00815EC0">
              <w:rPr>
                <w:rFonts w:ascii="Calibri" w:hAnsi="Calibri" w:cs="Calibri"/>
                <w:sz w:val="18"/>
                <w:szCs w:val="18"/>
              </w:rPr>
              <w:t>4 223 865</w:t>
            </w:r>
          </w:p>
        </w:tc>
        <w:tc>
          <w:tcPr>
            <w:tcW w:w="1388" w:type="dxa"/>
            <w:vAlign w:val="center"/>
          </w:tcPr>
          <w:p w14:paraId="267FF353" w14:textId="465618A8" w:rsidR="00272E9C" w:rsidRPr="00787AB7" w:rsidRDefault="00272E9C" w:rsidP="00272E9C">
            <w:pPr>
              <w:jc w:val="right"/>
              <w:rPr>
                <w:rFonts w:ascii="Calibri" w:hAnsi="Calibri"/>
                <w:sz w:val="18"/>
                <w:szCs w:val="18"/>
              </w:rPr>
            </w:pPr>
            <w:r w:rsidRPr="00815EC0">
              <w:rPr>
                <w:rFonts w:ascii="Calibri" w:hAnsi="Calibri"/>
                <w:sz w:val="18"/>
                <w:szCs w:val="18"/>
              </w:rPr>
              <w:t>4 340 779</w:t>
            </w:r>
          </w:p>
        </w:tc>
        <w:tc>
          <w:tcPr>
            <w:tcW w:w="1234" w:type="dxa"/>
            <w:shd w:val="clear" w:color="auto" w:fill="auto"/>
            <w:vAlign w:val="center"/>
          </w:tcPr>
          <w:p w14:paraId="15A679C4" w14:textId="6FFCBCEB" w:rsidR="00272E9C" w:rsidRPr="00787AB7" w:rsidRDefault="00272E9C" w:rsidP="00272E9C">
            <w:pPr>
              <w:jc w:val="right"/>
              <w:rPr>
                <w:rFonts w:ascii="Calibri" w:hAnsi="Calibri"/>
                <w:sz w:val="18"/>
                <w:szCs w:val="18"/>
              </w:rPr>
            </w:pPr>
            <w:r w:rsidRPr="00815EC0">
              <w:rPr>
                <w:rFonts w:ascii="Calibri" w:hAnsi="Calibri"/>
                <w:sz w:val="18"/>
                <w:szCs w:val="18"/>
              </w:rPr>
              <w:t>116 914</w:t>
            </w:r>
          </w:p>
        </w:tc>
        <w:tc>
          <w:tcPr>
            <w:tcW w:w="1188" w:type="dxa"/>
            <w:shd w:val="clear" w:color="auto" w:fill="auto"/>
            <w:vAlign w:val="center"/>
          </w:tcPr>
          <w:p w14:paraId="2E9A1A0A" w14:textId="4DE8860C" w:rsidR="00272E9C" w:rsidRPr="00787AB7" w:rsidRDefault="00272E9C" w:rsidP="00272E9C">
            <w:pPr>
              <w:jc w:val="right"/>
              <w:rPr>
                <w:rFonts w:ascii="Calibri" w:hAnsi="Calibri"/>
                <w:sz w:val="18"/>
                <w:szCs w:val="18"/>
              </w:rPr>
            </w:pPr>
            <w:r w:rsidRPr="00815EC0">
              <w:rPr>
                <w:rFonts w:ascii="Calibri" w:hAnsi="Calibri"/>
                <w:sz w:val="18"/>
                <w:szCs w:val="18"/>
              </w:rPr>
              <w:t>102,8%</w:t>
            </w:r>
          </w:p>
        </w:tc>
      </w:tr>
      <w:tr w:rsidR="00272E9C" w:rsidRPr="0056690E" w14:paraId="41CA5552" w14:textId="77777777" w:rsidTr="00272E9C">
        <w:trPr>
          <w:trHeight w:val="360"/>
          <w:jc w:val="center"/>
        </w:trPr>
        <w:tc>
          <w:tcPr>
            <w:tcW w:w="2067" w:type="dxa"/>
            <w:vMerge/>
            <w:shd w:val="clear" w:color="auto" w:fill="auto"/>
            <w:vAlign w:val="center"/>
          </w:tcPr>
          <w:p w14:paraId="4EA561B4" w14:textId="77777777" w:rsidR="00272E9C" w:rsidRPr="00787AB7" w:rsidRDefault="00272E9C" w:rsidP="00272E9C">
            <w:pPr>
              <w:rPr>
                <w:rFonts w:ascii="Calibri" w:hAnsi="Calibri" w:cs="Calibri"/>
                <w:bCs/>
                <w:sz w:val="18"/>
                <w:szCs w:val="18"/>
              </w:rPr>
            </w:pPr>
          </w:p>
        </w:tc>
        <w:tc>
          <w:tcPr>
            <w:tcW w:w="2107" w:type="dxa"/>
            <w:vAlign w:val="center"/>
          </w:tcPr>
          <w:p w14:paraId="39A213AD" w14:textId="6C6B4BCE" w:rsidR="00272E9C" w:rsidRPr="00787AB7" w:rsidRDefault="00272E9C" w:rsidP="00272E9C">
            <w:pPr>
              <w:rPr>
                <w:rFonts w:ascii="Calibri" w:hAnsi="Calibri"/>
                <w:sz w:val="18"/>
                <w:szCs w:val="18"/>
              </w:rPr>
            </w:pPr>
            <w:r w:rsidRPr="00815EC0">
              <w:rPr>
                <w:rFonts w:ascii="Calibri" w:hAnsi="Calibri"/>
                <w:sz w:val="18"/>
                <w:szCs w:val="18"/>
              </w:rPr>
              <w:t>Trolibusz</w:t>
            </w:r>
          </w:p>
        </w:tc>
        <w:tc>
          <w:tcPr>
            <w:tcW w:w="1076" w:type="dxa"/>
            <w:vAlign w:val="center"/>
          </w:tcPr>
          <w:p w14:paraId="19D9B329" w14:textId="7EE508A1" w:rsidR="00272E9C" w:rsidRPr="00787AB7" w:rsidRDefault="00272E9C" w:rsidP="007A0BFA">
            <w:pPr>
              <w:jc w:val="right"/>
              <w:rPr>
                <w:rFonts w:ascii="Calibri" w:hAnsi="Calibri" w:cs="Calibri"/>
                <w:sz w:val="18"/>
                <w:szCs w:val="18"/>
              </w:rPr>
            </w:pPr>
            <w:r w:rsidRPr="00815EC0">
              <w:rPr>
                <w:rFonts w:ascii="Calibri" w:hAnsi="Calibri" w:cs="Calibri"/>
                <w:sz w:val="18"/>
                <w:szCs w:val="18"/>
              </w:rPr>
              <w:t xml:space="preserve">471 </w:t>
            </w:r>
            <w:r w:rsidR="007A0BFA" w:rsidRPr="00815EC0">
              <w:rPr>
                <w:rFonts w:ascii="Calibri" w:hAnsi="Calibri" w:cs="Calibri"/>
                <w:sz w:val="18"/>
                <w:szCs w:val="18"/>
              </w:rPr>
              <w:t>93</w:t>
            </w:r>
            <w:r w:rsidR="007A0BFA">
              <w:rPr>
                <w:rFonts w:ascii="Calibri" w:hAnsi="Calibri" w:cs="Calibri"/>
                <w:sz w:val="18"/>
                <w:szCs w:val="18"/>
              </w:rPr>
              <w:t>0</w:t>
            </w:r>
          </w:p>
        </w:tc>
        <w:tc>
          <w:tcPr>
            <w:tcW w:w="1388" w:type="dxa"/>
            <w:vAlign w:val="center"/>
          </w:tcPr>
          <w:p w14:paraId="4FBAE12B" w14:textId="4581FC2A" w:rsidR="00272E9C" w:rsidRPr="00787AB7" w:rsidRDefault="00272E9C" w:rsidP="00272E9C">
            <w:pPr>
              <w:jc w:val="right"/>
              <w:rPr>
                <w:rFonts w:ascii="Calibri" w:hAnsi="Calibri"/>
                <w:sz w:val="18"/>
                <w:szCs w:val="18"/>
              </w:rPr>
            </w:pPr>
            <w:r w:rsidRPr="00815EC0">
              <w:rPr>
                <w:rFonts w:ascii="Calibri" w:hAnsi="Calibri"/>
                <w:sz w:val="18"/>
                <w:szCs w:val="18"/>
              </w:rPr>
              <w:t>511 623</w:t>
            </w:r>
          </w:p>
        </w:tc>
        <w:tc>
          <w:tcPr>
            <w:tcW w:w="1234" w:type="dxa"/>
            <w:shd w:val="clear" w:color="auto" w:fill="auto"/>
            <w:vAlign w:val="center"/>
          </w:tcPr>
          <w:p w14:paraId="4F5D0E14" w14:textId="26B3A1F7" w:rsidR="00272E9C" w:rsidRPr="00787AB7" w:rsidRDefault="00272E9C" w:rsidP="00272E9C">
            <w:pPr>
              <w:jc w:val="right"/>
              <w:rPr>
                <w:rFonts w:ascii="Calibri" w:hAnsi="Calibri"/>
                <w:sz w:val="18"/>
                <w:szCs w:val="18"/>
              </w:rPr>
            </w:pPr>
            <w:r w:rsidRPr="00815EC0">
              <w:rPr>
                <w:rFonts w:ascii="Calibri" w:hAnsi="Calibri"/>
                <w:sz w:val="18"/>
                <w:szCs w:val="18"/>
              </w:rPr>
              <w:t>39 692</w:t>
            </w:r>
          </w:p>
        </w:tc>
        <w:tc>
          <w:tcPr>
            <w:tcW w:w="1188" w:type="dxa"/>
            <w:shd w:val="clear" w:color="auto" w:fill="auto"/>
            <w:vAlign w:val="center"/>
          </w:tcPr>
          <w:p w14:paraId="3FF1FED7" w14:textId="545937E0" w:rsidR="00272E9C" w:rsidRPr="00787AB7" w:rsidRDefault="00272E9C" w:rsidP="00272E9C">
            <w:pPr>
              <w:jc w:val="right"/>
              <w:rPr>
                <w:rFonts w:ascii="Calibri" w:hAnsi="Calibri"/>
                <w:sz w:val="18"/>
                <w:szCs w:val="18"/>
              </w:rPr>
            </w:pPr>
            <w:r w:rsidRPr="00815EC0">
              <w:rPr>
                <w:rFonts w:ascii="Calibri" w:hAnsi="Calibri"/>
                <w:sz w:val="18"/>
                <w:szCs w:val="18"/>
              </w:rPr>
              <w:t>108,4%</w:t>
            </w:r>
          </w:p>
        </w:tc>
      </w:tr>
      <w:tr w:rsidR="00272E9C" w:rsidRPr="0056690E" w14:paraId="288B4DD2" w14:textId="77777777" w:rsidTr="00272E9C">
        <w:trPr>
          <w:trHeight w:val="360"/>
          <w:jc w:val="center"/>
        </w:trPr>
        <w:tc>
          <w:tcPr>
            <w:tcW w:w="2067" w:type="dxa"/>
            <w:vMerge/>
            <w:shd w:val="clear" w:color="auto" w:fill="auto"/>
            <w:vAlign w:val="center"/>
          </w:tcPr>
          <w:p w14:paraId="0A38151E" w14:textId="77777777" w:rsidR="00272E9C" w:rsidRPr="00787AB7" w:rsidRDefault="00272E9C" w:rsidP="00272E9C">
            <w:pPr>
              <w:rPr>
                <w:rFonts w:ascii="Calibri" w:hAnsi="Calibri" w:cs="Calibri"/>
                <w:bCs/>
                <w:sz w:val="18"/>
                <w:szCs w:val="18"/>
              </w:rPr>
            </w:pPr>
          </w:p>
        </w:tc>
        <w:tc>
          <w:tcPr>
            <w:tcW w:w="2107" w:type="dxa"/>
            <w:vAlign w:val="center"/>
          </w:tcPr>
          <w:p w14:paraId="248EC9B6" w14:textId="7DC18096" w:rsidR="00272E9C" w:rsidRPr="00787AB7" w:rsidRDefault="00272E9C" w:rsidP="00272E9C">
            <w:pPr>
              <w:rPr>
                <w:rFonts w:ascii="Calibri" w:hAnsi="Calibri"/>
                <w:sz w:val="18"/>
                <w:szCs w:val="18"/>
              </w:rPr>
            </w:pPr>
            <w:r w:rsidRPr="00815EC0">
              <w:rPr>
                <w:rFonts w:ascii="Calibri" w:hAnsi="Calibri"/>
                <w:sz w:val="18"/>
                <w:szCs w:val="18"/>
              </w:rPr>
              <w:t>Autóbusz</w:t>
            </w:r>
          </w:p>
        </w:tc>
        <w:tc>
          <w:tcPr>
            <w:tcW w:w="1076" w:type="dxa"/>
            <w:vAlign w:val="center"/>
          </w:tcPr>
          <w:p w14:paraId="14DD0C3C" w14:textId="39048EBF" w:rsidR="00272E9C" w:rsidRPr="00787AB7" w:rsidRDefault="00272E9C" w:rsidP="007A0BFA">
            <w:pPr>
              <w:jc w:val="right"/>
              <w:rPr>
                <w:rFonts w:ascii="Calibri" w:hAnsi="Calibri" w:cs="Calibri"/>
                <w:sz w:val="18"/>
                <w:szCs w:val="18"/>
              </w:rPr>
            </w:pPr>
            <w:r w:rsidRPr="00815EC0">
              <w:rPr>
                <w:rFonts w:ascii="Calibri" w:hAnsi="Calibri" w:cs="Calibri"/>
                <w:sz w:val="18"/>
                <w:szCs w:val="18"/>
              </w:rPr>
              <w:t xml:space="preserve">3 885 </w:t>
            </w:r>
            <w:r w:rsidR="007A0BFA" w:rsidRPr="00815EC0">
              <w:rPr>
                <w:rFonts w:ascii="Calibri" w:hAnsi="Calibri" w:cs="Calibri"/>
                <w:sz w:val="18"/>
                <w:szCs w:val="18"/>
              </w:rPr>
              <w:t>86</w:t>
            </w:r>
            <w:r w:rsidR="007A0BFA">
              <w:rPr>
                <w:rFonts w:ascii="Calibri" w:hAnsi="Calibri" w:cs="Calibri"/>
                <w:sz w:val="18"/>
                <w:szCs w:val="18"/>
              </w:rPr>
              <w:t>3</w:t>
            </w:r>
          </w:p>
        </w:tc>
        <w:tc>
          <w:tcPr>
            <w:tcW w:w="1388" w:type="dxa"/>
            <w:vAlign w:val="center"/>
          </w:tcPr>
          <w:p w14:paraId="7F2B075A" w14:textId="51FF0292" w:rsidR="00272E9C" w:rsidRPr="00787AB7" w:rsidRDefault="00272E9C" w:rsidP="00272E9C">
            <w:pPr>
              <w:jc w:val="right"/>
              <w:rPr>
                <w:rFonts w:ascii="Calibri" w:hAnsi="Calibri"/>
                <w:sz w:val="18"/>
                <w:szCs w:val="18"/>
              </w:rPr>
            </w:pPr>
            <w:r w:rsidRPr="00815EC0">
              <w:rPr>
                <w:rFonts w:ascii="Calibri" w:hAnsi="Calibri"/>
                <w:sz w:val="18"/>
                <w:szCs w:val="18"/>
              </w:rPr>
              <w:t>3 786 352</w:t>
            </w:r>
          </w:p>
        </w:tc>
        <w:tc>
          <w:tcPr>
            <w:tcW w:w="1234" w:type="dxa"/>
            <w:shd w:val="clear" w:color="auto" w:fill="auto"/>
            <w:vAlign w:val="center"/>
          </w:tcPr>
          <w:p w14:paraId="30C5F252" w14:textId="3F127A0C" w:rsidR="00272E9C" w:rsidRPr="00787AB7" w:rsidRDefault="00272E9C" w:rsidP="00272E9C">
            <w:pPr>
              <w:jc w:val="right"/>
              <w:rPr>
                <w:rFonts w:ascii="Calibri" w:hAnsi="Calibri"/>
                <w:sz w:val="18"/>
                <w:szCs w:val="18"/>
              </w:rPr>
            </w:pPr>
            <w:r w:rsidRPr="00815EC0">
              <w:rPr>
                <w:rFonts w:ascii="Calibri" w:hAnsi="Calibri"/>
                <w:sz w:val="18"/>
                <w:szCs w:val="18"/>
              </w:rPr>
              <w:t>-99 510</w:t>
            </w:r>
          </w:p>
        </w:tc>
        <w:tc>
          <w:tcPr>
            <w:tcW w:w="1188" w:type="dxa"/>
            <w:shd w:val="clear" w:color="auto" w:fill="auto"/>
            <w:vAlign w:val="center"/>
          </w:tcPr>
          <w:p w14:paraId="34EDF98C" w14:textId="42E1047D" w:rsidR="00272E9C" w:rsidRPr="00787AB7" w:rsidRDefault="00272E9C" w:rsidP="00272E9C">
            <w:pPr>
              <w:jc w:val="right"/>
              <w:rPr>
                <w:rFonts w:ascii="Calibri" w:hAnsi="Calibri"/>
                <w:sz w:val="18"/>
                <w:szCs w:val="18"/>
              </w:rPr>
            </w:pPr>
            <w:r w:rsidRPr="00815EC0">
              <w:rPr>
                <w:rFonts w:ascii="Calibri" w:hAnsi="Calibri"/>
                <w:sz w:val="18"/>
                <w:szCs w:val="18"/>
              </w:rPr>
              <w:t>97,4%</w:t>
            </w:r>
          </w:p>
        </w:tc>
      </w:tr>
      <w:tr w:rsidR="00272E9C" w:rsidRPr="0056690E" w14:paraId="427DCB1C" w14:textId="77777777" w:rsidTr="00272E9C">
        <w:trPr>
          <w:trHeight w:val="360"/>
          <w:jc w:val="center"/>
        </w:trPr>
        <w:tc>
          <w:tcPr>
            <w:tcW w:w="2067" w:type="dxa"/>
            <w:vMerge/>
            <w:shd w:val="clear" w:color="auto" w:fill="auto"/>
            <w:vAlign w:val="center"/>
          </w:tcPr>
          <w:p w14:paraId="03354297" w14:textId="77777777" w:rsidR="00272E9C" w:rsidRPr="00787AB7" w:rsidRDefault="00272E9C" w:rsidP="00272E9C">
            <w:pPr>
              <w:rPr>
                <w:rFonts w:ascii="Calibri" w:hAnsi="Calibri" w:cs="Calibri"/>
                <w:bCs/>
                <w:sz w:val="18"/>
                <w:szCs w:val="18"/>
              </w:rPr>
            </w:pPr>
          </w:p>
        </w:tc>
        <w:tc>
          <w:tcPr>
            <w:tcW w:w="2107" w:type="dxa"/>
            <w:vAlign w:val="center"/>
          </w:tcPr>
          <w:p w14:paraId="2D485168" w14:textId="4D75F8FD" w:rsidR="00272E9C" w:rsidRPr="00787AB7" w:rsidRDefault="00272E9C" w:rsidP="00272E9C">
            <w:pPr>
              <w:rPr>
                <w:rFonts w:ascii="Calibri" w:hAnsi="Calibri"/>
                <w:b/>
                <w:sz w:val="18"/>
                <w:szCs w:val="18"/>
              </w:rPr>
            </w:pPr>
            <w:r w:rsidRPr="00815EC0">
              <w:rPr>
                <w:rFonts w:ascii="Calibri" w:hAnsi="Calibri"/>
                <w:b/>
                <w:sz w:val="18"/>
                <w:szCs w:val="18"/>
              </w:rPr>
              <w:t>Mindösszesen</w:t>
            </w:r>
          </w:p>
        </w:tc>
        <w:tc>
          <w:tcPr>
            <w:tcW w:w="1076" w:type="dxa"/>
            <w:vAlign w:val="center"/>
          </w:tcPr>
          <w:p w14:paraId="4A67BF40" w14:textId="41DDE9FC" w:rsidR="00272E9C" w:rsidRPr="00787AB7" w:rsidRDefault="00272E9C" w:rsidP="00272E9C">
            <w:pPr>
              <w:jc w:val="right"/>
              <w:rPr>
                <w:rFonts w:ascii="Calibri" w:hAnsi="Calibri" w:cs="Calibri"/>
                <w:b/>
                <w:sz w:val="18"/>
                <w:szCs w:val="18"/>
              </w:rPr>
            </w:pPr>
            <w:r w:rsidRPr="00815EC0">
              <w:rPr>
                <w:rFonts w:ascii="Calibri" w:hAnsi="Calibri" w:cs="Calibri"/>
                <w:b/>
                <w:sz w:val="18"/>
                <w:szCs w:val="18"/>
              </w:rPr>
              <w:t>13 675 425</w:t>
            </w:r>
          </w:p>
        </w:tc>
        <w:tc>
          <w:tcPr>
            <w:tcW w:w="1388" w:type="dxa"/>
            <w:vAlign w:val="center"/>
          </w:tcPr>
          <w:p w14:paraId="0920DB23" w14:textId="79664DD9" w:rsidR="00272E9C" w:rsidRPr="00787AB7" w:rsidRDefault="00272E9C" w:rsidP="00272E9C">
            <w:pPr>
              <w:jc w:val="right"/>
              <w:rPr>
                <w:rFonts w:ascii="Calibri" w:hAnsi="Calibri"/>
                <w:b/>
                <w:sz w:val="18"/>
                <w:szCs w:val="18"/>
              </w:rPr>
            </w:pPr>
            <w:r w:rsidRPr="00815EC0">
              <w:rPr>
                <w:rFonts w:ascii="Calibri" w:hAnsi="Calibri"/>
                <w:b/>
                <w:sz w:val="18"/>
                <w:szCs w:val="18"/>
              </w:rPr>
              <w:t>13 904 889</w:t>
            </w:r>
          </w:p>
        </w:tc>
        <w:tc>
          <w:tcPr>
            <w:tcW w:w="1234" w:type="dxa"/>
            <w:shd w:val="clear" w:color="auto" w:fill="auto"/>
            <w:vAlign w:val="center"/>
          </w:tcPr>
          <w:p w14:paraId="4C837BDF" w14:textId="64C56DD9" w:rsidR="00272E9C" w:rsidRPr="00787AB7" w:rsidRDefault="00272E9C" w:rsidP="00272E9C">
            <w:pPr>
              <w:jc w:val="right"/>
              <w:rPr>
                <w:rFonts w:ascii="Calibri" w:hAnsi="Calibri"/>
                <w:b/>
                <w:sz w:val="18"/>
                <w:szCs w:val="18"/>
              </w:rPr>
            </w:pPr>
            <w:r w:rsidRPr="00815EC0">
              <w:rPr>
                <w:rFonts w:ascii="Calibri" w:hAnsi="Calibri"/>
                <w:b/>
                <w:sz w:val="18"/>
                <w:szCs w:val="18"/>
              </w:rPr>
              <w:t xml:space="preserve"> 229 464</w:t>
            </w:r>
          </w:p>
        </w:tc>
        <w:tc>
          <w:tcPr>
            <w:tcW w:w="1188" w:type="dxa"/>
            <w:shd w:val="clear" w:color="auto" w:fill="auto"/>
            <w:vAlign w:val="center"/>
          </w:tcPr>
          <w:p w14:paraId="6B33EFA7" w14:textId="05140CF4" w:rsidR="00272E9C" w:rsidRPr="00787AB7" w:rsidRDefault="00272E9C" w:rsidP="00272E9C">
            <w:pPr>
              <w:jc w:val="right"/>
              <w:rPr>
                <w:rFonts w:ascii="Calibri" w:hAnsi="Calibri"/>
                <w:b/>
                <w:sz w:val="18"/>
                <w:szCs w:val="18"/>
              </w:rPr>
            </w:pPr>
            <w:r w:rsidRPr="00815EC0">
              <w:rPr>
                <w:rFonts w:ascii="Calibri" w:hAnsi="Calibri"/>
                <w:b/>
                <w:sz w:val="18"/>
                <w:szCs w:val="18"/>
              </w:rPr>
              <w:t>101,7%</w:t>
            </w:r>
          </w:p>
        </w:tc>
      </w:tr>
    </w:tbl>
    <w:p w14:paraId="6EE5CB4F" w14:textId="77777777" w:rsidR="00272E9C" w:rsidRDefault="00272E9C" w:rsidP="00272E9C">
      <w:pPr>
        <w:pStyle w:val="Lista3"/>
        <w:ind w:left="0" w:firstLine="0"/>
        <w:jc w:val="both"/>
        <w:rPr>
          <w:rFonts w:asciiTheme="minorHAnsi" w:hAnsiTheme="minorHAnsi"/>
          <w:sz w:val="20"/>
          <w:szCs w:val="20"/>
        </w:rPr>
      </w:pPr>
      <w:r w:rsidRPr="00E32596">
        <w:rPr>
          <w:rFonts w:asciiTheme="minorHAnsi" w:hAnsiTheme="minorHAnsi"/>
          <w:sz w:val="20"/>
          <w:szCs w:val="20"/>
        </w:rPr>
        <w:t xml:space="preserve">    *ágazati adatok alapján</w:t>
      </w:r>
    </w:p>
    <w:p w14:paraId="00B58340" w14:textId="77777777" w:rsidR="00272E9C" w:rsidRPr="00E32596" w:rsidRDefault="00272E9C" w:rsidP="00272E9C">
      <w:pPr>
        <w:pStyle w:val="Lista3"/>
        <w:ind w:left="0" w:firstLine="0"/>
        <w:jc w:val="both"/>
        <w:rPr>
          <w:rFonts w:asciiTheme="minorHAnsi" w:hAnsiTheme="minorHAnsi"/>
          <w:sz w:val="20"/>
          <w:szCs w:val="20"/>
        </w:rPr>
      </w:pPr>
    </w:p>
    <w:p w14:paraId="0BF48B37" w14:textId="77777777" w:rsidR="00B840AB" w:rsidRPr="00E32596" w:rsidRDefault="00B840AB" w:rsidP="00B840AB">
      <w:pPr>
        <w:pStyle w:val="Lista3"/>
        <w:ind w:left="0" w:firstLine="0"/>
        <w:jc w:val="both"/>
        <w:rPr>
          <w:rFonts w:asciiTheme="minorHAnsi" w:hAnsiTheme="minorHAnsi"/>
        </w:rPr>
      </w:pPr>
      <w:r w:rsidRPr="00E32596">
        <w:rPr>
          <w:rFonts w:asciiTheme="minorHAnsi" w:hAnsiTheme="minorHAnsi"/>
        </w:rPr>
        <w:t>A jelentősebb rendkívüli forgalmi rendek (pl.: augusztus 20. , Szenteste, Szilveszter, stb.) hatásával minden ágazat esetén pontosításra került a teljesítményszint.</w:t>
      </w:r>
    </w:p>
    <w:p w14:paraId="3F8D7DDE" w14:textId="77777777" w:rsidR="00B840AB" w:rsidRPr="00E32596" w:rsidRDefault="00B840AB" w:rsidP="00B840AB">
      <w:pPr>
        <w:pStyle w:val="Lista3"/>
        <w:ind w:left="0" w:firstLine="0"/>
        <w:jc w:val="both"/>
        <w:rPr>
          <w:rFonts w:asciiTheme="minorHAnsi" w:hAnsiTheme="minorHAnsi"/>
        </w:rPr>
      </w:pPr>
    </w:p>
    <w:p w14:paraId="32229307" w14:textId="77777777" w:rsidR="00B840AB" w:rsidRPr="00E32596" w:rsidRDefault="00B840AB" w:rsidP="00B840AB">
      <w:pPr>
        <w:pStyle w:val="Lista3"/>
        <w:ind w:left="0" w:firstLine="0"/>
        <w:jc w:val="both"/>
        <w:rPr>
          <w:rFonts w:asciiTheme="minorHAnsi" w:hAnsiTheme="minorHAnsi" w:cstheme="minorHAnsi"/>
        </w:rPr>
      </w:pPr>
      <w:r w:rsidRPr="00E32596">
        <w:rPr>
          <w:rFonts w:asciiTheme="minorHAnsi" w:hAnsiTheme="minorHAnsi"/>
        </w:rPr>
        <w:t xml:space="preserve">A nagyrendezvények hatása (pl.: múzeumok éjszakája) </w:t>
      </w:r>
      <w:r w:rsidRPr="00E32596">
        <w:rPr>
          <w:rFonts w:asciiTheme="minorHAnsi" w:hAnsiTheme="minorHAnsi" w:cstheme="minorHAnsi"/>
        </w:rPr>
        <w:t>– az aktív statisztikai férőhelykilométer tervek tekintetében – az autóbusz ágazatnál jelenik meg többletként.</w:t>
      </w:r>
      <w:r w:rsidRPr="00E32596">
        <w:rPr>
          <w:rFonts w:asciiTheme="minorHAnsi" w:hAnsiTheme="minorHAnsi" w:cstheme="minorHAnsi"/>
        </w:rPr>
        <w:br/>
        <w:t>A hajó ágazat üzemóra teljesítményét emeli a Sziget fesztivál közösségi közlekedéssel történő kiszolgálása.</w:t>
      </w:r>
    </w:p>
    <w:p w14:paraId="736F442A" w14:textId="77777777" w:rsidR="00B840AB" w:rsidRPr="00E32596" w:rsidRDefault="00B840AB" w:rsidP="00B840AB">
      <w:pPr>
        <w:pStyle w:val="Lista3"/>
        <w:ind w:left="0" w:firstLine="0"/>
        <w:jc w:val="both"/>
        <w:rPr>
          <w:rFonts w:asciiTheme="minorHAnsi" w:hAnsiTheme="minorHAnsi"/>
        </w:rPr>
      </w:pPr>
    </w:p>
    <w:p w14:paraId="0E96EA2F" w14:textId="77777777" w:rsidR="00B840AB" w:rsidRPr="00E32596" w:rsidRDefault="00B840AB" w:rsidP="00B840AB">
      <w:pPr>
        <w:jc w:val="both"/>
        <w:rPr>
          <w:rFonts w:asciiTheme="minorHAnsi" w:hAnsiTheme="minorHAnsi" w:cstheme="minorHAnsi"/>
        </w:rPr>
      </w:pPr>
      <w:r w:rsidRPr="00E32596">
        <w:rPr>
          <w:rFonts w:asciiTheme="minorHAnsi" w:hAnsiTheme="minorHAnsi" w:cstheme="minorHAnsi"/>
        </w:rPr>
        <w:t xml:space="preserve">A </w:t>
      </w:r>
      <w:r w:rsidRPr="00E32596">
        <w:rPr>
          <w:rFonts w:asciiTheme="minorHAnsi" w:hAnsiTheme="minorHAnsi" w:cstheme="minorHAnsi"/>
          <w:u w:val="single"/>
        </w:rPr>
        <w:t>metró ágazat</w:t>
      </w:r>
      <w:r>
        <w:rPr>
          <w:rFonts w:asciiTheme="minorHAnsi" w:hAnsiTheme="minorHAnsi" w:cstheme="minorHAnsi"/>
          <w:u w:val="single"/>
        </w:rPr>
        <w:t>nál</w:t>
      </w:r>
      <w:r w:rsidRPr="00E32596">
        <w:rPr>
          <w:rFonts w:asciiTheme="minorHAnsi" w:hAnsiTheme="minorHAnsi" w:cstheme="minorHAnsi"/>
        </w:rPr>
        <w:t xml:space="preserve"> a 2018. évre előirányzott 3,4%-os alapteljesítmény-növekedésnek több összetevője van. </w:t>
      </w:r>
      <w:r w:rsidRPr="00F821E1">
        <w:rPr>
          <w:rFonts w:asciiTheme="minorHAnsi" w:hAnsiTheme="minorHAnsi" w:cstheme="minorHAnsi"/>
          <w:b/>
        </w:rPr>
        <w:t>Az M2 metróvonal esetében a bázis időszakban a csökkentett járműkiadású ún. „havaria” menetrend volt érvényben, ezzel szemben a tervezés a magasabb teljesítményű alapmenetrendek figyelembe vételével történt.</w:t>
      </w:r>
      <w:r>
        <w:rPr>
          <w:rFonts w:asciiTheme="minorHAnsi" w:hAnsiTheme="minorHAnsi" w:cstheme="minorHAnsi"/>
        </w:rPr>
        <w:t xml:space="preserve"> Az </w:t>
      </w:r>
      <w:r w:rsidRPr="00E32596">
        <w:rPr>
          <w:rFonts w:asciiTheme="minorHAnsi" w:hAnsiTheme="minorHAnsi" w:cstheme="minorHAnsi"/>
        </w:rPr>
        <w:t>M4 metróvonalon az utasforgalom növekedése miatt 2018-ban sűrűbb követési időközű menetrendek kerülnek bevezetésre. Az M2 és az M4 metróvonalak említett forgalmi teljesítmény változásai a premisszák szolgáltatásfejlesztés fejezetében jól nyomon követhetők. Emellett az éjszakai közlekedés felülvizsgálata is befolyásoló tényező volt.</w:t>
      </w:r>
    </w:p>
    <w:p w14:paraId="4EA2C858" w14:textId="77777777" w:rsidR="00B840AB" w:rsidRPr="00E32596" w:rsidRDefault="00B840AB" w:rsidP="00B840AB">
      <w:pPr>
        <w:jc w:val="both"/>
        <w:rPr>
          <w:rFonts w:asciiTheme="minorHAnsi" w:hAnsiTheme="minorHAnsi" w:cstheme="minorHAnsi"/>
        </w:rPr>
      </w:pPr>
    </w:p>
    <w:p w14:paraId="55ECA572" w14:textId="6BF076FE" w:rsidR="00B840AB" w:rsidRPr="00E32596" w:rsidRDefault="00B840AB" w:rsidP="00B840AB">
      <w:pPr>
        <w:jc w:val="both"/>
        <w:rPr>
          <w:rFonts w:asciiTheme="minorHAnsi" w:hAnsiTheme="minorHAnsi" w:cstheme="minorHAnsi"/>
        </w:rPr>
      </w:pPr>
      <w:r w:rsidRPr="00E32596">
        <w:rPr>
          <w:rFonts w:asciiTheme="minorHAnsi" w:hAnsiTheme="minorHAnsi" w:cstheme="minorHAnsi"/>
        </w:rPr>
        <w:t xml:space="preserve">A </w:t>
      </w:r>
      <w:r w:rsidRPr="00E32596">
        <w:rPr>
          <w:rFonts w:asciiTheme="minorHAnsi" w:hAnsiTheme="minorHAnsi" w:cstheme="minorHAnsi"/>
          <w:u w:val="single"/>
        </w:rPr>
        <w:t>villamos ágazat</w:t>
      </w:r>
      <w:r w:rsidRPr="00E32596">
        <w:rPr>
          <w:rFonts w:asciiTheme="minorHAnsi" w:hAnsiTheme="minorHAnsi" w:cstheme="minorHAnsi"/>
        </w:rPr>
        <w:t xml:space="preserve"> esetén a 20</w:t>
      </w:r>
      <w:r w:rsidR="00DE79AB">
        <w:rPr>
          <w:rFonts w:asciiTheme="minorHAnsi" w:hAnsiTheme="minorHAnsi" w:cstheme="minorHAnsi"/>
        </w:rPr>
        <w:t xml:space="preserve">17. éves tény adatokhoz képest </w:t>
      </w:r>
      <w:r w:rsidRPr="00E32596">
        <w:rPr>
          <w:rFonts w:asciiTheme="minorHAnsi" w:hAnsiTheme="minorHAnsi" w:cstheme="minorHAnsi"/>
        </w:rPr>
        <w:t>2,8%-kal növekszik az alapteljesítmény</w:t>
      </w:r>
      <w:r w:rsidR="00D35CA4">
        <w:rPr>
          <w:rFonts w:asciiTheme="minorHAnsi" w:hAnsiTheme="minorHAnsi" w:cstheme="minorHAnsi"/>
        </w:rPr>
        <w:t>.</w:t>
      </w:r>
      <w:r w:rsidR="00CD7284" w:rsidRPr="00CD7284">
        <w:rPr>
          <w:rFonts w:asciiTheme="minorHAnsi" w:hAnsiTheme="minorHAnsi" w:cstheme="minorHAnsi"/>
        </w:rPr>
        <w:t xml:space="preserve"> A 2018-as alapterv érdemben nem változik az előző évi tervhez képest, azonban növekedést okoz az előző évitől eltérő mértékű vágányzári terv, a 2018-as rendezvények és egyéb operatív közlekedésszervezői intézkedések miatt előirányzott teljesítmény, valamint a 2017. évitől kismértékben eltérő járműkiadási összetétel, továbbá a várhatóhoz képest emelkedést jelent a 2018. évi tervben nem, de a várható értékben csökkenő hatásként megjelenő menetkimaradás. Az alapteljesítmények tartalmazzák a premisszákban felsorolt jelentősebb forgalomkorlátozási hatásokat (pl.: Fogaskerekű, 4-4 hét tavasszal illetve ősszel). Az M3 metróvonal vágányzár átütemezésének köszönhetően két jelentős hatású villamos vágányzárral (Nagykörút és Népszínház utca – Orczy tér) is számol a terv.</w:t>
      </w:r>
    </w:p>
    <w:p w14:paraId="7293D935" w14:textId="77777777" w:rsidR="00B840AB" w:rsidRPr="00E32596" w:rsidRDefault="00B840AB" w:rsidP="00B840AB">
      <w:pPr>
        <w:jc w:val="both"/>
        <w:rPr>
          <w:rFonts w:asciiTheme="minorHAnsi" w:hAnsiTheme="minorHAnsi" w:cstheme="minorHAnsi"/>
        </w:rPr>
      </w:pPr>
    </w:p>
    <w:p w14:paraId="2D00BB71" w14:textId="0B2E7FE1" w:rsidR="00B840AB" w:rsidRPr="00E32596" w:rsidRDefault="00B840AB" w:rsidP="00B840AB">
      <w:pPr>
        <w:jc w:val="both"/>
        <w:rPr>
          <w:rFonts w:asciiTheme="minorHAnsi" w:hAnsiTheme="minorHAnsi" w:cstheme="minorHAnsi"/>
        </w:rPr>
      </w:pPr>
      <w:r w:rsidRPr="00E32596">
        <w:rPr>
          <w:rFonts w:asciiTheme="minorHAnsi" w:hAnsiTheme="minorHAnsi" w:cstheme="minorHAnsi"/>
        </w:rPr>
        <w:t xml:space="preserve">A </w:t>
      </w:r>
      <w:r w:rsidRPr="00E32596">
        <w:rPr>
          <w:rFonts w:asciiTheme="minorHAnsi" w:hAnsiTheme="minorHAnsi" w:cstheme="minorHAnsi"/>
          <w:u w:val="single"/>
        </w:rPr>
        <w:t>trolibusz ágazat</w:t>
      </w:r>
      <w:r w:rsidRPr="00E32596">
        <w:rPr>
          <w:rFonts w:asciiTheme="minorHAnsi" w:hAnsiTheme="minorHAnsi" w:cstheme="minorHAnsi"/>
        </w:rPr>
        <w:t xml:space="preserve"> 8</w:t>
      </w:r>
      <w:r w:rsidR="00DE79AB">
        <w:rPr>
          <w:rFonts w:asciiTheme="minorHAnsi" w:hAnsiTheme="minorHAnsi" w:cstheme="minorHAnsi"/>
        </w:rPr>
        <w:t>,4%-os</w:t>
      </w:r>
      <w:r w:rsidRPr="00E32596">
        <w:rPr>
          <w:rFonts w:asciiTheme="minorHAnsi" w:hAnsiTheme="minorHAnsi" w:cstheme="minorHAnsi"/>
        </w:rPr>
        <w:t xml:space="preserve"> </w:t>
      </w:r>
      <w:r w:rsidR="00DE79AB">
        <w:rPr>
          <w:rFonts w:asciiTheme="minorHAnsi" w:hAnsiTheme="minorHAnsi" w:cstheme="minorHAnsi"/>
        </w:rPr>
        <w:t>alapteljesítmény-növekedés</w:t>
      </w:r>
      <w:r w:rsidRPr="00E32596">
        <w:rPr>
          <w:rFonts w:asciiTheme="minorHAnsi" w:hAnsiTheme="minorHAnsi" w:cstheme="minorHAnsi"/>
        </w:rPr>
        <w:t>t a hálózat és menetrend fejlesztés együttes hatása okozza, amit az „új nemzedékes” Solaris járművek önjáró – rövidtávon felsővezeték nélküli közlekedésre való – képességének kihasználása tesz lehetővé. Így kerülhetett sor 2017 nyarán például a 72-es trolibusz viszonylat meghosszabbított útvonalon történő közlekedtetésére a Fővám térig.</w:t>
      </w:r>
    </w:p>
    <w:p w14:paraId="1023BB31" w14:textId="77777777" w:rsidR="00B840AB" w:rsidRPr="00E32596" w:rsidRDefault="00B840AB" w:rsidP="00B840AB">
      <w:pPr>
        <w:jc w:val="both"/>
        <w:rPr>
          <w:rFonts w:asciiTheme="minorHAnsi" w:hAnsiTheme="minorHAnsi" w:cstheme="minorHAnsi"/>
        </w:rPr>
      </w:pPr>
    </w:p>
    <w:p w14:paraId="5C0422F7" w14:textId="1538384E" w:rsidR="00B840AB" w:rsidRPr="00E32596" w:rsidRDefault="00B840AB" w:rsidP="00B840AB">
      <w:pPr>
        <w:jc w:val="both"/>
        <w:rPr>
          <w:rFonts w:asciiTheme="minorHAnsi" w:hAnsiTheme="minorHAnsi" w:cstheme="minorHAnsi"/>
        </w:rPr>
      </w:pPr>
      <w:r w:rsidRPr="00E32596">
        <w:rPr>
          <w:rFonts w:asciiTheme="minorHAnsi" w:hAnsiTheme="minorHAnsi" w:cstheme="minorHAnsi"/>
        </w:rPr>
        <w:lastRenderedPageBreak/>
        <w:t xml:space="preserve">Az </w:t>
      </w:r>
      <w:r w:rsidRPr="00E32596">
        <w:rPr>
          <w:rFonts w:asciiTheme="minorHAnsi" w:hAnsiTheme="minorHAnsi" w:cstheme="minorHAnsi"/>
          <w:u w:val="single"/>
        </w:rPr>
        <w:t>autóbusz ágazat</w:t>
      </w:r>
      <w:r w:rsidRPr="00E32596">
        <w:rPr>
          <w:rFonts w:asciiTheme="minorHAnsi" w:hAnsiTheme="minorHAnsi" w:cstheme="minorHAnsi"/>
        </w:rPr>
        <w:t xml:space="preserve"> alapteljesítménye </w:t>
      </w:r>
      <w:r w:rsidR="00DE79AB">
        <w:rPr>
          <w:rFonts w:asciiTheme="minorHAnsi" w:hAnsiTheme="minorHAnsi" w:cstheme="minorHAnsi"/>
        </w:rPr>
        <w:t>2,6</w:t>
      </w:r>
      <w:r w:rsidRPr="00E32596">
        <w:rPr>
          <w:rFonts w:asciiTheme="minorHAnsi" w:hAnsiTheme="minorHAnsi" w:cstheme="minorHAnsi"/>
        </w:rPr>
        <w:t>%-os mértékű csökkenést mutat a</w:t>
      </w:r>
      <w:r w:rsidRPr="00E32596">
        <w:rPr>
          <w:rFonts w:asciiTheme="minorHAnsi" w:hAnsiTheme="minorHAnsi" w:cstheme="minorHAnsi"/>
        </w:rPr>
        <w:br/>
        <w:t>tény értékekhez képest. A változást a 2017. év második félévében forgalomba állt 45 db szóló operátori jármű teljesítménycsökkentő hatásán túl olyan hálózati változások is okozhatták, melyek a metró, a villamos és a trolibusz ágazatok esetén teljesítmény többletet eredményeznek.</w:t>
      </w:r>
    </w:p>
    <w:p w14:paraId="25BE444F" w14:textId="77777777" w:rsidR="00B840AB" w:rsidRPr="00E32596" w:rsidRDefault="00B840AB" w:rsidP="00B840AB">
      <w:pPr>
        <w:jc w:val="both"/>
        <w:rPr>
          <w:rFonts w:asciiTheme="minorHAnsi" w:hAnsiTheme="minorHAnsi" w:cstheme="minorHAnsi"/>
        </w:rPr>
      </w:pPr>
      <w:r w:rsidRPr="00E32596">
        <w:rPr>
          <w:rFonts w:asciiTheme="minorHAnsi" w:hAnsiTheme="minorHAnsi" w:cstheme="minorHAnsi"/>
        </w:rPr>
        <w:t>Az alapteljesítmény a 25+25 db városi szóló autóbusz elkülönített tervét is tartalmazza.</w:t>
      </w:r>
    </w:p>
    <w:p w14:paraId="0F4F57BB" w14:textId="77777777" w:rsidR="00B840AB" w:rsidRPr="00E32596" w:rsidRDefault="00B840AB" w:rsidP="00B840AB">
      <w:pPr>
        <w:spacing w:after="200" w:line="276" w:lineRule="auto"/>
        <w:jc w:val="both"/>
        <w:rPr>
          <w:rFonts w:asciiTheme="minorHAnsi" w:hAnsiTheme="minorHAnsi" w:cstheme="minorHAnsi"/>
          <w:b/>
        </w:rPr>
      </w:pPr>
    </w:p>
    <w:p w14:paraId="71E549EB" w14:textId="77777777" w:rsidR="00B840AB" w:rsidRPr="00E32596" w:rsidRDefault="00B840AB" w:rsidP="00B840AB">
      <w:pPr>
        <w:pStyle w:val="Cmsor3"/>
        <w:tabs>
          <w:tab w:val="clear" w:pos="2007"/>
        </w:tabs>
        <w:ind w:left="0" w:firstLine="0"/>
        <w:rPr>
          <w:rFonts w:asciiTheme="minorHAnsi" w:hAnsiTheme="minorHAnsi"/>
        </w:rPr>
      </w:pPr>
      <w:bookmarkStart w:id="19" w:name="_Toc512409610"/>
      <w:r w:rsidRPr="00E32596">
        <w:rPr>
          <w:rFonts w:asciiTheme="minorHAnsi" w:hAnsiTheme="minorHAnsi"/>
          <w:b w:val="0"/>
          <w:bCs w:val="0"/>
        </w:rPr>
        <w:t>-</w:t>
      </w:r>
      <w:r w:rsidRPr="00E32596">
        <w:rPr>
          <w:rFonts w:asciiTheme="minorHAnsi" w:hAnsiTheme="minorHAnsi"/>
        </w:rPr>
        <w:t xml:space="preserve"> Az M3 vonali rekonstrukció vágányzár hatásának (Észak-Dél) vizsgálata</w:t>
      </w:r>
      <w:bookmarkEnd w:id="19"/>
    </w:p>
    <w:p w14:paraId="0451A3ED" w14:textId="77777777" w:rsidR="00B840AB" w:rsidRPr="00E32596" w:rsidRDefault="00B840AB" w:rsidP="00B840AB">
      <w:pPr>
        <w:pStyle w:val="Lista3"/>
      </w:pPr>
    </w:p>
    <w:p w14:paraId="4B0A6FC6" w14:textId="77777777" w:rsidR="00B840AB" w:rsidRPr="00E32596" w:rsidRDefault="00B840AB" w:rsidP="00B840AB">
      <w:pPr>
        <w:jc w:val="both"/>
        <w:rPr>
          <w:rFonts w:asciiTheme="minorHAnsi" w:hAnsiTheme="minorHAnsi"/>
        </w:rPr>
      </w:pPr>
      <w:r w:rsidRPr="00E32596">
        <w:rPr>
          <w:rFonts w:asciiTheme="minorHAnsi" w:hAnsiTheme="minorHAnsi" w:cstheme="minorHAnsi"/>
        </w:rPr>
        <w:t>Az M3 metróvonal felújítása külön hatásként kerül bemutatásra, az érintett ágazatoknál jelenleg ismert tervek szerint északi és déli szakasz bontásban. A vágányzár az északi szakaszon kezdődött 2017. november 4-én, amely várhatóan 2018. év végéig tart. A déli szakasz vágányzára tervezetten 2018 szeptemberében kezdődik (párhuzamosan az északi szakasszal).</w:t>
      </w:r>
      <w:r w:rsidRPr="00E32596">
        <w:rPr>
          <w:rFonts w:asciiTheme="minorHAnsi" w:hAnsiTheme="minorHAnsi"/>
        </w:rPr>
        <w:t xml:space="preserve"> Ezek együttesen rendkívül nagy pótlási feladatot rónak az autóbusz ágazatra, amelynek ellátása érdekében több viszonylaton csuklós helyett szóló autóbuszok fognak közlekedni, illetve útvonalak is módosulnak (elsősorban a déli szakasz esetében).</w:t>
      </w:r>
    </w:p>
    <w:p w14:paraId="6A6ECD01" w14:textId="77777777" w:rsidR="00B840AB" w:rsidRPr="00E32596" w:rsidRDefault="00B840AB" w:rsidP="00B840AB">
      <w:pPr>
        <w:jc w:val="both"/>
        <w:rPr>
          <w:rFonts w:asciiTheme="minorHAnsi" w:hAnsiTheme="minorHAnsi"/>
        </w:rPr>
      </w:pPr>
      <w:r w:rsidRPr="00E32596">
        <w:rPr>
          <w:rFonts w:asciiTheme="minorHAnsi" w:hAnsiTheme="minorHAnsi"/>
        </w:rPr>
        <w:t xml:space="preserve">Az erőforrások tervezését és elosztását elősegíti, hogy az M3 </w:t>
      </w:r>
      <w:r>
        <w:rPr>
          <w:rFonts w:asciiTheme="minorHAnsi" w:hAnsiTheme="minorHAnsi"/>
        </w:rPr>
        <w:t xml:space="preserve">vonali rekonstrukció során szükséges </w:t>
      </w:r>
      <w:r w:rsidRPr="00E32596">
        <w:rPr>
          <w:rFonts w:asciiTheme="minorHAnsi" w:hAnsiTheme="minorHAnsi"/>
        </w:rPr>
        <w:t>autóbuszos pótlás felosztása jól elhatárolhatóan látszik a tervezés alapjául szolgáló forgalmi teljesítményi premisszákban az északi és déli szakasz között, kiegészítve az egész vonalas bontással. Ugyanakkor további kihívások elé állítja a Társaságot, hogy a pótlásban résztvevő csuklós autóbuszok, valamint az azok kiváltására átcsoportosított szóló járművek által generált teljesítmény változás is az M3 rekonstrukciónál kerül kimutatásra. Ugyan a rekonstrukció idézi elő a szükséges jármű átcsoportosítást, azonban az alapteljesítményt érinti, ezért csak részben tekinthető a vágányzár hatásának.</w:t>
      </w:r>
      <w:r w:rsidRPr="00E32596" w:rsidDel="00B63325">
        <w:rPr>
          <w:rFonts w:asciiTheme="minorHAnsi" w:hAnsiTheme="minorHAnsi"/>
        </w:rPr>
        <w:t xml:space="preserve"> </w:t>
      </w:r>
    </w:p>
    <w:p w14:paraId="30CFBF1B" w14:textId="543D46AE" w:rsidR="00DC4968" w:rsidRPr="00787AB7" w:rsidRDefault="00DC4968" w:rsidP="00DC4968">
      <w:pPr>
        <w:jc w:val="both"/>
        <w:rPr>
          <w:rFonts w:asciiTheme="minorHAnsi" w:hAnsiTheme="minorHAnsi" w:cstheme="minorHAnsi"/>
        </w:rPr>
      </w:pPr>
    </w:p>
    <w:p w14:paraId="5B637219" w14:textId="77777777" w:rsidR="002A50E7" w:rsidRPr="00787AB7" w:rsidRDefault="002A50E7" w:rsidP="00DC4968">
      <w:pPr>
        <w:jc w:val="both"/>
        <w:rPr>
          <w:rFonts w:asciiTheme="minorHAnsi" w:hAnsiTheme="minorHAnsi"/>
        </w:rPr>
      </w:pPr>
    </w:p>
    <w:p w14:paraId="111D0639" w14:textId="77777777" w:rsidR="00272E9C" w:rsidRPr="00E32596" w:rsidRDefault="00272E9C" w:rsidP="00272E9C">
      <w:pPr>
        <w:jc w:val="center"/>
        <w:rPr>
          <w:rFonts w:asciiTheme="minorHAnsi" w:hAnsiTheme="minorHAnsi" w:cstheme="minorHAnsi"/>
          <w:b/>
          <w:sz w:val="22"/>
          <w:szCs w:val="22"/>
        </w:rPr>
      </w:pPr>
      <w:r w:rsidRPr="00E32596">
        <w:rPr>
          <w:rFonts w:asciiTheme="minorHAnsi" w:hAnsiTheme="minorHAnsi" w:cstheme="minorHAnsi"/>
          <w:b/>
          <w:sz w:val="22"/>
          <w:szCs w:val="22"/>
        </w:rPr>
        <w:t>Az alapteljesítmények és az M3 rekonstrukció viszonya az érintett ágazatoknál</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589"/>
        <w:gridCol w:w="1301"/>
        <w:gridCol w:w="1011"/>
        <w:gridCol w:w="1012"/>
        <w:gridCol w:w="892"/>
        <w:gridCol w:w="1059"/>
        <w:gridCol w:w="1077"/>
      </w:tblGrid>
      <w:tr w:rsidR="00272E9C" w:rsidRPr="00E32596" w14:paraId="1842CE0E" w14:textId="77777777" w:rsidTr="00A42C19">
        <w:trPr>
          <w:trHeight w:val="764"/>
          <w:jc w:val="center"/>
        </w:trPr>
        <w:tc>
          <w:tcPr>
            <w:tcW w:w="1296" w:type="dxa"/>
            <w:shd w:val="clear" w:color="auto" w:fill="2528A3"/>
            <w:vAlign w:val="center"/>
          </w:tcPr>
          <w:p w14:paraId="218463B8" w14:textId="77777777" w:rsidR="00272E9C" w:rsidRPr="00E32596" w:rsidRDefault="00272E9C" w:rsidP="00A42C19">
            <w:pPr>
              <w:jc w:val="center"/>
              <w:rPr>
                <w:rFonts w:ascii="Calibri" w:hAnsi="Calibri"/>
                <w:sz w:val="20"/>
                <w:szCs w:val="20"/>
              </w:rPr>
            </w:pPr>
            <w:r w:rsidRPr="00E32596">
              <w:rPr>
                <w:rFonts w:ascii="Calibri" w:hAnsi="Calibri"/>
                <w:sz w:val="20"/>
                <w:szCs w:val="20"/>
              </w:rPr>
              <w:t>Megnevezés</w:t>
            </w:r>
          </w:p>
        </w:tc>
        <w:tc>
          <w:tcPr>
            <w:tcW w:w="1589" w:type="dxa"/>
            <w:shd w:val="clear" w:color="auto" w:fill="2528A3"/>
            <w:vAlign w:val="center"/>
          </w:tcPr>
          <w:p w14:paraId="6EF2475B" w14:textId="77777777" w:rsidR="00272E9C" w:rsidRPr="00E32596" w:rsidRDefault="00272E9C" w:rsidP="00A42C19">
            <w:pPr>
              <w:jc w:val="center"/>
              <w:rPr>
                <w:rFonts w:ascii="Calibri" w:hAnsi="Calibri"/>
                <w:sz w:val="20"/>
                <w:szCs w:val="20"/>
              </w:rPr>
            </w:pPr>
            <w:r w:rsidRPr="00E32596">
              <w:rPr>
                <w:rFonts w:ascii="Calibri" w:hAnsi="Calibri"/>
                <w:sz w:val="20"/>
                <w:szCs w:val="20"/>
              </w:rPr>
              <w:t>BKV szárazföldi teljesítmény: az M3 rekonstrukció hatása</w:t>
            </w:r>
          </w:p>
        </w:tc>
        <w:tc>
          <w:tcPr>
            <w:tcW w:w="1301" w:type="dxa"/>
            <w:tcBorders>
              <w:right w:val="double" w:sz="4" w:space="0" w:color="auto"/>
            </w:tcBorders>
            <w:shd w:val="clear" w:color="auto" w:fill="2528A3"/>
            <w:vAlign w:val="center"/>
          </w:tcPr>
          <w:p w14:paraId="5FA87321" w14:textId="77777777" w:rsidR="00272E9C" w:rsidRPr="00E32596" w:rsidRDefault="00272E9C" w:rsidP="00A42C19">
            <w:pPr>
              <w:jc w:val="center"/>
              <w:rPr>
                <w:rFonts w:ascii="Calibri" w:hAnsi="Calibri" w:cs="Calibri"/>
                <w:bCs/>
                <w:sz w:val="20"/>
                <w:szCs w:val="20"/>
              </w:rPr>
            </w:pPr>
            <w:r w:rsidRPr="00E32596">
              <w:rPr>
                <w:rFonts w:ascii="Calibri" w:hAnsi="Calibri" w:cs="Calibri"/>
                <w:bCs/>
                <w:sz w:val="20"/>
                <w:szCs w:val="20"/>
              </w:rPr>
              <w:t>Terv alap-teljesítmény</w:t>
            </w:r>
          </w:p>
        </w:tc>
        <w:tc>
          <w:tcPr>
            <w:tcW w:w="1011" w:type="dxa"/>
            <w:tcBorders>
              <w:left w:val="double" w:sz="4" w:space="0" w:color="auto"/>
            </w:tcBorders>
            <w:shd w:val="clear" w:color="auto" w:fill="2528A3"/>
            <w:vAlign w:val="center"/>
          </w:tcPr>
          <w:p w14:paraId="5C55A99B" w14:textId="77777777" w:rsidR="00272E9C" w:rsidRPr="00E32596" w:rsidRDefault="00272E9C" w:rsidP="00A42C19">
            <w:pPr>
              <w:jc w:val="center"/>
              <w:rPr>
                <w:rFonts w:ascii="Calibri" w:hAnsi="Calibri" w:cs="Calibri"/>
                <w:bCs/>
                <w:sz w:val="20"/>
                <w:szCs w:val="20"/>
              </w:rPr>
            </w:pPr>
            <w:r w:rsidRPr="00E32596">
              <w:rPr>
                <w:rFonts w:ascii="Calibri" w:hAnsi="Calibri" w:cs="Calibri"/>
                <w:bCs/>
                <w:sz w:val="20"/>
                <w:szCs w:val="20"/>
              </w:rPr>
              <w:t>Terv</w:t>
            </w:r>
            <w:r w:rsidRPr="00E32596">
              <w:rPr>
                <w:rFonts w:ascii="Calibri" w:hAnsi="Calibri" w:cs="Calibri"/>
                <w:bCs/>
                <w:sz w:val="20"/>
                <w:szCs w:val="20"/>
              </w:rPr>
              <w:br/>
              <w:t>M3 északi szakasz</w:t>
            </w:r>
          </w:p>
        </w:tc>
        <w:tc>
          <w:tcPr>
            <w:tcW w:w="1012" w:type="dxa"/>
            <w:shd w:val="clear" w:color="auto" w:fill="2528A3"/>
            <w:vAlign w:val="center"/>
          </w:tcPr>
          <w:p w14:paraId="5D58795F" w14:textId="77777777" w:rsidR="00272E9C" w:rsidRPr="00E32596" w:rsidRDefault="00272E9C" w:rsidP="00A42C19">
            <w:pPr>
              <w:jc w:val="center"/>
              <w:rPr>
                <w:rFonts w:ascii="Calibri" w:hAnsi="Calibri" w:cs="Calibri"/>
                <w:bCs/>
                <w:sz w:val="20"/>
                <w:szCs w:val="20"/>
              </w:rPr>
            </w:pPr>
            <w:r w:rsidRPr="00E32596">
              <w:rPr>
                <w:rFonts w:ascii="Calibri" w:hAnsi="Calibri" w:cs="Calibri"/>
                <w:bCs/>
                <w:sz w:val="20"/>
                <w:szCs w:val="20"/>
              </w:rPr>
              <w:t>Terv</w:t>
            </w:r>
            <w:r w:rsidRPr="00E32596">
              <w:rPr>
                <w:rFonts w:ascii="Calibri" w:hAnsi="Calibri" w:cs="Calibri"/>
                <w:bCs/>
                <w:sz w:val="20"/>
                <w:szCs w:val="20"/>
              </w:rPr>
              <w:br/>
              <w:t>M3 déli szakasz</w:t>
            </w:r>
          </w:p>
        </w:tc>
        <w:tc>
          <w:tcPr>
            <w:tcW w:w="892" w:type="dxa"/>
            <w:shd w:val="clear" w:color="auto" w:fill="2528A3"/>
            <w:vAlign w:val="center"/>
          </w:tcPr>
          <w:p w14:paraId="26351817" w14:textId="77777777" w:rsidR="00272E9C" w:rsidRPr="00E32596" w:rsidRDefault="00272E9C" w:rsidP="00A42C19">
            <w:pPr>
              <w:jc w:val="center"/>
              <w:rPr>
                <w:rFonts w:ascii="Calibri" w:hAnsi="Calibri" w:cs="Calibri"/>
                <w:bCs/>
                <w:sz w:val="20"/>
                <w:szCs w:val="20"/>
              </w:rPr>
            </w:pPr>
            <w:r w:rsidRPr="00E32596">
              <w:rPr>
                <w:rFonts w:ascii="Calibri" w:hAnsi="Calibri" w:cs="Calibri"/>
                <w:bCs/>
                <w:sz w:val="20"/>
                <w:szCs w:val="20"/>
              </w:rPr>
              <w:t>Terv</w:t>
            </w:r>
            <w:r w:rsidRPr="00E32596">
              <w:rPr>
                <w:rFonts w:ascii="Calibri" w:hAnsi="Calibri" w:cs="Calibri"/>
                <w:bCs/>
                <w:sz w:val="20"/>
                <w:szCs w:val="20"/>
              </w:rPr>
              <w:br/>
              <w:t>M3 egész vonalas</w:t>
            </w:r>
          </w:p>
        </w:tc>
        <w:tc>
          <w:tcPr>
            <w:tcW w:w="1059" w:type="dxa"/>
            <w:shd w:val="clear" w:color="auto" w:fill="2528A3"/>
            <w:vAlign w:val="center"/>
          </w:tcPr>
          <w:p w14:paraId="5DE9F761" w14:textId="77777777" w:rsidR="00272E9C" w:rsidRPr="00E32596" w:rsidRDefault="00272E9C" w:rsidP="00A42C19">
            <w:pPr>
              <w:jc w:val="center"/>
              <w:rPr>
                <w:rFonts w:ascii="Calibri" w:hAnsi="Calibri" w:cs="Calibri"/>
                <w:bCs/>
                <w:sz w:val="20"/>
                <w:szCs w:val="20"/>
              </w:rPr>
            </w:pPr>
            <w:r w:rsidRPr="00E32596">
              <w:rPr>
                <w:rFonts w:ascii="Calibri" w:hAnsi="Calibri" w:cs="Calibri"/>
                <w:bCs/>
                <w:sz w:val="20"/>
                <w:szCs w:val="20"/>
              </w:rPr>
              <w:t>Terv</w:t>
            </w:r>
            <w:r w:rsidRPr="00E32596">
              <w:rPr>
                <w:rFonts w:ascii="Calibri" w:hAnsi="Calibri" w:cs="Calibri"/>
                <w:bCs/>
                <w:sz w:val="20"/>
                <w:szCs w:val="20"/>
              </w:rPr>
              <w:br/>
              <w:t>M3 összesen</w:t>
            </w:r>
          </w:p>
        </w:tc>
        <w:tc>
          <w:tcPr>
            <w:tcW w:w="1077" w:type="dxa"/>
            <w:shd w:val="clear" w:color="auto" w:fill="2528A3"/>
            <w:vAlign w:val="center"/>
          </w:tcPr>
          <w:p w14:paraId="73C439F3" w14:textId="77777777" w:rsidR="00272E9C" w:rsidRPr="00E32596" w:rsidRDefault="00272E9C" w:rsidP="00A42C19">
            <w:pPr>
              <w:jc w:val="center"/>
              <w:rPr>
                <w:rFonts w:ascii="Calibri" w:hAnsi="Calibri" w:cs="Calibri"/>
                <w:bCs/>
                <w:sz w:val="20"/>
                <w:szCs w:val="20"/>
              </w:rPr>
            </w:pPr>
            <w:r w:rsidRPr="00E32596">
              <w:rPr>
                <w:rFonts w:ascii="Calibri" w:hAnsi="Calibri" w:cs="Calibri"/>
                <w:bCs/>
                <w:sz w:val="20"/>
                <w:szCs w:val="20"/>
              </w:rPr>
              <w:t>Index</w:t>
            </w:r>
          </w:p>
          <w:p w14:paraId="49F006D4" w14:textId="77777777" w:rsidR="00272E9C" w:rsidRPr="00E32596" w:rsidRDefault="00272E9C" w:rsidP="00A42C19">
            <w:pPr>
              <w:jc w:val="center"/>
              <w:rPr>
                <w:rFonts w:ascii="Calibri" w:hAnsi="Calibri" w:cs="Calibri"/>
                <w:bCs/>
                <w:sz w:val="20"/>
                <w:szCs w:val="20"/>
              </w:rPr>
            </w:pPr>
            <w:r w:rsidRPr="00E32596">
              <w:rPr>
                <w:rFonts w:ascii="Calibri" w:hAnsi="Calibri" w:cs="Calibri"/>
                <w:bCs/>
                <w:sz w:val="20"/>
                <w:szCs w:val="20"/>
              </w:rPr>
              <w:t>(M3/alap)</w:t>
            </w:r>
          </w:p>
        </w:tc>
      </w:tr>
      <w:tr w:rsidR="00272E9C" w:rsidRPr="00E32596" w14:paraId="22C42B38" w14:textId="77777777" w:rsidTr="00A42C19">
        <w:trPr>
          <w:trHeight w:val="371"/>
          <w:jc w:val="center"/>
        </w:trPr>
        <w:tc>
          <w:tcPr>
            <w:tcW w:w="1296" w:type="dxa"/>
            <w:vMerge w:val="restart"/>
            <w:shd w:val="clear" w:color="auto" w:fill="auto"/>
            <w:vAlign w:val="center"/>
          </w:tcPr>
          <w:p w14:paraId="55E7BD29" w14:textId="77777777" w:rsidR="00272E9C" w:rsidRPr="00E32596" w:rsidRDefault="00272E9C" w:rsidP="00A42C19">
            <w:pPr>
              <w:rPr>
                <w:rFonts w:ascii="Calibri" w:hAnsi="Calibri" w:cs="Calibri"/>
                <w:bCs/>
                <w:sz w:val="18"/>
                <w:szCs w:val="18"/>
              </w:rPr>
            </w:pPr>
            <w:r w:rsidRPr="00E32596">
              <w:rPr>
                <w:rFonts w:ascii="Calibri" w:hAnsi="Calibri" w:cs="Calibri"/>
                <w:bCs/>
                <w:sz w:val="18"/>
                <w:szCs w:val="18"/>
              </w:rPr>
              <w:t>Aktív (vonali) statisztikai férőhely-</w:t>
            </w:r>
            <w:r w:rsidRPr="00E32596">
              <w:rPr>
                <w:rFonts w:ascii="Calibri" w:hAnsi="Calibri" w:cs="Calibri"/>
                <w:bCs/>
                <w:sz w:val="18"/>
                <w:szCs w:val="18"/>
              </w:rPr>
              <w:br/>
              <w:t>kilométer</w:t>
            </w:r>
            <w:r w:rsidRPr="00E32596">
              <w:rPr>
                <w:rFonts w:ascii="Calibri" w:hAnsi="Calibri" w:cs="Calibri"/>
                <w:bCs/>
                <w:sz w:val="18"/>
                <w:szCs w:val="18"/>
              </w:rPr>
              <w:br/>
              <w:t>(ezer fhkm)</w:t>
            </w:r>
          </w:p>
        </w:tc>
        <w:tc>
          <w:tcPr>
            <w:tcW w:w="1589" w:type="dxa"/>
            <w:vAlign w:val="center"/>
          </w:tcPr>
          <w:p w14:paraId="3650B213" w14:textId="77777777" w:rsidR="00272E9C" w:rsidRPr="00E32596" w:rsidRDefault="00272E9C" w:rsidP="00A42C19">
            <w:pPr>
              <w:rPr>
                <w:rFonts w:ascii="Calibri" w:hAnsi="Calibri"/>
                <w:sz w:val="18"/>
                <w:szCs w:val="18"/>
              </w:rPr>
            </w:pPr>
            <w:r w:rsidRPr="00E32596">
              <w:rPr>
                <w:rFonts w:ascii="Calibri" w:hAnsi="Calibri"/>
                <w:sz w:val="18"/>
                <w:szCs w:val="18"/>
              </w:rPr>
              <w:t>Metró-MFAV</w:t>
            </w:r>
          </w:p>
        </w:tc>
        <w:tc>
          <w:tcPr>
            <w:tcW w:w="1301" w:type="dxa"/>
            <w:tcBorders>
              <w:right w:val="double" w:sz="4" w:space="0" w:color="auto"/>
            </w:tcBorders>
            <w:vAlign w:val="center"/>
          </w:tcPr>
          <w:p w14:paraId="50CC571F" w14:textId="77777777" w:rsidR="00272E9C" w:rsidRPr="00E32596" w:rsidRDefault="00272E9C" w:rsidP="00A42C19">
            <w:pPr>
              <w:jc w:val="right"/>
              <w:rPr>
                <w:rFonts w:ascii="Calibri" w:hAnsi="Calibri" w:cs="Calibri"/>
                <w:sz w:val="18"/>
                <w:szCs w:val="18"/>
              </w:rPr>
            </w:pPr>
            <w:r w:rsidRPr="00E32596">
              <w:rPr>
                <w:rFonts w:ascii="Calibri" w:hAnsi="Calibri" w:cs="Calibri"/>
                <w:sz w:val="18"/>
                <w:szCs w:val="18"/>
              </w:rPr>
              <w:t>5 266 135</w:t>
            </w:r>
          </w:p>
        </w:tc>
        <w:tc>
          <w:tcPr>
            <w:tcW w:w="1011" w:type="dxa"/>
            <w:tcBorders>
              <w:left w:val="double" w:sz="4" w:space="0" w:color="auto"/>
            </w:tcBorders>
            <w:vAlign w:val="center"/>
          </w:tcPr>
          <w:p w14:paraId="4A372065" w14:textId="77777777" w:rsidR="00272E9C" w:rsidRPr="00E32596" w:rsidRDefault="00272E9C" w:rsidP="00A42C19">
            <w:pPr>
              <w:jc w:val="right"/>
              <w:rPr>
                <w:rFonts w:ascii="Calibri" w:hAnsi="Calibri"/>
                <w:sz w:val="18"/>
                <w:szCs w:val="18"/>
              </w:rPr>
            </w:pPr>
            <w:r w:rsidRPr="00E32596">
              <w:rPr>
                <w:rFonts w:ascii="Calibri" w:hAnsi="Calibri"/>
                <w:sz w:val="18"/>
                <w:szCs w:val="18"/>
              </w:rPr>
              <w:t>- 672 098</w:t>
            </w:r>
          </w:p>
        </w:tc>
        <w:tc>
          <w:tcPr>
            <w:tcW w:w="1012" w:type="dxa"/>
            <w:shd w:val="clear" w:color="auto" w:fill="auto"/>
            <w:vAlign w:val="center"/>
          </w:tcPr>
          <w:p w14:paraId="3FE29E41" w14:textId="77777777" w:rsidR="00272E9C" w:rsidRPr="00E32596" w:rsidRDefault="00272E9C" w:rsidP="00A42C19">
            <w:pPr>
              <w:jc w:val="right"/>
              <w:rPr>
                <w:rFonts w:ascii="Calibri" w:hAnsi="Calibri"/>
                <w:sz w:val="18"/>
                <w:szCs w:val="18"/>
              </w:rPr>
            </w:pPr>
            <w:r w:rsidRPr="00E32596">
              <w:rPr>
                <w:rFonts w:ascii="Calibri" w:hAnsi="Calibri"/>
                <w:sz w:val="18"/>
                <w:szCs w:val="18"/>
              </w:rPr>
              <w:t>-169 634</w:t>
            </w:r>
          </w:p>
        </w:tc>
        <w:tc>
          <w:tcPr>
            <w:tcW w:w="892" w:type="dxa"/>
            <w:vAlign w:val="center"/>
          </w:tcPr>
          <w:p w14:paraId="73DDFC1A" w14:textId="77777777" w:rsidR="00272E9C" w:rsidRPr="00E32596" w:rsidRDefault="00272E9C" w:rsidP="00A42C19">
            <w:pPr>
              <w:jc w:val="right"/>
              <w:rPr>
                <w:rFonts w:ascii="Calibri" w:hAnsi="Calibri"/>
                <w:sz w:val="18"/>
                <w:szCs w:val="18"/>
              </w:rPr>
            </w:pPr>
            <w:r w:rsidRPr="00E32596">
              <w:rPr>
                <w:rFonts w:ascii="Calibri" w:hAnsi="Calibri"/>
                <w:sz w:val="18"/>
                <w:szCs w:val="18"/>
              </w:rPr>
              <w:t>-807 435</w:t>
            </w:r>
          </w:p>
        </w:tc>
        <w:tc>
          <w:tcPr>
            <w:tcW w:w="1059" w:type="dxa"/>
            <w:shd w:val="clear" w:color="auto" w:fill="auto"/>
            <w:vAlign w:val="center"/>
          </w:tcPr>
          <w:p w14:paraId="261D5F24" w14:textId="77777777" w:rsidR="00272E9C" w:rsidRPr="00E32596" w:rsidRDefault="00272E9C" w:rsidP="00A42C19">
            <w:pPr>
              <w:jc w:val="right"/>
              <w:rPr>
                <w:rFonts w:ascii="Calibri" w:hAnsi="Calibri"/>
                <w:sz w:val="18"/>
                <w:szCs w:val="18"/>
              </w:rPr>
            </w:pPr>
            <w:r w:rsidRPr="00E32596">
              <w:rPr>
                <w:rFonts w:ascii="Calibri" w:hAnsi="Calibri"/>
                <w:sz w:val="18"/>
                <w:szCs w:val="18"/>
              </w:rPr>
              <w:t>-1 649 168</w:t>
            </w:r>
          </w:p>
        </w:tc>
        <w:tc>
          <w:tcPr>
            <w:tcW w:w="1077" w:type="dxa"/>
            <w:vAlign w:val="center"/>
          </w:tcPr>
          <w:p w14:paraId="4FD7BEEB" w14:textId="77777777" w:rsidR="00272E9C" w:rsidRPr="00E32596" w:rsidRDefault="00272E9C" w:rsidP="00A42C19">
            <w:pPr>
              <w:jc w:val="right"/>
              <w:rPr>
                <w:rFonts w:ascii="Calibri" w:hAnsi="Calibri"/>
                <w:sz w:val="18"/>
                <w:szCs w:val="18"/>
              </w:rPr>
            </w:pPr>
            <w:r w:rsidRPr="00E32596">
              <w:rPr>
                <w:rFonts w:ascii="Calibri" w:hAnsi="Calibri"/>
                <w:sz w:val="18"/>
                <w:szCs w:val="18"/>
              </w:rPr>
              <w:t>-31,3%</w:t>
            </w:r>
          </w:p>
        </w:tc>
      </w:tr>
      <w:tr w:rsidR="00272E9C" w:rsidRPr="00E32596" w14:paraId="69B5FCFA" w14:textId="77777777" w:rsidTr="00A42C19">
        <w:trPr>
          <w:trHeight w:val="371"/>
          <w:jc w:val="center"/>
        </w:trPr>
        <w:tc>
          <w:tcPr>
            <w:tcW w:w="1296" w:type="dxa"/>
            <w:vMerge/>
            <w:shd w:val="clear" w:color="auto" w:fill="auto"/>
            <w:vAlign w:val="center"/>
          </w:tcPr>
          <w:p w14:paraId="5ABAC1C2" w14:textId="77777777" w:rsidR="00272E9C" w:rsidRPr="00E32596" w:rsidRDefault="00272E9C" w:rsidP="00A42C19">
            <w:pPr>
              <w:rPr>
                <w:rFonts w:ascii="Calibri" w:hAnsi="Calibri" w:cs="Calibri"/>
                <w:bCs/>
                <w:sz w:val="18"/>
                <w:szCs w:val="18"/>
              </w:rPr>
            </w:pPr>
          </w:p>
        </w:tc>
        <w:tc>
          <w:tcPr>
            <w:tcW w:w="1589" w:type="dxa"/>
            <w:vAlign w:val="center"/>
          </w:tcPr>
          <w:p w14:paraId="49A81514" w14:textId="77777777" w:rsidR="00272E9C" w:rsidRPr="00E32596" w:rsidRDefault="00272E9C" w:rsidP="00A42C19">
            <w:pPr>
              <w:rPr>
                <w:rFonts w:ascii="Calibri" w:hAnsi="Calibri"/>
                <w:sz w:val="18"/>
                <w:szCs w:val="18"/>
              </w:rPr>
            </w:pPr>
            <w:r w:rsidRPr="00E32596">
              <w:rPr>
                <w:rFonts w:ascii="Calibri" w:hAnsi="Calibri"/>
                <w:sz w:val="18"/>
                <w:szCs w:val="18"/>
              </w:rPr>
              <w:t>Villamos-fogas</w:t>
            </w:r>
          </w:p>
        </w:tc>
        <w:tc>
          <w:tcPr>
            <w:tcW w:w="1301" w:type="dxa"/>
            <w:tcBorders>
              <w:right w:val="double" w:sz="4" w:space="0" w:color="auto"/>
            </w:tcBorders>
            <w:vAlign w:val="center"/>
          </w:tcPr>
          <w:p w14:paraId="503D85CB" w14:textId="77777777" w:rsidR="00272E9C" w:rsidRPr="00E32596" w:rsidRDefault="00272E9C" w:rsidP="00A42C19">
            <w:pPr>
              <w:jc w:val="right"/>
              <w:rPr>
                <w:rFonts w:ascii="Calibri" w:hAnsi="Calibri" w:cs="Calibri"/>
                <w:sz w:val="18"/>
                <w:szCs w:val="18"/>
              </w:rPr>
            </w:pPr>
            <w:r w:rsidRPr="00E32596">
              <w:rPr>
                <w:rFonts w:ascii="Calibri" w:hAnsi="Calibri" w:cs="Calibri"/>
                <w:sz w:val="18"/>
                <w:szCs w:val="18"/>
              </w:rPr>
              <w:t>4 340 779</w:t>
            </w:r>
          </w:p>
        </w:tc>
        <w:tc>
          <w:tcPr>
            <w:tcW w:w="1011" w:type="dxa"/>
            <w:tcBorders>
              <w:left w:val="double" w:sz="4" w:space="0" w:color="auto"/>
            </w:tcBorders>
            <w:vAlign w:val="center"/>
          </w:tcPr>
          <w:p w14:paraId="63429B4E" w14:textId="77777777" w:rsidR="00272E9C" w:rsidRPr="00E32596" w:rsidRDefault="00272E9C" w:rsidP="00A42C19">
            <w:pPr>
              <w:jc w:val="right"/>
              <w:rPr>
                <w:rFonts w:ascii="Calibri" w:hAnsi="Calibri"/>
                <w:sz w:val="18"/>
                <w:szCs w:val="18"/>
              </w:rPr>
            </w:pPr>
            <w:r w:rsidRPr="00E32596">
              <w:rPr>
                <w:rFonts w:ascii="Calibri" w:hAnsi="Calibri"/>
                <w:sz w:val="18"/>
                <w:szCs w:val="18"/>
              </w:rPr>
              <w:t>94 759</w:t>
            </w:r>
          </w:p>
        </w:tc>
        <w:tc>
          <w:tcPr>
            <w:tcW w:w="1012" w:type="dxa"/>
            <w:shd w:val="clear" w:color="auto" w:fill="auto"/>
            <w:vAlign w:val="center"/>
          </w:tcPr>
          <w:p w14:paraId="0D4CE205" w14:textId="77777777" w:rsidR="00272E9C" w:rsidRPr="00E32596" w:rsidRDefault="00272E9C" w:rsidP="00A42C19">
            <w:pPr>
              <w:jc w:val="right"/>
              <w:rPr>
                <w:rFonts w:ascii="Calibri" w:hAnsi="Calibri"/>
                <w:sz w:val="18"/>
                <w:szCs w:val="18"/>
              </w:rPr>
            </w:pPr>
            <w:r w:rsidRPr="00E32596">
              <w:rPr>
                <w:rFonts w:ascii="Calibri" w:hAnsi="Calibri"/>
                <w:sz w:val="18"/>
                <w:szCs w:val="18"/>
              </w:rPr>
              <w:t>16 079</w:t>
            </w:r>
          </w:p>
        </w:tc>
        <w:tc>
          <w:tcPr>
            <w:tcW w:w="892" w:type="dxa"/>
            <w:vAlign w:val="center"/>
          </w:tcPr>
          <w:p w14:paraId="598795C2" w14:textId="77777777" w:rsidR="00272E9C" w:rsidRPr="00E32596" w:rsidRDefault="00272E9C" w:rsidP="00A42C19">
            <w:pPr>
              <w:jc w:val="right"/>
              <w:rPr>
                <w:rFonts w:ascii="Calibri" w:hAnsi="Calibri"/>
                <w:sz w:val="18"/>
                <w:szCs w:val="18"/>
              </w:rPr>
            </w:pPr>
          </w:p>
        </w:tc>
        <w:tc>
          <w:tcPr>
            <w:tcW w:w="1059" w:type="dxa"/>
            <w:shd w:val="clear" w:color="auto" w:fill="auto"/>
            <w:vAlign w:val="center"/>
          </w:tcPr>
          <w:p w14:paraId="4189194E" w14:textId="77777777" w:rsidR="00272E9C" w:rsidRPr="00E32596" w:rsidRDefault="00272E9C" w:rsidP="00A42C19">
            <w:pPr>
              <w:jc w:val="right"/>
              <w:rPr>
                <w:rFonts w:ascii="Calibri" w:hAnsi="Calibri"/>
                <w:sz w:val="18"/>
                <w:szCs w:val="18"/>
              </w:rPr>
            </w:pPr>
            <w:r w:rsidRPr="00E32596">
              <w:rPr>
                <w:rFonts w:ascii="Calibri" w:hAnsi="Calibri"/>
                <w:sz w:val="18"/>
                <w:szCs w:val="18"/>
              </w:rPr>
              <w:t>110 838</w:t>
            </w:r>
          </w:p>
        </w:tc>
        <w:tc>
          <w:tcPr>
            <w:tcW w:w="1077" w:type="dxa"/>
            <w:vAlign w:val="center"/>
          </w:tcPr>
          <w:p w14:paraId="439C9968" w14:textId="77777777" w:rsidR="00272E9C" w:rsidRPr="00E32596" w:rsidRDefault="00272E9C" w:rsidP="00A42C19">
            <w:pPr>
              <w:jc w:val="right"/>
              <w:rPr>
                <w:rFonts w:ascii="Calibri" w:hAnsi="Calibri"/>
                <w:sz w:val="18"/>
                <w:szCs w:val="18"/>
              </w:rPr>
            </w:pPr>
            <w:r w:rsidRPr="00E32596">
              <w:rPr>
                <w:rFonts w:ascii="Calibri" w:hAnsi="Calibri"/>
                <w:sz w:val="18"/>
                <w:szCs w:val="18"/>
              </w:rPr>
              <w:t>2,6%</w:t>
            </w:r>
          </w:p>
        </w:tc>
      </w:tr>
      <w:tr w:rsidR="00272E9C" w:rsidRPr="00E32596" w14:paraId="26444590" w14:textId="77777777" w:rsidTr="00A42C19">
        <w:trPr>
          <w:trHeight w:val="371"/>
          <w:jc w:val="center"/>
        </w:trPr>
        <w:tc>
          <w:tcPr>
            <w:tcW w:w="1296" w:type="dxa"/>
            <w:vMerge/>
            <w:shd w:val="clear" w:color="auto" w:fill="auto"/>
            <w:vAlign w:val="center"/>
          </w:tcPr>
          <w:p w14:paraId="05B6E6A1" w14:textId="77777777" w:rsidR="00272E9C" w:rsidRPr="00E32596" w:rsidRDefault="00272E9C" w:rsidP="00A42C19">
            <w:pPr>
              <w:rPr>
                <w:rFonts w:ascii="Calibri" w:hAnsi="Calibri" w:cs="Calibri"/>
                <w:bCs/>
                <w:sz w:val="18"/>
                <w:szCs w:val="18"/>
              </w:rPr>
            </w:pPr>
          </w:p>
        </w:tc>
        <w:tc>
          <w:tcPr>
            <w:tcW w:w="1589" w:type="dxa"/>
            <w:vAlign w:val="center"/>
          </w:tcPr>
          <w:p w14:paraId="54BA5FDD" w14:textId="77777777" w:rsidR="00272E9C" w:rsidRPr="00E32596" w:rsidRDefault="00272E9C" w:rsidP="00A42C19">
            <w:pPr>
              <w:rPr>
                <w:rFonts w:ascii="Calibri" w:hAnsi="Calibri"/>
                <w:sz w:val="18"/>
                <w:szCs w:val="18"/>
              </w:rPr>
            </w:pPr>
            <w:r w:rsidRPr="00E32596">
              <w:rPr>
                <w:rFonts w:ascii="Calibri" w:hAnsi="Calibri"/>
                <w:sz w:val="18"/>
                <w:szCs w:val="18"/>
              </w:rPr>
              <w:t>Autóbusz</w:t>
            </w:r>
          </w:p>
        </w:tc>
        <w:tc>
          <w:tcPr>
            <w:tcW w:w="1301" w:type="dxa"/>
            <w:tcBorders>
              <w:right w:val="double" w:sz="4" w:space="0" w:color="auto"/>
            </w:tcBorders>
            <w:vAlign w:val="center"/>
          </w:tcPr>
          <w:p w14:paraId="0CFC9607" w14:textId="77777777" w:rsidR="00272E9C" w:rsidRPr="00E32596" w:rsidRDefault="00272E9C" w:rsidP="00A42C19">
            <w:pPr>
              <w:jc w:val="right"/>
              <w:rPr>
                <w:rFonts w:ascii="Calibri" w:hAnsi="Calibri" w:cs="Calibri"/>
                <w:sz w:val="18"/>
                <w:szCs w:val="18"/>
              </w:rPr>
            </w:pPr>
            <w:r w:rsidRPr="00E32596">
              <w:rPr>
                <w:rFonts w:ascii="Calibri" w:hAnsi="Calibri" w:cs="Calibri"/>
                <w:sz w:val="18"/>
                <w:szCs w:val="18"/>
              </w:rPr>
              <w:t>3 786 352</w:t>
            </w:r>
          </w:p>
        </w:tc>
        <w:tc>
          <w:tcPr>
            <w:tcW w:w="1011" w:type="dxa"/>
            <w:tcBorders>
              <w:left w:val="double" w:sz="4" w:space="0" w:color="auto"/>
            </w:tcBorders>
            <w:vAlign w:val="center"/>
          </w:tcPr>
          <w:p w14:paraId="51143DDE" w14:textId="77777777" w:rsidR="00272E9C" w:rsidRPr="00E32596" w:rsidRDefault="00272E9C" w:rsidP="00A42C19">
            <w:pPr>
              <w:jc w:val="right"/>
              <w:rPr>
                <w:rFonts w:ascii="Calibri" w:hAnsi="Calibri"/>
                <w:sz w:val="18"/>
                <w:szCs w:val="18"/>
              </w:rPr>
            </w:pPr>
            <w:r w:rsidRPr="00E32596">
              <w:rPr>
                <w:rFonts w:ascii="Calibri" w:hAnsi="Calibri"/>
                <w:sz w:val="18"/>
                <w:szCs w:val="18"/>
              </w:rPr>
              <w:t>327 978</w:t>
            </w:r>
          </w:p>
        </w:tc>
        <w:tc>
          <w:tcPr>
            <w:tcW w:w="1012" w:type="dxa"/>
            <w:shd w:val="clear" w:color="auto" w:fill="auto"/>
            <w:vAlign w:val="center"/>
          </w:tcPr>
          <w:p w14:paraId="109657C0" w14:textId="77777777" w:rsidR="00272E9C" w:rsidRPr="00E32596" w:rsidRDefault="00272E9C" w:rsidP="00A42C19">
            <w:pPr>
              <w:jc w:val="right"/>
              <w:rPr>
                <w:rFonts w:ascii="Calibri" w:hAnsi="Calibri"/>
                <w:sz w:val="18"/>
                <w:szCs w:val="18"/>
              </w:rPr>
            </w:pPr>
            <w:r w:rsidRPr="00E32596">
              <w:rPr>
                <w:rFonts w:ascii="Calibri" w:hAnsi="Calibri"/>
                <w:sz w:val="18"/>
                <w:szCs w:val="18"/>
              </w:rPr>
              <w:t>131 972</w:t>
            </w:r>
          </w:p>
        </w:tc>
        <w:tc>
          <w:tcPr>
            <w:tcW w:w="892" w:type="dxa"/>
            <w:vAlign w:val="center"/>
          </w:tcPr>
          <w:p w14:paraId="72B11C04" w14:textId="77777777" w:rsidR="00272E9C" w:rsidRPr="00E32596" w:rsidRDefault="00272E9C" w:rsidP="00A42C19">
            <w:pPr>
              <w:jc w:val="right"/>
              <w:rPr>
                <w:rFonts w:ascii="Calibri" w:hAnsi="Calibri"/>
                <w:sz w:val="18"/>
                <w:szCs w:val="18"/>
              </w:rPr>
            </w:pPr>
            <w:r w:rsidRPr="00E32596">
              <w:rPr>
                <w:rFonts w:ascii="Calibri" w:hAnsi="Calibri"/>
                <w:sz w:val="18"/>
                <w:szCs w:val="18"/>
              </w:rPr>
              <w:t>320 972</w:t>
            </w:r>
          </w:p>
        </w:tc>
        <w:tc>
          <w:tcPr>
            <w:tcW w:w="1059" w:type="dxa"/>
            <w:shd w:val="clear" w:color="auto" w:fill="auto"/>
            <w:vAlign w:val="center"/>
          </w:tcPr>
          <w:p w14:paraId="0F8CB94C" w14:textId="77777777" w:rsidR="00272E9C" w:rsidRPr="00E32596" w:rsidRDefault="00272E9C" w:rsidP="00A42C19">
            <w:pPr>
              <w:jc w:val="right"/>
              <w:rPr>
                <w:rFonts w:ascii="Calibri" w:hAnsi="Calibri"/>
                <w:sz w:val="18"/>
                <w:szCs w:val="18"/>
              </w:rPr>
            </w:pPr>
            <w:r w:rsidRPr="00E32596">
              <w:rPr>
                <w:rFonts w:ascii="Calibri" w:hAnsi="Calibri"/>
                <w:sz w:val="18"/>
                <w:szCs w:val="18"/>
              </w:rPr>
              <w:t>780 922</w:t>
            </w:r>
          </w:p>
        </w:tc>
        <w:tc>
          <w:tcPr>
            <w:tcW w:w="1077" w:type="dxa"/>
            <w:vAlign w:val="center"/>
          </w:tcPr>
          <w:p w14:paraId="24AD4532" w14:textId="77777777" w:rsidR="00272E9C" w:rsidRPr="00E32596" w:rsidRDefault="00272E9C" w:rsidP="00A42C19">
            <w:pPr>
              <w:jc w:val="right"/>
              <w:rPr>
                <w:rFonts w:ascii="Calibri" w:hAnsi="Calibri"/>
                <w:sz w:val="18"/>
                <w:szCs w:val="18"/>
              </w:rPr>
            </w:pPr>
            <w:r w:rsidRPr="00E32596">
              <w:rPr>
                <w:rFonts w:ascii="Calibri" w:hAnsi="Calibri"/>
                <w:sz w:val="18"/>
                <w:szCs w:val="18"/>
              </w:rPr>
              <w:t>20,6%</w:t>
            </w:r>
          </w:p>
        </w:tc>
      </w:tr>
      <w:tr w:rsidR="00272E9C" w:rsidRPr="00E32596" w14:paraId="7FF2A833" w14:textId="77777777" w:rsidTr="00A42C19">
        <w:trPr>
          <w:trHeight w:val="371"/>
          <w:jc w:val="center"/>
        </w:trPr>
        <w:tc>
          <w:tcPr>
            <w:tcW w:w="1296" w:type="dxa"/>
            <w:vMerge/>
            <w:shd w:val="clear" w:color="auto" w:fill="auto"/>
            <w:vAlign w:val="center"/>
          </w:tcPr>
          <w:p w14:paraId="242D7A35" w14:textId="77777777" w:rsidR="00272E9C" w:rsidRPr="00E32596" w:rsidRDefault="00272E9C" w:rsidP="00A42C19">
            <w:pPr>
              <w:rPr>
                <w:rFonts w:ascii="Calibri" w:hAnsi="Calibri" w:cs="Calibri"/>
                <w:bCs/>
                <w:sz w:val="18"/>
                <w:szCs w:val="18"/>
              </w:rPr>
            </w:pPr>
          </w:p>
        </w:tc>
        <w:tc>
          <w:tcPr>
            <w:tcW w:w="1589" w:type="dxa"/>
            <w:vAlign w:val="center"/>
          </w:tcPr>
          <w:p w14:paraId="7FB6155F" w14:textId="77777777" w:rsidR="00272E9C" w:rsidRPr="00E32596" w:rsidRDefault="00272E9C" w:rsidP="00A42C19">
            <w:pPr>
              <w:rPr>
                <w:rFonts w:ascii="Calibri" w:hAnsi="Calibri"/>
                <w:sz w:val="18"/>
                <w:szCs w:val="18"/>
              </w:rPr>
            </w:pPr>
            <w:r w:rsidRPr="00E32596">
              <w:rPr>
                <w:rFonts w:ascii="Calibri" w:hAnsi="Calibri"/>
                <w:b/>
                <w:sz w:val="18"/>
                <w:szCs w:val="18"/>
              </w:rPr>
              <w:t>Mindösszesen</w:t>
            </w:r>
          </w:p>
        </w:tc>
        <w:tc>
          <w:tcPr>
            <w:tcW w:w="1301" w:type="dxa"/>
            <w:tcBorders>
              <w:right w:val="double" w:sz="4" w:space="0" w:color="auto"/>
            </w:tcBorders>
            <w:vAlign w:val="center"/>
          </w:tcPr>
          <w:p w14:paraId="075EE0B7" w14:textId="77777777" w:rsidR="00272E9C" w:rsidRPr="00E32596" w:rsidRDefault="00272E9C" w:rsidP="00A42C19">
            <w:pPr>
              <w:jc w:val="right"/>
              <w:rPr>
                <w:rFonts w:ascii="Calibri" w:hAnsi="Calibri" w:cs="Calibri"/>
                <w:b/>
                <w:sz w:val="18"/>
                <w:szCs w:val="18"/>
              </w:rPr>
            </w:pPr>
            <w:r w:rsidRPr="00E32596">
              <w:rPr>
                <w:rFonts w:ascii="Calibri" w:hAnsi="Calibri" w:cs="Calibri"/>
                <w:b/>
                <w:sz w:val="18"/>
                <w:szCs w:val="18"/>
              </w:rPr>
              <w:t>13 393 266</w:t>
            </w:r>
          </w:p>
        </w:tc>
        <w:tc>
          <w:tcPr>
            <w:tcW w:w="1011" w:type="dxa"/>
            <w:tcBorders>
              <w:left w:val="double" w:sz="4" w:space="0" w:color="auto"/>
            </w:tcBorders>
            <w:vAlign w:val="center"/>
          </w:tcPr>
          <w:p w14:paraId="5DDF820D" w14:textId="77777777" w:rsidR="00272E9C" w:rsidRPr="00E32596" w:rsidRDefault="00272E9C" w:rsidP="00A42C19">
            <w:pPr>
              <w:jc w:val="right"/>
              <w:rPr>
                <w:rFonts w:ascii="Calibri" w:hAnsi="Calibri" w:cs="Calibri"/>
                <w:b/>
                <w:sz w:val="18"/>
                <w:szCs w:val="18"/>
              </w:rPr>
            </w:pPr>
            <w:r w:rsidRPr="00E32596">
              <w:rPr>
                <w:rFonts w:ascii="Calibri" w:hAnsi="Calibri" w:cs="Calibri"/>
                <w:b/>
                <w:sz w:val="18"/>
                <w:szCs w:val="18"/>
              </w:rPr>
              <w:t>-249 361</w:t>
            </w:r>
          </w:p>
        </w:tc>
        <w:tc>
          <w:tcPr>
            <w:tcW w:w="1012" w:type="dxa"/>
            <w:shd w:val="clear" w:color="auto" w:fill="auto"/>
            <w:vAlign w:val="center"/>
          </w:tcPr>
          <w:p w14:paraId="628D280E" w14:textId="77777777" w:rsidR="00272E9C" w:rsidRPr="00E32596" w:rsidRDefault="00272E9C" w:rsidP="00A42C19">
            <w:pPr>
              <w:jc w:val="right"/>
              <w:rPr>
                <w:rFonts w:ascii="Calibri" w:hAnsi="Calibri" w:cs="Calibri"/>
                <w:b/>
                <w:sz w:val="18"/>
                <w:szCs w:val="18"/>
              </w:rPr>
            </w:pPr>
            <w:r w:rsidRPr="00E32596">
              <w:rPr>
                <w:rFonts w:ascii="Calibri" w:hAnsi="Calibri" w:cs="Calibri"/>
                <w:b/>
                <w:sz w:val="18"/>
                <w:szCs w:val="18"/>
              </w:rPr>
              <w:t>-21 583</w:t>
            </w:r>
          </w:p>
        </w:tc>
        <w:tc>
          <w:tcPr>
            <w:tcW w:w="892" w:type="dxa"/>
            <w:vAlign w:val="center"/>
          </w:tcPr>
          <w:p w14:paraId="5C467A2D" w14:textId="77777777" w:rsidR="00272E9C" w:rsidRPr="00E32596" w:rsidRDefault="00272E9C" w:rsidP="00A42C19">
            <w:pPr>
              <w:jc w:val="right"/>
              <w:rPr>
                <w:rFonts w:ascii="Calibri" w:hAnsi="Calibri" w:cs="Calibri"/>
                <w:b/>
                <w:sz w:val="18"/>
                <w:szCs w:val="18"/>
              </w:rPr>
            </w:pPr>
            <w:r w:rsidRPr="00E32596">
              <w:rPr>
                <w:rFonts w:ascii="Calibri" w:hAnsi="Calibri" w:cs="Calibri"/>
                <w:b/>
                <w:sz w:val="18"/>
                <w:szCs w:val="18"/>
              </w:rPr>
              <w:t>-486 463</w:t>
            </w:r>
          </w:p>
        </w:tc>
        <w:tc>
          <w:tcPr>
            <w:tcW w:w="1059" w:type="dxa"/>
            <w:shd w:val="clear" w:color="auto" w:fill="auto"/>
            <w:vAlign w:val="center"/>
          </w:tcPr>
          <w:p w14:paraId="16C9E911" w14:textId="77777777" w:rsidR="00272E9C" w:rsidRPr="00E32596" w:rsidRDefault="00272E9C" w:rsidP="00A42C19">
            <w:pPr>
              <w:jc w:val="right"/>
              <w:rPr>
                <w:rFonts w:ascii="Calibri" w:hAnsi="Calibri" w:cs="Calibri"/>
                <w:b/>
                <w:sz w:val="18"/>
                <w:szCs w:val="18"/>
              </w:rPr>
            </w:pPr>
            <w:r w:rsidRPr="00E32596">
              <w:rPr>
                <w:rFonts w:ascii="Calibri" w:hAnsi="Calibri" w:cs="Calibri"/>
                <w:b/>
                <w:sz w:val="18"/>
                <w:szCs w:val="18"/>
              </w:rPr>
              <w:t>-757 408</w:t>
            </w:r>
          </w:p>
        </w:tc>
        <w:tc>
          <w:tcPr>
            <w:tcW w:w="1077" w:type="dxa"/>
            <w:vAlign w:val="center"/>
          </w:tcPr>
          <w:p w14:paraId="5AFEE70C" w14:textId="77777777" w:rsidR="00272E9C" w:rsidRPr="00E32596" w:rsidRDefault="00272E9C" w:rsidP="00A42C19">
            <w:pPr>
              <w:jc w:val="right"/>
              <w:rPr>
                <w:rFonts w:ascii="Calibri" w:hAnsi="Calibri" w:cs="Calibri"/>
                <w:b/>
                <w:sz w:val="18"/>
                <w:szCs w:val="18"/>
              </w:rPr>
            </w:pPr>
            <w:r w:rsidRPr="00E32596">
              <w:rPr>
                <w:rFonts w:ascii="Calibri" w:hAnsi="Calibri" w:cs="Calibri"/>
                <w:b/>
                <w:sz w:val="18"/>
                <w:szCs w:val="18"/>
              </w:rPr>
              <w:t>-8,1%</w:t>
            </w:r>
          </w:p>
        </w:tc>
      </w:tr>
    </w:tbl>
    <w:p w14:paraId="501B009E" w14:textId="77777777" w:rsidR="00DC4968" w:rsidRPr="00787AB7" w:rsidRDefault="00DC4968" w:rsidP="00EF7143">
      <w:pPr>
        <w:jc w:val="both"/>
        <w:rPr>
          <w:rFonts w:asciiTheme="minorHAnsi" w:hAnsiTheme="minorHAnsi"/>
        </w:rPr>
      </w:pPr>
    </w:p>
    <w:p w14:paraId="36F38537" w14:textId="77777777" w:rsidR="00EF7143" w:rsidRPr="00787AB7" w:rsidRDefault="00EF7143" w:rsidP="00EF7143">
      <w:pPr>
        <w:jc w:val="both"/>
        <w:rPr>
          <w:rFonts w:asciiTheme="minorHAnsi" w:hAnsiTheme="minorHAnsi"/>
        </w:rPr>
      </w:pPr>
    </w:p>
    <w:p w14:paraId="374A6453" w14:textId="77777777" w:rsidR="00EF7143" w:rsidRPr="00787AB7" w:rsidRDefault="009A1A77" w:rsidP="00EF7143">
      <w:pPr>
        <w:jc w:val="center"/>
        <w:rPr>
          <w:rFonts w:asciiTheme="minorHAnsi" w:hAnsiTheme="minorHAnsi" w:cstheme="minorHAnsi"/>
          <w:b/>
          <w:sz w:val="22"/>
          <w:szCs w:val="22"/>
        </w:rPr>
      </w:pPr>
      <w:r w:rsidRPr="00787AB7">
        <w:rPr>
          <w:rFonts w:asciiTheme="minorHAnsi" w:hAnsiTheme="minorHAnsi" w:cstheme="minorHAnsi"/>
          <w:b/>
          <w:sz w:val="22"/>
          <w:szCs w:val="22"/>
        </w:rPr>
        <w:t>Az alapteljesítmények és az M3 rekonstrukció viszonya az érintett ágazatoknál</w:t>
      </w:r>
    </w:p>
    <w:p w14:paraId="3BF799B9" w14:textId="77777777" w:rsidR="00EF7143" w:rsidRPr="00787AB7" w:rsidRDefault="00EF7143" w:rsidP="00EF7143">
      <w:pPr>
        <w:spacing w:after="200" w:line="276" w:lineRule="auto"/>
        <w:jc w:val="both"/>
        <w:rPr>
          <w:rFonts w:asciiTheme="minorHAnsi" w:hAnsiTheme="minorHAnsi" w:cstheme="minorHAnsi"/>
          <w:i/>
          <w:u w:val="single"/>
        </w:rPr>
      </w:pPr>
    </w:p>
    <w:p w14:paraId="24D11252" w14:textId="77777777" w:rsidR="00B840AB" w:rsidRPr="00E32596" w:rsidRDefault="00B840AB" w:rsidP="00B840AB">
      <w:pPr>
        <w:spacing w:after="200" w:line="276" w:lineRule="auto"/>
        <w:jc w:val="both"/>
        <w:rPr>
          <w:rFonts w:asciiTheme="minorHAnsi" w:hAnsiTheme="minorHAnsi" w:cstheme="minorHAnsi"/>
          <w:i/>
          <w:u w:val="single"/>
        </w:rPr>
      </w:pPr>
      <w:r w:rsidRPr="00E32596">
        <w:rPr>
          <w:rFonts w:asciiTheme="minorHAnsi" w:hAnsiTheme="minorHAnsi" w:cstheme="minorHAnsi"/>
          <w:i/>
          <w:u w:val="single"/>
        </w:rPr>
        <w:t>Hatásai az érintett ágazatokra:</w:t>
      </w:r>
    </w:p>
    <w:p w14:paraId="03B88B8A" w14:textId="77777777" w:rsidR="00B840AB" w:rsidRPr="00E32596" w:rsidRDefault="00B840AB" w:rsidP="00B840AB">
      <w:pPr>
        <w:jc w:val="both"/>
        <w:rPr>
          <w:rFonts w:asciiTheme="minorHAnsi" w:hAnsiTheme="minorHAnsi" w:cstheme="minorHAnsi"/>
        </w:rPr>
      </w:pPr>
      <w:r w:rsidRPr="00E32596">
        <w:rPr>
          <w:rFonts w:asciiTheme="minorHAnsi" w:hAnsiTheme="minorHAnsi" w:cstheme="minorHAnsi"/>
        </w:rPr>
        <w:t xml:space="preserve">A </w:t>
      </w:r>
      <w:r w:rsidRPr="00E32596">
        <w:rPr>
          <w:rFonts w:asciiTheme="minorHAnsi" w:hAnsiTheme="minorHAnsi" w:cstheme="minorHAnsi"/>
          <w:u w:val="single"/>
        </w:rPr>
        <w:t>metró ágazat</w:t>
      </w:r>
      <w:r w:rsidRPr="00E32596">
        <w:rPr>
          <w:rFonts w:asciiTheme="minorHAnsi" w:hAnsiTheme="minorHAnsi" w:cstheme="minorHAnsi"/>
        </w:rPr>
        <w:t xml:space="preserve"> teljesítmény kiesése 2018-ban (Észak-Dél együttesen) várhatóan 1 649 168 ezer fhkm, ami meghaladja az alapteljesítmény 30%-át. A déli szakasz felújításának tervezett kezdetét figyelembe véve a 2018. szeptember-decemberi időszakban egyszerre kerül sor a két szakasz leállására. </w:t>
      </w:r>
    </w:p>
    <w:p w14:paraId="59CDE601" w14:textId="77777777" w:rsidR="00B840AB" w:rsidRPr="00E32596" w:rsidRDefault="00B840AB" w:rsidP="00B840AB">
      <w:pPr>
        <w:jc w:val="both"/>
        <w:rPr>
          <w:rFonts w:asciiTheme="minorHAnsi" w:hAnsiTheme="minorHAnsi" w:cstheme="minorHAnsi"/>
        </w:rPr>
      </w:pPr>
    </w:p>
    <w:p w14:paraId="4AFD8908" w14:textId="77777777" w:rsidR="00B840AB" w:rsidRPr="00E32596" w:rsidRDefault="00B840AB" w:rsidP="00B840AB">
      <w:pPr>
        <w:jc w:val="both"/>
        <w:rPr>
          <w:rFonts w:asciiTheme="minorHAnsi" w:hAnsiTheme="minorHAnsi" w:cstheme="minorHAnsi"/>
        </w:rPr>
      </w:pPr>
      <w:r w:rsidRPr="00E32596">
        <w:rPr>
          <w:rFonts w:asciiTheme="minorHAnsi" w:hAnsiTheme="minorHAnsi" w:cstheme="minorHAnsi"/>
        </w:rPr>
        <w:t xml:space="preserve">A </w:t>
      </w:r>
      <w:r w:rsidRPr="00E32596">
        <w:rPr>
          <w:rFonts w:asciiTheme="minorHAnsi" w:hAnsiTheme="minorHAnsi" w:cstheme="minorHAnsi"/>
          <w:u w:val="single"/>
        </w:rPr>
        <w:t>villamos ágazat</w:t>
      </w:r>
      <w:r w:rsidRPr="00E32596">
        <w:rPr>
          <w:rFonts w:asciiTheme="minorHAnsi" w:hAnsiTheme="minorHAnsi" w:cstheme="minorHAnsi"/>
        </w:rPr>
        <w:t xml:space="preserve"> forgalmi teljesítmény terveit tekintve 110 838 ezer fhkm növekedés prognosztizálható az M3 rekonstrukció idején, mely elsősorban az északi szakaszon történő vágányzár során jelentkezik. Kiemelendő továbbá, hogy az M3 rekonstrukció déli szakaszának 2018. júniusról szeptemberre történő átütemezése miatt az ágazat két jelentős forgalomkorlátozási igénye (Nagykörút, illetve Népszínház utca – Orczy tér) bekerült a 2018. évi Üzleti Tervbe.</w:t>
      </w:r>
    </w:p>
    <w:p w14:paraId="7B7EDB7C" w14:textId="77777777" w:rsidR="00B840AB" w:rsidRPr="00E32596" w:rsidRDefault="00B840AB" w:rsidP="00B840AB">
      <w:pPr>
        <w:jc w:val="both"/>
        <w:rPr>
          <w:rFonts w:asciiTheme="minorHAnsi" w:hAnsiTheme="minorHAnsi" w:cstheme="minorHAnsi"/>
        </w:rPr>
      </w:pPr>
    </w:p>
    <w:p w14:paraId="32872314" w14:textId="2F06FC20" w:rsidR="00B71747" w:rsidRPr="0056690E" w:rsidRDefault="00B840AB" w:rsidP="00BC4D8E">
      <w:pPr>
        <w:jc w:val="both"/>
        <w:rPr>
          <w:rFonts w:asciiTheme="minorHAnsi" w:hAnsiTheme="minorHAnsi" w:cstheme="minorHAnsi"/>
          <w:color w:val="FF0000"/>
        </w:rPr>
      </w:pPr>
      <w:r w:rsidRPr="00E32596">
        <w:rPr>
          <w:rFonts w:asciiTheme="minorHAnsi" w:hAnsiTheme="minorHAnsi" w:cstheme="minorHAnsi"/>
        </w:rPr>
        <w:t xml:space="preserve">Az </w:t>
      </w:r>
      <w:r w:rsidRPr="00E32596">
        <w:rPr>
          <w:rFonts w:asciiTheme="minorHAnsi" w:hAnsiTheme="minorHAnsi" w:cstheme="minorHAnsi"/>
          <w:u w:val="single"/>
        </w:rPr>
        <w:t>autóbusz ágazat</w:t>
      </w:r>
      <w:r w:rsidRPr="00E32596">
        <w:rPr>
          <w:rFonts w:asciiTheme="minorHAnsi" w:hAnsiTheme="minorHAnsi" w:cstheme="minorHAnsi"/>
        </w:rPr>
        <w:t xml:space="preserve"> 780 922 ezer fhkm növekedése az alapteljesítmény több mint 20%-át teszi ki. A metrópótlás és sűrítés ellátásának feladata nagy terhet ró az ágazatra, mivel az északi és az egész vonalas pótlás együttes járműigénye meghaladja a 90 darabot. Szeptember-december hónapokban, mikor az északi és déli szakasz egyszerre kerül lezárásra, a teljesítmény megrendelés zavartalan </w:t>
      </w:r>
      <w:r>
        <w:rPr>
          <w:rFonts w:asciiTheme="minorHAnsi" w:hAnsiTheme="minorHAnsi" w:cstheme="minorHAnsi"/>
        </w:rPr>
        <w:t>ellátásához</w:t>
      </w:r>
      <w:r w:rsidRPr="00E32596">
        <w:rPr>
          <w:rFonts w:asciiTheme="minorHAnsi" w:hAnsiTheme="minorHAnsi" w:cstheme="minorHAnsi"/>
        </w:rPr>
        <w:t xml:space="preserve"> </w:t>
      </w:r>
      <w:r w:rsidR="00C4580C">
        <w:rPr>
          <w:rFonts w:asciiTheme="minorHAnsi" w:hAnsiTheme="minorHAnsi" w:cstheme="minorHAnsi"/>
        </w:rPr>
        <w:t xml:space="preserve">rövid ideig </w:t>
      </w:r>
      <w:r w:rsidRPr="00E32596">
        <w:rPr>
          <w:rFonts w:asciiTheme="minorHAnsi" w:hAnsiTheme="minorHAnsi" w:cstheme="minorHAnsi"/>
        </w:rPr>
        <w:t xml:space="preserve">mintegy 180 darab autóbusz szükséges, a hozzá tartozó járművezető létszámmal együtt. </w:t>
      </w:r>
      <w:r w:rsidR="00C4580C">
        <w:rPr>
          <w:rFonts w:asciiTheme="minorHAnsi" w:hAnsiTheme="minorHAnsi" w:cstheme="minorHAnsi"/>
        </w:rPr>
        <w:t>Az átmeneti teljesítménynövekmény egyrészt olyan többlet erőforrásokat igényel, amelyek a gazdaságos felhasználást nem teszik lehetővé, másrészt a nemzeti és nemzetközi szinten is tapasztalható munkaerőhiány</w:t>
      </w:r>
      <w:r w:rsidRPr="00E32596">
        <w:rPr>
          <w:rFonts w:asciiTheme="minorHAnsi" w:hAnsiTheme="minorHAnsi" w:cstheme="minorHAnsi"/>
        </w:rPr>
        <w:t xml:space="preserve"> jelentős energiát emészt fel. A járműkiadás zökkenőmentességének érdekében új autóbuszok megvásárlásán felül használt, környezetbarát járművek beszerzésére került sor (40 db hibrid autóbusz), továbbá rendelkezésre állási konstrukcióban új csuklós járművek is forgalomba álltak (30 db Mercedes Conecto). A rekonstrukcióhoz szükséges járműigény biztosítása érdekében 2017-ben a Társaság autóbusz ágazata további forgalomból kivont, de még használható csuklós járművek reaktiválását végezte el, így összesen 33 db IK280 és IK435 típusú autóbusszal növekedett a járműállomány. 2018. évben 30 db új Modulo 168 D autóbusz és további használt csuklós járművek beszerzése járul hozzá a metrópótl</w:t>
      </w:r>
      <w:r>
        <w:rPr>
          <w:rFonts w:asciiTheme="minorHAnsi" w:hAnsiTheme="minorHAnsi" w:cstheme="minorHAnsi"/>
        </w:rPr>
        <w:t>áshoz szükséges</w:t>
      </w:r>
      <w:r w:rsidRPr="00E32596">
        <w:rPr>
          <w:rFonts w:asciiTheme="minorHAnsi" w:hAnsiTheme="minorHAnsi" w:cstheme="minorHAnsi"/>
        </w:rPr>
        <w:t xml:space="preserve"> teljesítmények teljes körű </w:t>
      </w:r>
      <w:r>
        <w:rPr>
          <w:rFonts w:asciiTheme="minorHAnsi" w:hAnsiTheme="minorHAnsi" w:cstheme="minorHAnsi"/>
        </w:rPr>
        <w:t>biztosításához</w:t>
      </w:r>
      <w:r w:rsidRPr="00E32596">
        <w:rPr>
          <w:rFonts w:asciiTheme="minorHAnsi" w:hAnsiTheme="minorHAnsi" w:cstheme="minorHAnsi"/>
        </w:rPr>
        <w:t>.</w:t>
      </w:r>
    </w:p>
    <w:p w14:paraId="0559876B" w14:textId="77777777" w:rsidR="00127D83" w:rsidRPr="00787AB7" w:rsidRDefault="00127D83" w:rsidP="00BC4D8E">
      <w:pPr>
        <w:jc w:val="both"/>
        <w:rPr>
          <w:rFonts w:asciiTheme="minorHAnsi" w:hAnsiTheme="minorHAnsi" w:cstheme="minorHAnsi"/>
        </w:rPr>
      </w:pPr>
    </w:p>
    <w:p w14:paraId="56ACBC7B" w14:textId="77777777" w:rsidR="00263F46" w:rsidRPr="00787AB7" w:rsidRDefault="009A1A77" w:rsidP="00127D83">
      <w:pPr>
        <w:pStyle w:val="Cmsor3"/>
        <w:tabs>
          <w:tab w:val="clear" w:pos="2007"/>
        </w:tabs>
        <w:ind w:left="0" w:firstLine="0"/>
        <w:rPr>
          <w:rFonts w:asciiTheme="minorHAnsi" w:hAnsiTheme="minorHAnsi"/>
        </w:rPr>
      </w:pPr>
      <w:bookmarkStart w:id="20" w:name="_Toc369615487"/>
      <w:bookmarkStart w:id="21" w:name="_Toc443317914"/>
      <w:bookmarkStart w:id="22" w:name="_Toc465246387"/>
      <w:bookmarkStart w:id="23" w:name="_Toc471992573"/>
      <w:bookmarkStart w:id="24" w:name="_Toc512409611"/>
      <w:r w:rsidRPr="00787AB7">
        <w:rPr>
          <w:rFonts w:asciiTheme="minorHAnsi" w:hAnsiTheme="minorHAnsi"/>
        </w:rPr>
        <w:t>- Alap forgalmi teljesítmény változások hatása a költségekre</w:t>
      </w:r>
      <w:bookmarkEnd w:id="20"/>
      <w:bookmarkEnd w:id="21"/>
      <w:bookmarkEnd w:id="22"/>
      <w:bookmarkEnd w:id="23"/>
      <w:bookmarkEnd w:id="24"/>
    </w:p>
    <w:p w14:paraId="3BC7A5C2" w14:textId="77777777" w:rsidR="00263F46" w:rsidRPr="0056690E" w:rsidRDefault="00263F46" w:rsidP="00263F46">
      <w:pPr>
        <w:jc w:val="both"/>
        <w:rPr>
          <w:rFonts w:asciiTheme="minorHAnsi" w:hAnsiTheme="minorHAnsi" w:cstheme="minorHAnsi"/>
          <w:color w:val="FF0000"/>
        </w:rPr>
      </w:pPr>
    </w:p>
    <w:p w14:paraId="752ECC9B" w14:textId="77777777" w:rsidR="00263F46" w:rsidRPr="00787AB7" w:rsidRDefault="009A1A77" w:rsidP="00263F46">
      <w:pPr>
        <w:jc w:val="both"/>
        <w:rPr>
          <w:rFonts w:asciiTheme="minorHAnsi" w:hAnsiTheme="minorHAnsi" w:cstheme="minorHAnsi"/>
        </w:rPr>
      </w:pPr>
      <w:r w:rsidRPr="00787AB7">
        <w:rPr>
          <w:rFonts w:asciiTheme="minorHAnsi" w:hAnsiTheme="minorHAnsi" w:cstheme="minorHAnsi"/>
        </w:rPr>
        <w:t>A BKV Zrt. a forgalmi teljesítmény-változások hatásait a rendelkezésre álló tény fajlagos költségek alapján tervezi. A Társaság az ágazatok fajlagos értékeit – összhangban az indokolt költség struktúrával – közvetlen és közvetett szinten is meghatározza. A forgalmi teljesítmény-változások költség hatásainak számszerűsítése során figyelembe vett fajlagos érték az alábbi részeket tartalmazza:</w:t>
      </w:r>
    </w:p>
    <w:p w14:paraId="1F6C3AF1" w14:textId="77777777" w:rsidR="00263F46" w:rsidRPr="00787AB7" w:rsidRDefault="009A1A77" w:rsidP="00263F46">
      <w:pPr>
        <w:pStyle w:val="Listaszerbekezds"/>
        <w:numPr>
          <w:ilvl w:val="0"/>
          <w:numId w:val="28"/>
        </w:numPr>
        <w:jc w:val="both"/>
        <w:rPr>
          <w:rFonts w:asciiTheme="minorHAnsi" w:hAnsiTheme="minorHAnsi" w:cstheme="minorHAnsi"/>
        </w:rPr>
      </w:pPr>
      <w:r w:rsidRPr="00787AB7">
        <w:rPr>
          <w:rFonts w:asciiTheme="minorHAnsi" w:hAnsiTheme="minorHAnsi" w:cstheme="minorHAnsi"/>
        </w:rPr>
        <w:t>Jármű üzemeltetés közvetlen anyagköltsége;</w:t>
      </w:r>
    </w:p>
    <w:p w14:paraId="161DE0EE" w14:textId="77777777" w:rsidR="00263F46" w:rsidRPr="00787AB7" w:rsidRDefault="009A1A77" w:rsidP="00263F46">
      <w:pPr>
        <w:pStyle w:val="Listaszerbekezds"/>
        <w:numPr>
          <w:ilvl w:val="0"/>
          <w:numId w:val="28"/>
        </w:numPr>
        <w:jc w:val="both"/>
        <w:rPr>
          <w:rFonts w:asciiTheme="minorHAnsi" w:hAnsiTheme="minorHAnsi" w:cstheme="minorHAnsi"/>
        </w:rPr>
      </w:pPr>
      <w:r w:rsidRPr="00787AB7">
        <w:rPr>
          <w:rFonts w:asciiTheme="minorHAnsi" w:hAnsiTheme="minorHAnsi" w:cstheme="minorHAnsi"/>
        </w:rPr>
        <w:t>Jármű üzemeltetés közvetlen személyi jellegű ráfordításai;</w:t>
      </w:r>
    </w:p>
    <w:p w14:paraId="134AD8D7" w14:textId="77777777" w:rsidR="00263F46" w:rsidRPr="00787AB7" w:rsidRDefault="009A1A77" w:rsidP="00263F46">
      <w:pPr>
        <w:pStyle w:val="Listaszerbekezds"/>
        <w:numPr>
          <w:ilvl w:val="0"/>
          <w:numId w:val="28"/>
        </w:numPr>
        <w:jc w:val="both"/>
        <w:rPr>
          <w:rFonts w:asciiTheme="minorHAnsi" w:hAnsiTheme="minorHAnsi" w:cstheme="minorHAnsi"/>
        </w:rPr>
      </w:pPr>
      <w:r w:rsidRPr="00787AB7">
        <w:rPr>
          <w:rFonts w:asciiTheme="minorHAnsi" w:hAnsiTheme="minorHAnsi" w:cstheme="minorHAnsi"/>
        </w:rPr>
        <w:t>Jármű karbantartás közvetlen anyagjellegű és egyéb költsége;</w:t>
      </w:r>
    </w:p>
    <w:p w14:paraId="396D636F" w14:textId="77777777" w:rsidR="00263F46" w:rsidRPr="00787AB7" w:rsidRDefault="009A1A77" w:rsidP="00263F46">
      <w:pPr>
        <w:pStyle w:val="Listaszerbekezds"/>
        <w:numPr>
          <w:ilvl w:val="0"/>
          <w:numId w:val="28"/>
        </w:numPr>
        <w:jc w:val="both"/>
        <w:rPr>
          <w:rFonts w:asciiTheme="minorHAnsi" w:hAnsiTheme="minorHAnsi" w:cstheme="minorHAnsi"/>
        </w:rPr>
      </w:pPr>
      <w:r w:rsidRPr="00787AB7">
        <w:rPr>
          <w:rFonts w:asciiTheme="minorHAnsi" w:hAnsiTheme="minorHAnsi" w:cstheme="minorHAnsi"/>
        </w:rPr>
        <w:t>Jármű karbantartás közvetlen személyi jellegű ráfordításai.</w:t>
      </w:r>
    </w:p>
    <w:p w14:paraId="348C5D0F" w14:textId="77777777" w:rsidR="00841AA1" w:rsidRPr="00787AB7" w:rsidRDefault="00841AA1" w:rsidP="00263F46">
      <w:pPr>
        <w:jc w:val="both"/>
        <w:rPr>
          <w:rFonts w:asciiTheme="minorHAnsi" w:hAnsiTheme="minorHAnsi" w:cstheme="minorHAnsi"/>
        </w:rPr>
      </w:pPr>
    </w:p>
    <w:p w14:paraId="07DAEA16" w14:textId="77777777" w:rsidR="00263F46" w:rsidRPr="00787AB7" w:rsidRDefault="009A1A77" w:rsidP="00263F46">
      <w:pPr>
        <w:jc w:val="both"/>
        <w:rPr>
          <w:rFonts w:asciiTheme="minorHAnsi" w:hAnsiTheme="minorHAnsi" w:cstheme="minorHAnsi"/>
        </w:rPr>
      </w:pPr>
      <w:r w:rsidRPr="00787AB7">
        <w:rPr>
          <w:rFonts w:asciiTheme="minorHAnsi" w:hAnsiTheme="minorHAnsi" w:cstheme="minorHAnsi"/>
        </w:rPr>
        <w:t>A költségekre gyakorolt hatást a teljesítmény-változás férőhely-kilométerben kifejezett értéke és az adott ágazat jármű közvetlen fajlagos értékének szorzata adja.</w:t>
      </w:r>
    </w:p>
    <w:p w14:paraId="7452F51A" w14:textId="77777777" w:rsidR="00263F46" w:rsidRPr="00787AB7" w:rsidRDefault="00263F46" w:rsidP="00263F46">
      <w:pPr>
        <w:jc w:val="both"/>
        <w:rPr>
          <w:rFonts w:asciiTheme="minorHAnsi" w:hAnsiTheme="minorHAnsi" w:cstheme="minorHAnsi"/>
        </w:rPr>
      </w:pPr>
    </w:p>
    <w:p w14:paraId="2D91DF9B" w14:textId="77777777" w:rsidR="00263F46" w:rsidRPr="00787AB7" w:rsidRDefault="009A1A77" w:rsidP="00263F46">
      <w:pPr>
        <w:jc w:val="both"/>
        <w:rPr>
          <w:rFonts w:asciiTheme="minorHAnsi" w:hAnsiTheme="minorHAnsi" w:cstheme="minorHAnsi"/>
        </w:rPr>
      </w:pPr>
      <w:r w:rsidRPr="00787AB7">
        <w:rPr>
          <w:rFonts w:asciiTheme="minorHAnsi" w:hAnsiTheme="minorHAnsi" w:cstheme="minorHAnsi"/>
        </w:rPr>
        <w:t xml:space="preserve">A hálózati struktúra felülvizsgálatából adódóan – az alapmenetrendi teljesítményeket illetően – a BKV Zrt-től megrendelt teljesítmények összességében az alábbi mértékben alakították a költségeket (energia és M3 rekonstrukciós hatás nélkül): </w:t>
      </w:r>
    </w:p>
    <w:p w14:paraId="503C0C35" w14:textId="77777777" w:rsidR="00B71747" w:rsidRPr="00787AB7" w:rsidRDefault="009A1A77">
      <w:pPr>
        <w:rPr>
          <w:rFonts w:asciiTheme="minorHAnsi" w:hAnsiTheme="minorHAnsi" w:cstheme="minorHAnsi"/>
        </w:rPr>
      </w:pPr>
      <w:r w:rsidRPr="00787AB7">
        <w:rPr>
          <w:rFonts w:asciiTheme="minorHAnsi" w:hAnsiTheme="minorHAnsi" w:cstheme="minorHAnsi"/>
        </w:rPr>
        <w:br w:type="page"/>
      </w:r>
    </w:p>
    <w:p w14:paraId="2AAD315C" w14:textId="77777777" w:rsidR="00564EED" w:rsidRPr="00787AB7" w:rsidRDefault="009A1A77" w:rsidP="00564EED">
      <w:pPr>
        <w:ind w:left="7080" w:firstLine="708"/>
        <w:jc w:val="both"/>
        <w:rPr>
          <w:rFonts w:asciiTheme="minorHAnsi" w:hAnsiTheme="minorHAnsi" w:cstheme="minorHAnsi"/>
          <w:sz w:val="18"/>
          <w:szCs w:val="18"/>
        </w:rPr>
      </w:pPr>
      <w:r w:rsidRPr="00787AB7">
        <w:rPr>
          <w:rFonts w:asciiTheme="minorHAnsi" w:hAnsiTheme="minorHAnsi" w:cstheme="minorHAnsi"/>
          <w:sz w:val="18"/>
          <w:szCs w:val="18"/>
        </w:rPr>
        <w:lastRenderedPageBreak/>
        <w:t>(millió 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292"/>
        <w:gridCol w:w="1314"/>
        <w:gridCol w:w="1258"/>
        <w:gridCol w:w="1299"/>
        <w:gridCol w:w="1269"/>
      </w:tblGrid>
      <w:tr w:rsidR="003F1E32" w:rsidRPr="003F1E32" w14:paraId="589854FD" w14:textId="77777777" w:rsidTr="00411D9D">
        <w:trPr>
          <w:trHeight w:val="742"/>
          <w:jc w:val="center"/>
        </w:trPr>
        <w:tc>
          <w:tcPr>
            <w:tcW w:w="2154" w:type="dxa"/>
            <w:shd w:val="clear" w:color="auto" w:fill="2528A3"/>
            <w:vAlign w:val="center"/>
          </w:tcPr>
          <w:p w14:paraId="514B63AC" w14:textId="77777777" w:rsidR="00564EED" w:rsidRPr="00787AB7" w:rsidRDefault="00564EED" w:rsidP="00564EED">
            <w:pPr>
              <w:jc w:val="center"/>
              <w:rPr>
                <w:rFonts w:ascii="Calibri" w:hAnsi="Calibri"/>
                <w:b/>
                <w:sz w:val="20"/>
                <w:szCs w:val="20"/>
              </w:rPr>
            </w:pPr>
          </w:p>
        </w:tc>
        <w:tc>
          <w:tcPr>
            <w:tcW w:w="1292" w:type="dxa"/>
            <w:shd w:val="clear" w:color="auto" w:fill="2528A3"/>
            <w:vAlign w:val="center"/>
          </w:tcPr>
          <w:p w14:paraId="543BA1BD" w14:textId="77777777" w:rsidR="00564EED" w:rsidRPr="00787AB7" w:rsidRDefault="009A1A77" w:rsidP="00564EED">
            <w:pPr>
              <w:jc w:val="center"/>
              <w:rPr>
                <w:rFonts w:asciiTheme="minorHAnsi" w:hAnsiTheme="minorHAnsi" w:cs="Arial"/>
                <w:b/>
                <w:sz w:val="20"/>
                <w:szCs w:val="18"/>
              </w:rPr>
            </w:pPr>
            <w:r w:rsidRPr="00787AB7">
              <w:rPr>
                <w:rFonts w:asciiTheme="minorHAnsi" w:hAnsiTheme="minorHAnsi" w:cs="Arial"/>
                <w:b/>
                <w:sz w:val="20"/>
                <w:szCs w:val="18"/>
              </w:rPr>
              <w:t>Metró</w:t>
            </w:r>
          </w:p>
        </w:tc>
        <w:tc>
          <w:tcPr>
            <w:tcW w:w="1314" w:type="dxa"/>
            <w:shd w:val="clear" w:color="auto" w:fill="2528A3"/>
            <w:vAlign w:val="center"/>
          </w:tcPr>
          <w:p w14:paraId="0EB8AADA" w14:textId="77777777" w:rsidR="00564EED" w:rsidRPr="00787AB7" w:rsidRDefault="009A1A77" w:rsidP="00564EED">
            <w:pPr>
              <w:jc w:val="center"/>
              <w:rPr>
                <w:rFonts w:asciiTheme="minorHAnsi" w:hAnsiTheme="minorHAnsi" w:cs="Arial"/>
                <w:b/>
                <w:sz w:val="20"/>
                <w:szCs w:val="18"/>
              </w:rPr>
            </w:pPr>
            <w:r w:rsidRPr="00787AB7">
              <w:rPr>
                <w:rFonts w:asciiTheme="minorHAnsi" w:hAnsiTheme="minorHAnsi" w:cs="Arial"/>
                <w:b/>
                <w:sz w:val="20"/>
                <w:szCs w:val="18"/>
              </w:rPr>
              <w:t>Villamos</w:t>
            </w:r>
          </w:p>
        </w:tc>
        <w:tc>
          <w:tcPr>
            <w:tcW w:w="1258" w:type="dxa"/>
            <w:shd w:val="clear" w:color="auto" w:fill="2528A3"/>
            <w:vAlign w:val="center"/>
          </w:tcPr>
          <w:p w14:paraId="5D7F22D8" w14:textId="77777777" w:rsidR="00564EED" w:rsidRPr="00787AB7" w:rsidRDefault="009A1A77" w:rsidP="00564EED">
            <w:pPr>
              <w:jc w:val="center"/>
              <w:rPr>
                <w:rFonts w:asciiTheme="minorHAnsi" w:hAnsiTheme="minorHAnsi" w:cs="Arial"/>
                <w:b/>
                <w:sz w:val="20"/>
                <w:szCs w:val="18"/>
              </w:rPr>
            </w:pPr>
            <w:r w:rsidRPr="00787AB7">
              <w:rPr>
                <w:rFonts w:asciiTheme="minorHAnsi" w:hAnsiTheme="minorHAnsi" w:cs="Arial"/>
                <w:b/>
                <w:sz w:val="20"/>
                <w:szCs w:val="18"/>
              </w:rPr>
              <w:t>Trolibusz</w:t>
            </w:r>
          </w:p>
        </w:tc>
        <w:tc>
          <w:tcPr>
            <w:tcW w:w="1299" w:type="dxa"/>
            <w:shd w:val="clear" w:color="auto" w:fill="2528A3"/>
            <w:vAlign w:val="center"/>
          </w:tcPr>
          <w:p w14:paraId="71689467" w14:textId="77777777" w:rsidR="00564EED" w:rsidRPr="00787AB7" w:rsidRDefault="009A1A77" w:rsidP="00564EED">
            <w:pPr>
              <w:jc w:val="center"/>
              <w:rPr>
                <w:rFonts w:asciiTheme="minorHAnsi" w:hAnsiTheme="minorHAnsi" w:cs="Arial"/>
                <w:b/>
                <w:sz w:val="20"/>
                <w:szCs w:val="18"/>
              </w:rPr>
            </w:pPr>
            <w:r w:rsidRPr="00787AB7">
              <w:rPr>
                <w:rFonts w:asciiTheme="minorHAnsi" w:hAnsiTheme="minorHAnsi" w:cs="Arial"/>
                <w:b/>
                <w:sz w:val="20"/>
                <w:szCs w:val="18"/>
              </w:rPr>
              <w:t>Autóbusz</w:t>
            </w:r>
          </w:p>
        </w:tc>
        <w:tc>
          <w:tcPr>
            <w:tcW w:w="1269" w:type="dxa"/>
            <w:shd w:val="clear" w:color="auto" w:fill="2528A3"/>
            <w:vAlign w:val="center"/>
          </w:tcPr>
          <w:p w14:paraId="54122EC0" w14:textId="77777777" w:rsidR="00564EED" w:rsidRPr="00787AB7" w:rsidRDefault="009A1A77" w:rsidP="00564EED">
            <w:pPr>
              <w:jc w:val="center"/>
              <w:rPr>
                <w:rFonts w:asciiTheme="minorHAnsi" w:hAnsiTheme="minorHAnsi" w:cs="Arial"/>
                <w:b/>
                <w:sz w:val="20"/>
                <w:szCs w:val="18"/>
              </w:rPr>
            </w:pPr>
            <w:r w:rsidRPr="00787AB7">
              <w:rPr>
                <w:rFonts w:asciiTheme="minorHAnsi" w:hAnsiTheme="minorHAnsi" w:cs="Arial"/>
                <w:b/>
                <w:sz w:val="20"/>
                <w:szCs w:val="18"/>
              </w:rPr>
              <w:t>Minden ágazat</w:t>
            </w:r>
          </w:p>
        </w:tc>
      </w:tr>
      <w:tr w:rsidR="003F1E32" w:rsidRPr="003F1E32" w14:paraId="75A7E8FF" w14:textId="77777777" w:rsidTr="00411D9D">
        <w:trPr>
          <w:trHeight w:val="455"/>
          <w:jc w:val="center"/>
        </w:trPr>
        <w:tc>
          <w:tcPr>
            <w:tcW w:w="2154" w:type="dxa"/>
            <w:vAlign w:val="center"/>
          </w:tcPr>
          <w:p w14:paraId="6701548F" w14:textId="77777777" w:rsidR="003F1E32" w:rsidRPr="00787AB7" w:rsidRDefault="009A1A77" w:rsidP="003F1E32">
            <w:pPr>
              <w:rPr>
                <w:rFonts w:asciiTheme="minorHAnsi" w:hAnsiTheme="minorHAnsi" w:cs="Arial"/>
                <w:sz w:val="18"/>
                <w:szCs w:val="18"/>
              </w:rPr>
            </w:pPr>
            <w:r w:rsidRPr="00787AB7">
              <w:rPr>
                <w:rFonts w:asciiTheme="minorHAnsi" w:hAnsiTheme="minorHAnsi" w:cs="Arial"/>
                <w:sz w:val="18"/>
                <w:szCs w:val="18"/>
              </w:rPr>
              <w:t>Anyagjellegű ráfordítások</w:t>
            </w:r>
          </w:p>
          <w:p w14:paraId="3915EC4F" w14:textId="77777777" w:rsidR="003F1E32" w:rsidRPr="00787AB7" w:rsidRDefault="009A1A77" w:rsidP="003F1E32">
            <w:pPr>
              <w:rPr>
                <w:rFonts w:asciiTheme="minorHAnsi" w:hAnsiTheme="minorHAnsi" w:cs="Arial"/>
                <w:sz w:val="18"/>
                <w:szCs w:val="18"/>
              </w:rPr>
            </w:pPr>
            <w:r w:rsidRPr="00787AB7">
              <w:rPr>
                <w:rFonts w:asciiTheme="minorHAnsi" w:hAnsiTheme="minorHAnsi" w:cs="Arial"/>
                <w:sz w:val="18"/>
                <w:szCs w:val="18"/>
              </w:rPr>
              <w:t xml:space="preserve">(energia nélkül) </w:t>
            </w:r>
          </w:p>
        </w:tc>
        <w:tc>
          <w:tcPr>
            <w:tcW w:w="1292" w:type="dxa"/>
            <w:vAlign w:val="center"/>
          </w:tcPr>
          <w:p w14:paraId="19175DEE" w14:textId="257394DC" w:rsidR="003F1E32" w:rsidRPr="00787AB7" w:rsidRDefault="009A1A77" w:rsidP="003F1E32">
            <w:pPr>
              <w:jc w:val="right"/>
              <w:rPr>
                <w:rFonts w:ascii="Calibri" w:hAnsi="Calibri" w:cs="Calibri"/>
                <w:sz w:val="18"/>
                <w:szCs w:val="18"/>
              </w:rPr>
            </w:pPr>
            <w:r w:rsidRPr="00787AB7">
              <w:rPr>
                <w:rFonts w:ascii="Calibri" w:hAnsi="Calibri" w:cs="Calibri"/>
                <w:sz w:val="18"/>
                <w:szCs w:val="18"/>
              </w:rPr>
              <w:t>43</w:t>
            </w:r>
          </w:p>
        </w:tc>
        <w:tc>
          <w:tcPr>
            <w:tcW w:w="1314" w:type="dxa"/>
            <w:vAlign w:val="center"/>
          </w:tcPr>
          <w:p w14:paraId="307B3506" w14:textId="6CD5CE2B" w:rsidR="003F1E32" w:rsidRPr="00787AB7" w:rsidRDefault="009A1A77">
            <w:pPr>
              <w:jc w:val="right"/>
              <w:rPr>
                <w:rFonts w:ascii="Calibri" w:hAnsi="Calibri" w:cs="Calibri"/>
                <w:sz w:val="18"/>
                <w:szCs w:val="18"/>
              </w:rPr>
            </w:pPr>
            <w:r w:rsidRPr="00787AB7">
              <w:rPr>
                <w:rFonts w:ascii="Calibri" w:hAnsi="Calibri" w:cs="Calibri"/>
                <w:sz w:val="18"/>
                <w:szCs w:val="18"/>
              </w:rPr>
              <w:t>175</w:t>
            </w:r>
          </w:p>
        </w:tc>
        <w:tc>
          <w:tcPr>
            <w:tcW w:w="1258" w:type="dxa"/>
            <w:shd w:val="clear" w:color="auto" w:fill="auto"/>
            <w:vAlign w:val="center"/>
          </w:tcPr>
          <w:p w14:paraId="01ADFE8D" w14:textId="51AF8A24" w:rsidR="003F1E32" w:rsidRPr="00787AB7" w:rsidRDefault="009A1A77">
            <w:pPr>
              <w:jc w:val="right"/>
              <w:rPr>
                <w:rFonts w:ascii="Calibri" w:hAnsi="Calibri" w:cs="Calibri"/>
                <w:sz w:val="18"/>
                <w:szCs w:val="18"/>
              </w:rPr>
            </w:pPr>
            <w:r w:rsidRPr="00787AB7">
              <w:rPr>
                <w:rFonts w:ascii="Calibri" w:hAnsi="Calibri" w:cs="Calibri"/>
                <w:sz w:val="18"/>
                <w:szCs w:val="18"/>
              </w:rPr>
              <w:t>33</w:t>
            </w:r>
          </w:p>
        </w:tc>
        <w:tc>
          <w:tcPr>
            <w:tcW w:w="1299" w:type="dxa"/>
            <w:shd w:val="clear" w:color="auto" w:fill="auto"/>
            <w:vAlign w:val="center"/>
          </w:tcPr>
          <w:p w14:paraId="0B0B12C2" w14:textId="52C43F19" w:rsidR="003F1E32" w:rsidRPr="00787AB7" w:rsidRDefault="009A1A77">
            <w:pPr>
              <w:jc w:val="right"/>
              <w:rPr>
                <w:rFonts w:ascii="Calibri" w:hAnsi="Calibri" w:cs="Calibri"/>
                <w:sz w:val="18"/>
                <w:szCs w:val="18"/>
              </w:rPr>
            </w:pPr>
            <w:r w:rsidRPr="00787AB7">
              <w:rPr>
                <w:rFonts w:ascii="Calibri" w:hAnsi="Calibri" w:cs="Calibri"/>
                <w:sz w:val="18"/>
                <w:szCs w:val="18"/>
              </w:rPr>
              <w:t xml:space="preserve"> -153</w:t>
            </w:r>
          </w:p>
        </w:tc>
        <w:tc>
          <w:tcPr>
            <w:tcW w:w="1269" w:type="dxa"/>
            <w:vAlign w:val="center"/>
          </w:tcPr>
          <w:p w14:paraId="42DB6469" w14:textId="4DB57361" w:rsidR="003F1E32" w:rsidRPr="00787AB7" w:rsidRDefault="009A1A77" w:rsidP="003F1E32">
            <w:pPr>
              <w:jc w:val="right"/>
              <w:rPr>
                <w:rFonts w:ascii="Calibri" w:hAnsi="Calibri"/>
                <w:b/>
                <w:sz w:val="18"/>
                <w:szCs w:val="18"/>
              </w:rPr>
            </w:pPr>
            <w:r w:rsidRPr="00787AB7">
              <w:rPr>
                <w:rFonts w:ascii="Calibri" w:hAnsi="Calibri"/>
                <w:b/>
                <w:sz w:val="18"/>
                <w:szCs w:val="18"/>
              </w:rPr>
              <w:t>98</w:t>
            </w:r>
          </w:p>
        </w:tc>
      </w:tr>
      <w:tr w:rsidR="003F1E32" w:rsidRPr="003F1E32" w14:paraId="3CFBE050" w14:textId="77777777" w:rsidTr="00411D9D">
        <w:trPr>
          <w:trHeight w:val="455"/>
          <w:jc w:val="center"/>
        </w:trPr>
        <w:tc>
          <w:tcPr>
            <w:tcW w:w="2154" w:type="dxa"/>
            <w:vAlign w:val="center"/>
          </w:tcPr>
          <w:p w14:paraId="45A27FE3" w14:textId="77777777" w:rsidR="00564EED" w:rsidRPr="00787AB7" w:rsidRDefault="009A1A77" w:rsidP="00AE7CD9">
            <w:pPr>
              <w:rPr>
                <w:rFonts w:asciiTheme="minorHAnsi" w:hAnsiTheme="minorHAnsi" w:cs="Arial"/>
                <w:sz w:val="18"/>
                <w:szCs w:val="18"/>
              </w:rPr>
            </w:pPr>
            <w:r w:rsidRPr="00787AB7">
              <w:rPr>
                <w:rFonts w:asciiTheme="minorHAnsi" w:hAnsiTheme="minorHAnsi" w:cs="Arial"/>
                <w:sz w:val="18"/>
                <w:szCs w:val="18"/>
              </w:rPr>
              <w:t xml:space="preserve">Személyi jellegű ráfordítások </w:t>
            </w:r>
          </w:p>
        </w:tc>
        <w:tc>
          <w:tcPr>
            <w:tcW w:w="1292" w:type="dxa"/>
            <w:vAlign w:val="center"/>
          </w:tcPr>
          <w:p w14:paraId="06110E0C" w14:textId="45182D26" w:rsidR="00564EED" w:rsidRPr="00787AB7" w:rsidRDefault="009A1A77">
            <w:pPr>
              <w:jc w:val="right"/>
              <w:rPr>
                <w:rFonts w:ascii="Calibri" w:hAnsi="Calibri" w:cs="Calibri"/>
                <w:sz w:val="18"/>
                <w:szCs w:val="18"/>
              </w:rPr>
            </w:pPr>
            <w:r w:rsidRPr="00787AB7">
              <w:rPr>
                <w:rFonts w:ascii="Calibri" w:hAnsi="Calibri" w:cs="Calibri"/>
                <w:sz w:val="18"/>
                <w:szCs w:val="18"/>
              </w:rPr>
              <w:t>112</w:t>
            </w:r>
          </w:p>
        </w:tc>
        <w:tc>
          <w:tcPr>
            <w:tcW w:w="1314" w:type="dxa"/>
            <w:vAlign w:val="center"/>
          </w:tcPr>
          <w:p w14:paraId="57548905" w14:textId="4B88EDA2" w:rsidR="00564EED" w:rsidRPr="00787AB7" w:rsidRDefault="009A1A77">
            <w:pPr>
              <w:jc w:val="right"/>
              <w:rPr>
                <w:rFonts w:ascii="Calibri" w:hAnsi="Calibri"/>
                <w:sz w:val="18"/>
                <w:szCs w:val="18"/>
              </w:rPr>
            </w:pPr>
            <w:r w:rsidRPr="00787AB7">
              <w:rPr>
                <w:rFonts w:ascii="Calibri" w:hAnsi="Calibri"/>
                <w:sz w:val="18"/>
                <w:szCs w:val="18"/>
              </w:rPr>
              <w:t>234</w:t>
            </w:r>
          </w:p>
        </w:tc>
        <w:tc>
          <w:tcPr>
            <w:tcW w:w="1258" w:type="dxa"/>
            <w:shd w:val="clear" w:color="auto" w:fill="auto"/>
            <w:vAlign w:val="center"/>
          </w:tcPr>
          <w:p w14:paraId="61197A87" w14:textId="363A864E" w:rsidR="00564EED" w:rsidRPr="00787AB7" w:rsidRDefault="009A1A77">
            <w:pPr>
              <w:jc w:val="right"/>
              <w:rPr>
                <w:rFonts w:ascii="Calibri" w:hAnsi="Calibri"/>
                <w:sz w:val="18"/>
                <w:szCs w:val="18"/>
              </w:rPr>
            </w:pPr>
            <w:r w:rsidRPr="00787AB7">
              <w:rPr>
                <w:rFonts w:ascii="Calibri" w:hAnsi="Calibri"/>
                <w:sz w:val="18"/>
                <w:szCs w:val="18"/>
              </w:rPr>
              <w:t>20</w:t>
            </w:r>
            <w:r w:rsidR="00815EC0">
              <w:rPr>
                <w:rFonts w:ascii="Calibri" w:hAnsi="Calibri"/>
                <w:sz w:val="18"/>
                <w:szCs w:val="18"/>
              </w:rPr>
              <w:t>3</w:t>
            </w:r>
          </w:p>
        </w:tc>
        <w:tc>
          <w:tcPr>
            <w:tcW w:w="1299" w:type="dxa"/>
            <w:shd w:val="clear" w:color="auto" w:fill="auto"/>
            <w:vAlign w:val="center"/>
          </w:tcPr>
          <w:p w14:paraId="297E7498" w14:textId="7E3F3327" w:rsidR="00564EED" w:rsidRPr="00787AB7" w:rsidRDefault="009A1A77" w:rsidP="00564EED">
            <w:pPr>
              <w:jc w:val="right"/>
              <w:rPr>
                <w:rFonts w:ascii="Calibri" w:hAnsi="Calibri"/>
                <w:sz w:val="18"/>
                <w:szCs w:val="18"/>
              </w:rPr>
            </w:pPr>
            <w:r w:rsidRPr="00787AB7">
              <w:rPr>
                <w:rFonts w:ascii="Calibri" w:hAnsi="Calibri"/>
                <w:sz w:val="18"/>
                <w:szCs w:val="18"/>
              </w:rPr>
              <w:t>-427</w:t>
            </w:r>
          </w:p>
        </w:tc>
        <w:tc>
          <w:tcPr>
            <w:tcW w:w="1269" w:type="dxa"/>
            <w:vAlign w:val="center"/>
          </w:tcPr>
          <w:p w14:paraId="734BC61B" w14:textId="599A50AF" w:rsidR="00564EED" w:rsidRPr="00787AB7" w:rsidRDefault="009A1A77" w:rsidP="00564EED">
            <w:pPr>
              <w:jc w:val="right"/>
              <w:rPr>
                <w:rFonts w:ascii="Calibri" w:hAnsi="Calibri"/>
                <w:b/>
                <w:sz w:val="18"/>
                <w:szCs w:val="18"/>
              </w:rPr>
            </w:pPr>
            <w:r w:rsidRPr="00787AB7">
              <w:rPr>
                <w:rFonts w:ascii="Calibri" w:hAnsi="Calibri"/>
                <w:b/>
                <w:sz w:val="18"/>
                <w:szCs w:val="18"/>
              </w:rPr>
              <w:t>122</w:t>
            </w:r>
          </w:p>
        </w:tc>
      </w:tr>
      <w:tr w:rsidR="003F1E32" w:rsidRPr="003F1E32" w14:paraId="0744CBE7" w14:textId="77777777" w:rsidTr="00411D9D">
        <w:trPr>
          <w:trHeight w:val="455"/>
          <w:jc w:val="center"/>
        </w:trPr>
        <w:tc>
          <w:tcPr>
            <w:tcW w:w="2154" w:type="dxa"/>
            <w:vAlign w:val="center"/>
          </w:tcPr>
          <w:p w14:paraId="25D9231F" w14:textId="77777777" w:rsidR="00564EED" w:rsidRPr="00787AB7" w:rsidRDefault="009A1A77" w:rsidP="00AE7CD9">
            <w:pPr>
              <w:rPr>
                <w:rFonts w:asciiTheme="minorHAnsi" w:hAnsiTheme="minorHAnsi" w:cs="Arial"/>
                <w:b/>
                <w:sz w:val="18"/>
                <w:szCs w:val="18"/>
              </w:rPr>
            </w:pPr>
            <w:r w:rsidRPr="00787AB7">
              <w:rPr>
                <w:rFonts w:asciiTheme="minorHAnsi" w:hAnsiTheme="minorHAnsi" w:cs="Arial"/>
                <w:b/>
                <w:sz w:val="18"/>
                <w:szCs w:val="18"/>
              </w:rPr>
              <w:t>Összesen</w:t>
            </w:r>
          </w:p>
        </w:tc>
        <w:tc>
          <w:tcPr>
            <w:tcW w:w="1292" w:type="dxa"/>
            <w:vAlign w:val="center"/>
          </w:tcPr>
          <w:p w14:paraId="16252FBC" w14:textId="10162A9C" w:rsidR="00564EED" w:rsidRPr="00787AB7" w:rsidRDefault="009A1A77" w:rsidP="00564EED">
            <w:pPr>
              <w:jc w:val="right"/>
              <w:rPr>
                <w:rFonts w:ascii="Calibri" w:hAnsi="Calibri" w:cs="Calibri"/>
                <w:b/>
                <w:sz w:val="18"/>
                <w:szCs w:val="18"/>
              </w:rPr>
            </w:pPr>
            <w:r w:rsidRPr="00787AB7">
              <w:rPr>
                <w:rFonts w:ascii="Calibri" w:hAnsi="Calibri" w:cs="Calibri"/>
                <w:b/>
                <w:sz w:val="18"/>
                <w:szCs w:val="18"/>
              </w:rPr>
              <w:t>155</w:t>
            </w:r>
          </w:p>
        </w:tc>
        <w:tc>
          <w:tcPr>
            <w:tcW w:w="1314" w:type="dxa"/>
            <w:vAlign w:val="center"/>
          </w:tcPr>
          <w:p w14:paraId="2BA5001D" w14:textId="3D6D5EC4" w:rsidR="00564EED" w:rsidRPr="00787AB7" w:rsidRDefault="009A1A77">
            <w:pPr>
              <w:jc w:val="right"/>
              <w:rPr>
                <w:rFonts w:ascii="Calibri" w:hAnsi="Calibri"/>
                <w:b/>
                <w:sz w:val="18"/>
                <w:szCs w:val="18"/>
              </w:rPr>
            </w:pPr>
            <w:r w:rsidRPr="00787AB7">
              <w:rPr>
                <w:rFonts w:ascii="Calibri" w:hAnsi="Calibri"/>
                <w:b/>
                <w:sz w:val="18"/>
                <w:szCs w:val="18"/>
              </w:rPr>
              <w:t>409</w:t>
            </w:r>
          </w:p>
        </w:tc>
        <w:tc>
          <w:tcPr>
            <w:tcW w:w="1258" w:type="dxa"/>
            <w:shd w:val="clear" w:color="auto" w:fill="auto"/>
            <w:vAlign w:val="center"/>
          </w:tcPr>
          <w:p w14:paraId="74021094" w14:textId="5742D023" w:rsidR="00564EED" w:rsidRPr="00787AB7" w:rsidRDefault="009A1A77" w:rsidP="00564EED">
            <w:pPr>
              <w:jc w:val="right"/>
              <w:rPr>
                <w:rFonts w:ascii="Calibri" w:hAnsi="Calibri"/>
                <w:b/>
                <w:sz w:val="18"/>
                <w:szCs w:val="18"/>
              </w:rPr>
            </w:pPr>
            <w:r w:rsidRPr="00787AB7">
              <w:rPr>
                <w:rFonts w:ascii="Calibri" w:hAnsi="Calibri"/>
                <w:b/>
                <w:sz w:val="18"/>
                <w:szCs w:val="18"/>
              </w:rPr>
              <w:t>23</w:t>
            </w:r>
            <w:r w:rsidR="00815EC0">
              <w:rPr>
                <w:rFonts w:ascii="Calibri" w:hAnsi="Calibri"/>
                <w:b/>
                <w:sz w:val="18"/>
                <w:szCs w:val="18"/>
              </w:rPr>
              <w:t>6</w:t>
            </w:r>
          </w:p>
        </w:tc>
        <w:tc>
          <w:tcPr>
            <w:tcW w:w="1299" w:type="dxa"/>
            <w:shd w:val="clear" w:color="auto" w:fill="auto"/>
            <w:vAlign w:val="center"/>
          </w:tcPr>
          <w:p w14:paraId="0E42F8E0" w14:textId="3937A1A9" w:rsidR="00564EED" w:rsidRPr="00787AB7" w:rsidRDefault="009A1A77">
            <w:pPr>
              <w:jc w:val="right"/>
              <w:rPr>
                <w:rFonts w:ascii="Calibri" w:hAnsi="Calibri"/>
                <w:b/>
                <w:sz w:val="18"/>
                <w:szCs w:val="18"/>
              </w:rPr>
            </w:pPr>
            <w:r w:rsidRPr="00787AB7">
              <w:rPr>
                <w:rFonts w:ascii="Calibri" w:hAnsi="Calibri"/>
                <w:b/>
                <w:sz w:val="18"/>
                <w:szCs w:val="18"/>
              </w:rPr>
              <w:t>-580</w:t>
            </w:r>
          </w:p>
        </w:tc>
        <w:tc>
          <w:tcPr>
            <w:tcW w:w="1269" w:type="dxa"/>
            <w:vAlign w:val="center"/>
          </w:tcPr>
          <w:p w14:paraId="3A526DA3" w14:textId="2641AD28" w:rsidR="00564EED" w:rsidRPr="00787AB7" w:rsidRDefault="009A1A77" w:rsidP="00564EED">
            <w:pPr>
              <w:jc w:val="right"/>
              <w:rPr>
                <w:rFonts w:ascii="Calibri" w:hAnsi="Calibri"/>
                <w:b/>
                <w:sz w:val="18"/>
                <w:szCs w:val="18"/>
              </w:rPr>
            </w:pPr>
            <w:r w:rsidRPr="00787AB7">
              <w:rPr>
                <w:rFonts w:ascii="Calibri" w:hAnsi="Calibri"/>
                <w:b/>
                <w:sz w:val="18"/>
                <w:szCs w:val="18"/>
              </w:rPr>
              <w:t>220</w:t>
            </w:r>
          </w:p>
        </w:tc>
      </w:tr>
    </w:tbl>
    <w:p w14:paraId="754F0D8B" w14:textId="77777777" w:rsidR="00564EED" w:rsidRPr="0056690E" w:rsidRDefault="00564EED" w:rsidP="00263F46">
      <w:pPr>
        <w:jc w:val="both"/>
        <w:rPr>
          <w:rFonts w:asciiTheme="minorHAnsi" w:hAnsiTheme="minorHAnsi" w:cstheme="minorHAnsi"/>
          <w:color w:val="FF0000"/>
        </w:rPr>
      </w:pPr>
    </w:p>
    <w:p w14:paraId="74C78946" w14:textId="77777777" w:rsidR="0040617B" w:rsidRPr="00787AB7" w:rsidRDefault="009A1A77" w:rsidP="0040617B">
      <w:pPr>
        <w:jc w:val="both"/>
        <w:rPr>
          <w:rFonts w:asciiTheme="minorHAnsi" w:hAnsiTheme="minorHAnsi" w:cstheme="minorHAnsi"/>
        </w:rPr>
      </w:pPr>
      <w:r w:rsidRPr="00787AB7">
        <w:rPr>
          <w:rFonts w:asciiTheme="minorHAnsi" w:hAnsiTheme="minorHAnsi" w:cstheme="minorHAnsi"/>
        </w:rPr>
        <w:t>A forgalmi teljesítmények változása következtében megjelenő ráfordításnövekedés a metrónál a többlet szerelvények beépítése miatt, a villamos ágazat esetén az alapmenetrendi értékeket közvetlenül befolyásoló teljesítmény emelkedések következtében, a trolibusz ágazatnál pedig a hálózati és menetrendi fejlesztések eredményeképpen jelenik meg.</w:t>
      </w:r>
    </w:p>
    <w:p w14:paraId="25EA4555" w14:textId="77777777" w:rsidR="0040617B" w:rsidRPr="00787AB7" w:rsidRDefault="009A1A77" w:rsidP="0040617B">
      <w:pPr>
        <w:jc w:val="both"/>
        <w:rPr>
          <w:rFonts w:asciiTheme="minorHAnsi" w:hAnsiTheme="minorHAnsi" w:cstheme="minorHAnsi"/>
        </w:rPr>
      </w:pPr>
      <w:r w:rsidRPr="00787AB7">
        <w:rPr>
          <w:rFonts w:asciiTheme="minorHAnsi" w:hAnsiTheme="minorHAnsi" w:cstheme="minorHAnsi"/>
        </w:rPr>
        <w:t>Az autóbusz ágazat alapmenetrendi teljesítményének és ezzel összefüggő ráfordítás csökkenése elsősorban a bázis időszaki teljesítmény kiszervezés áthúzódó hatására vezethető vissza, valamint a másik három ágazat esetén említett hálózatfejlesztés és az ehhez kapcsolódó menetrendi struktúra változásai indokolják.</w:t>
      </w:r>
    </w:p>
    <w:p w14:paraId="27728DF2" w14:textId="558FA3B8" w:rsidR="003B5FAB" w:rsidRPr="00787AB7" w:rsidDel="00A8214C" w:rsidRDefault="009A1A77" w:rsidP="003B5FAB">
      <w:pPr>
        <w:jc w:val="both"/>
        <w:rPr>
          <w:rFonts w:asciiTheme="minorHAnsi" w:hAnsiTheme="minorHAnsi" w:cstheme="minorHAnsi"/>
        </w:rPr>
      </w:pPr>
      <w:r w:rsidRPr="00787AB7">
        <w:rPr>
          <w:rFonts w:asciiTheme="minorHAnsi" w:hAnsiTheme="minorHAnsi" w:cstheme="minorHAnsi"/>
        </w:rPr>
        <w:t xml:space="preserve">Összességében – energia és M3 rekonstrukciós hatás nélkül számolva – a </w:t>
      </w:r>
      <w:r w:rsidR="00A53516">
        <w:rPr>
          <w:rFonts w:asciiTheme="minorHAnsi" w:hAnsiTheme="minorHAnsi" w:cstheme="minorHAnsi"/>
        </w:rPr>
        <w:t xml:space="preserve">forgalmi </w:t>
      </w:r>
      <w:r w:rsidRPr="00787AB7">
        <w:rPr>
          <w:rFonts w:asciiTheme="minorHAnsi" w:hAnsiTheme="minorHAnsi" w:cstheme="minorHAnsi"/>
        </w:rPr>
        <w:t>teljesítményváltozás</w:t>
      </w:r>
      <w:r w:rsidR="00A53516">
        <w:rPr>
          <w:rFonts w:asciiTheme="minorHAnsi" w:hAnsiTheme="minorHAnsi" w:cstheme="minorHAnsi"/>
        </w:rPr>
        <w:t xml:space="preserve"> </w:t>
      </w:r>
      <w:r w:rsidR="003F1E32">
        <w:rPr>
          <w:rFonts w:asciiTheme="minorHAnsi" w:hAnsiTheme="minorHAnsi" w:cstheme="minorHAnsi"/>
        </w:rPr>
        <w:t>220</w:t>
      </w:r>
      <w:r w:rsidRPr="00787AB7">
        <w:rPr>
          <w:rFonts w:asciiTheme="minorHAnsi" w:hAnsiTheme="minorHAnsi" w:cstheme="minorHAnsi"/>
        </w:rPr>
        <w:t xml:space="preserve"> millió Ft költségnövekedést jelent a Társaságnak a 2018. évben.</w:t>
      </w:r>
    </w:p>
    <w:p w14:paraId="70BC3C00" w14:textId="77777777" w:rsidR="003304F7" w:rsidRPr="0056690E" w:rsidRDefault="003304F7" w:rsidP="003304F7">
      <w:pPr>
        <w:jc w:val="both"/>
        <w:rPr>
          <w:rFonts w:asciiTheme="minorHAnsi" w:hAnsiTheme="minorHAnsi" w:cstheme="minorHAnsi"/>
          <w:color w:val="FF0000"/>
        </w:rPr>
      </w:pPr>
    </w:p>
    <w:p w14:paraId="0056C9F5" w14:textId="77777777" w:rsidR="003304F7" w:rsidRPr="0056690E" w:rsidRDefault="00127D83" w:rsidP="001E0F17">
      <w:pPr>
        <w:pStyle w:val="Cmsor2"/>
      </w:pPr>
      <w:bookmarkStart w:id="25" w:name="_Toc443317899"/>
      <w:bookmarkStart w:id="26" w:name="_Toc465246368"/>
      <w:bookmarkStart w:id="27" w:name="_Toc512409612"/>
      <w:r w:rsidRPr="0056690E">
        <w:t xml:space="preserve">I/b. </w:t>
      </w:r>
      <w:r w:rsidR="003304F7" w:rsidRPr="0056690E">
        <w:t>Az M3 metróvonal rekonstrukciós munkái</w:t>
      </w:r>
      <w:bookmarkEnd w:id="25"/>
      <w:bookmarkEnd w:id="26"/>
      <w:bookmarkEnd w:id="27"/>
    </w:p>
    <w:p w14:paraId="1C8E7C85" w14:textId="77777777" w:rsidR="003304F7" w:rsidRPr="0056690E" w:rsidRDefault="003304F7" w:rsidP="003304F7">
      <w:pPr>
        <w:pStyle w:val="Lista3"/>
        <w:ind w:left="0" w:firstLine="0"/>
        <w:rPr>
          <w:rFonts w:ascii="Calibri" w:eastAsia="Calibri" w:hAnsi="Calibri"/>
          <w:color w:val="FF0000"/>
        </w:rPr>
      </w:pPr>
    </w:p>
    <w:p w14:paraId="214BBCDB" w14:textId="77777777" w:rsidR="003304F7" w:rsidRPr="00787AB7" w:rsidRDefault="009A1A77" w:rsidP="003304F7">
      <w:pPr>
        <w:pStyle w:val="Cmsor3"/>
        <w:tabs>
          <w:tab w:val="clear" w:pos="2007"/>
        </w:tabs>
        <w:ind w:left="0" w:firstLine="0"/>
        <w:rPr>
          <w:rFonts w:asciiTheme="minorHAnsi" w:hAnsiTheme="minorHAnsi"/>
        </w:rPr>
      </w:pPr>
      <w:bookmarkStart w:id="28" w:name="_Toc443317900"/>
      <w:bookmarkStart w:id="29" w:name="_Toc465246369"/>
      <w:bookmarkStart w:id="30" w:name="_Toc512409613"/>
      <w:r w:rsidRPr="00787AB7">
        <w:rPr>
          <w:rFonts w:asciiTheme="minorHAnsi" w:hAnsiTheme="minorHAnsi"/>
        </w:rPr>
        <w:t>- A beruházás finanszírozása és ütemezése</w:t>
      </w:r>
      <w:bookmarkEnd w:id="28"/>
      <w:bookmarkEnd w:id="29"/>
      <w:bookmarkEnd w:id="30"/>
    </w:p>
    <w:p w14:paraId="7198EACF" w14:textId="77777777" w:rsidR="003304F7" w:rsidRPr="00787AB7" w:rsidRDefault="003304F7" w:rsidP="003304F7">
      <w:pPr>
        <w:jc w:val="both"/>
        <w:rPr>
          <w:rFonts w:asciiTheme="minorHAnsi" w:hAnsiTheme="minorHAnsi"/>
        </w:rPr>
      </w:pPr>
    </w:p>
    <w:p w14:paraId="1274EB75" w14:textId="77777777" w:rsidR="00584323" w:rsidRPr="00787AB7" w:rsidRDefault="009A1A77" w:rsidP="00584323">
      <w:pPr>
        <w:jc w:val="both"/>
        <w:rPr>
          <w:rFonts w:asciiTheme="minorHAnsi" w:hAnsiTheme="minorHAnsi" w:cstheme="minorHAnsi"/>
        </w:rPr>
      </w:pPr>
      <w:r w:rsidRPr="00787AB7">
        <w:rPr>
          <w:rFonts w:asciiTheme="minorHAnsi" w:hAnsiTheme="minorHAnsi" w:cstheme="minorHAnsi"/>
        </w:rPr>
        <w:t xml:space="preserve">A </w:t>
      </w:r>
      <w:r w:rsidRPr="00787AB7">
        <w:rPr>
          <w:rFonts w:asciiTheme="minorHAnsi" w:hAnsiTheme="minorHAnsi" w:cstheme="minorHAnsi"/>
          <w:b/>
        </w:rPr>
        <w:t>Kormány 1199/2015. (III. 31.) számú,</w:t>
      </w:r>
      <w:r w:rsidRPr="00787AB7">
        <w:rPr>
          <w:rFonts w:asciiTheme="minorHAnsi" w:hAnsiTheme="minorHAnsi" w:cstheme="minorHAnsi"/>
        </w:rPr>
        <w:t xml:space="preserve"> a fővárosi projektek támogathatóságáról a 2014</w:t>
      </w:r>
      <w:r w:rsidRPr="00787AB7">
        <w:rPr>
          <w:rFonts w:asciiTheme="minorHAnsi" w:hAnsiTheme="minorHAnsi" w:cstheme="minorHAnsi"/>
        </w:rPr>
        <w:noBreakHyphen/>
        <w:t>2020-as európai uniós programozási időszakban elnevezésű Kormányhatározata alapján a 2015. január 1. után indítani tervezett projektek között az Integrált Közlekedés-fejlesztési Operatív Program (a továbbiakban: IKOP) indikatív projektlistáján szerepel az M3 metróvonal infrastruktúra rekonstrukciója.</w:t>
      </w:r>
    </w:p>
    <w:p w14:paraId="2A799C7B" w14:textId="77777777" w:rsidR="00584323" w:rsidRPr="00787AB7" w:rsidRDefault="00584323" w:rsidP="00584323">
      <w:pPr>
        <w:jc w:val="both"/>
        <w:rPr>
          <w:rFonts w:asciiTheme="minorHAnsi" w:hAnsiTheme="minorHAnsi" w:cstheme="minorHAnsi"/>
        </w:rPr>
      </w:pPr>
    </w:p>
    <w:p w14:paraId="1674DE46" w14:textId="77777777" w:rsidR="00584323" w:rsidRPr="00787AB7" w:rsidRDefault="009A1A77" w:rsidP="00584323">
      <w:pPr>
        <w:jc w:val="both"/>
        <w:rPr>
          <w:rFonts w:asciiTheme="minorHAnsi" w:hAnsiTheme="minorHAnsi" w:cstheme="minorHAnsi"/>
        </w:rPr>
      </w:pPr>
      <w:r w:rsidRPr="00787AB7">
        <w:rPr>
          <w:rFonts w:asciiTheme="minorHAnsi" w:hAnsiTheme="minorHAnsi" w:cstheme="minorHAnsi"/>
        </w:rPr>
        <w:t xml:space="preserve">A Kormánynak az IKOP-3.1.0-15-2015-00001 azonosító számú („Az M3 metróvonal infrastruktúra rekonstrukciója” című) nagyprojekt-javaslat jóváhagyásáról és támogatásának növeléséről szóló </w:t>
      </w:r>
      <w:r w:rsidRPr="00787AB7">
        <w:rPr>
          <w:rFonts w:asciiTheme="minorHAnsi" w:hAnsiTheme="minorHAnsi" w:cstheme="minorHAnsi"/>
          <w:b/>
        </w:rPr>
        <w:t>1197/2016. (IV. 13.) Korm. határozata</w:t>
      </w:r>
      <w:r w:rsidRPr="00787AB7">
        <w:rPr>
          <w:rFonts w:asciiTheme="minorHAnsi" w:hAnsiTheme="minorHAnsi" w:cstheme="minorHAnsi"/>
        </w:rPr>
        <w:t xml:space="preserve"> alapján a projekt támogatási összege 137,5 milliárd forint.</w:t>
      </w:r>
    </w:p>
    <w:p w14:paraId="1C7FD0C4" w14:textId="77777777" w:rsidR="00584323" w:rsidRPr="00787AB7" w:rsidRDefault="00584323" w:rsidP="00584323">
      <w:pPr>
        <w:jc w:val="both"/>
        <w:rPr>
          <w:rFonts w:asciiTheme="minorHAnsi" w:hAnsiTheme="minorHAnsi" w:cstheme="minorHAnsi"/>
        </w:rPr>
      </w:pPr>
    </w:p>
    <w:p w14:paraId="6E789E8E" w14:textId="77777777" w:rsidR="00584323" w:rsidRPr="00787AB7" w:rsidRDefault="009A1A77" w:rsidP="00584323">
      <w:pPr>
        <w:jc w:val="both"/>
        <w:rPr>
          <w:rFonts w:asciiTheme="minorHAnsi" w:hAnsiTheme="minorHAnsi" w:cstheme="minorHAnsi"/>
        </w:rPr>
      </w:pPr>
      <w:r w:rsidRPr="00787AB7">
        <w:rPr>
          <w:rFonts w:asciiTheme="minorHAnsi" w:hAnsiTheme="minorHAnsi" w:cstheme="minorHAnsi"/>
        </w:rPr>
        <w:t xml:space="preserve">A </w:t>
      </w:r>
      <w:r w:rsidRPr="00787AB7">
        <w:rPr>
          <w:rFonts w:asciiTheme="minorHAnsi" w:hAnsiTheme="minorHAnsi" w:cstheme="minorHAnsi"/>
          <w:b/>
        </w:rPr>
        <w:t>Fővárosi Közgyűlés 2016.04.27-én döntött</w:t>
      </w:r>
      <w:r w:rsidRPr="00787AB7">
        <w:rPr>
          <w:rFonts w:asciiTheme="minorHAnsi" w:hAnsiTheme="minorHAnsi" w:cstheme="minorHAnsi"/>
        </w:rPr>
        <w:t xml:space="preserve"> arról, hogy támogatja a BKV Zrt. és a Nemzeti Fejlesztési Minisztérium között az M3 metróvonal infrastruktúra rekonstrukciójára vonatkozó támogatási szerződést. </w:t>
      </w:r>
      <w:r w:rsidRPr="00787AB7">
        <w:rPr>
          <w:rFonts w:asciiTheme="minorHAnsi" w:hAnsiTheme="minorHAnsi" w:cstheme="minorHAnsi"/>
          <w:b/>
        </w:rPr>
        <w:t>2016. május 5-én</w:t>
      </w:r>
      <w:r w:rsidRPr="00787AB7">
        <w:rPr>
          <w:rFonts w:asciiTheme="minorHAnsi" w:hAnsiTheme="minorHAnsi" w:cstheme="minorHAnsi"/>
        </w:rPr>
        <w:t xml:space="preserve"> Budapesten, a Főpolgármesteri Hivatalban aláírásra került az M3-as metróvonal infrastruktúrájának rekonstrukciójáról szóló támogatási szerződés a BKV Zrt. és a Nemzeti Fejlesztési Minisztérium között.</w:t>
      </w:r>
    </w:p>
    <w:p w14:paraId="2467A5FF" w14:textId="77777777" w:rsidR="00584323" w:rsidRPr="00787AB7" w:rsidRDefault="00584323" w:rsidP="00584323">
      <w:pPr>
        <w:jc w:val="both"/>
        <w:rPr>
          <w:rFonts w:asciiTheme="minorHAnsi" w:hAnsiTheme="minorHAnsi" w:cstheme="minorHAnsi"/>
        </w:rPr>
      </w:pPr>
    </w:p>
    <w:p w14:paraId="3757FD95" w14:textId="77777777" w:rsidR="00584323" w:rsidRPr="00787AB7" w:rsidRDefault="009A1A77" w:rsidP="00584323">
      <w:pPr>
        <w:jc w:val="both"/>
        <w:rPr>
          <w:rFonts w:asciiTheme="minorHAnsi" w:hAnsiTheme="minorHAnsi" w:cstheme="minorHAnsi"/>
        </w:rPr>
      </w:pPr>
      <w:r w:rsidRPr="00787AB7">
        <w:rPr>
          <w:rFonts w:asciiTheme="minorHAnsi" w:hAnsiTheme="minorHAnsi" w:cstheme="minorHAnsi"/>
        </w:rPr>
        <w:t xml:space="preserve">A vonal korszerűsítése három szakaszban és négy ütemben valósul meg. Az M3-as metróvonal szakaszonkénti tagolása a következő: az </w:t>
      </w:r>
      <w:r w:rsidRPr="00787AB7">
        <w:rPr>
          <w:rFonts w:asciiTheme="minorHAnsi" w:hAnsiTheme="minorHAnsi" w:cstheme="minorHAnsi"/>
          <w:b/>
        </w:rPr>
        <w:t>északi szakasz</w:t>
      </w:r>
      <w:r w:rsidRPr="00787AB7">
        <w:rPr>
          <w:rFonts w:asciiTheme="minorHAnsi" w:hAnsiTheme="minorHAnsi" w:cstheme="minorHAnsi"/>
        </w:rPr>
        <w:t xml:space="preserve"> az Újpest-Központ és Lehel tér állomások között; a </w:t>
      </w:r>
      <w:r w:rsidRPr="00787AB7">
        <w:rPr>
          <w:rFonts w:asciiTheme="minorHAnsi" w:hAnsiTheme="minorHAnsi" w:cstheme="minorHAnsi"/>
          <w:b/>
        </w:rPr>
        <w:t>középső szakasz</w:t>
      </w:r>
      <w:r w:rsidRPr="00787AB7">
        <w:rPr>
          <w:rFonts w:asciiTheme="minorHAnsi" w:hAnsiTheme="minorHAnsi" w:cstheme="minorHAnsi"/>
        </w:rPr>
        <w:t xml:space="preserve"> a Lehel tér és Nagyvárad tér állomások között; a </w:t>
      </w:r>
      <w:r w:rsidRPr="00787AB7">
        <w:rPr>
          <w:rFonts w:asciiTheme="minorHAnsi" w:hAnsiTheme="minorHAnsi" w:cstheme="minorHAnsi"/>
          <w:b/>
        </w:rPr>
        <w:t>déli szakasz</w:t>
      </w:r>
      <w:r w:rsidRPr="00787AB7">
        <w:rPr>
          <w:rFonts w:asciiTheme="minorHAnsi" w:hAnsiTheme="minorHAnsi" w:cstheme="minorHAnsi"/>
        </w:rPr>
        <w:t xml:space="preserve"> a Nagyvárad tér és Kőbánya-Kispest állomások között. A szakaszok felújítását </w:t>
      </w:r>
      <w:r w:rsidRPr="00787AB7">
        <w:rPr>
          <w:rFonts w:asciiTheme="minorHAnsi" w:hAnsiTheme="minorHAnsi" w:cstheme="minorHAnsi"/>
        </w:rPr>
        <w:lastRenderedPageBreak/>
        <w:t>követően kerül sor a Lehel téri és Nagyvárad téri állomások korszerűsítésére. A projekt befejezésének tervezett napja 2020.12.31.</w:t>
      </w:r>
    </w:p>
    <w:p w14:paraId="45A7FDB8" w14:textId="77777777" w:rsidR="00645EA3" w:rsidRPr="00787AB7" w:rsidRDefault="00645EA3">
      <w:pPr>
        <w:rPr>
          <w:rFonts w:ascii="Calibri" w:eastAsia="Calibri" w:hAnsi="Calibri"/>
        </w:rPr>
      </w:pPr>
    </w:p>
    <w:p w14:paraId="58BD4559" w14:textId="77777777" w:rsidR="00584323" w:rsidRPr="00787AB7" w:rsidRDefault="009A1A77" w:rsidP="00584323">
      <w:pPr>
        <w:jc w:val="both"/>
        <w:rPr>
          <w:rFonts w:asciiTheme="minorHAnsi" w:hAnsiTheme="minorHAnsi"/>
          <w:b/>
        </w:rPr>
      </w:pPr>
      <w:r w:rsidRPr="00787AB7">
        <w:rPr>
          <w:rFonts w:asciiTheme="minorHAnsi" w:hAnsiTheme="minorHAnsi"/>
          <w:b/>
        </w:rPr>
        <w:t>A fejlesztés becsült költségeinek részletezése:</w:t>
      </w:r>
    </w:p>
    <w:p w14:paraId="701A4870" w14:textId="77777777" w:rsidR="00584323" w:rsidRPr="00787AB7" w:rsidRDefault="00584323" w:rsidP="00584323">
      <w:pPr>
        <w:jc w:val="both"/>
        <w:rPr>
          <w:rFonts w:asciiTheme="minorHAnsi" w:hAnsiTheme="minorHAnsi"/>
          <w:b/>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2146"/>
      </w:tblGrid>
      <w:tr w:rsidR="0056690E" w:rsidRPr="0056690E" w14:paraId="02B43C4F" w14:textId="77777777" w:rsidTr="009C6A71">
        <w:trPr>
          <w:trHeight w:val="742"/>
          <w:jc w:val="center"/>
        </w:trPr>
        <w:tc>
          <w:tcPr>
            <w:tcW w:w="4726" w:type="dxa"/>
            <w:shd w:val="clear" w:color="auto" w:fill="2528A3"/>
            <w:vAlign w:val="center"/>
          </w:tcPr>
          <w:p w14:paraId="3B59DA1D" w14:textId="77777777" w:rsidR="00584323" w:rsidRPr="00787AB7" w:rsidRDefault="009A1A77" w:rsidP="009C6A71">
            <w:pPr>
              <w:jc w:val="center"/>
              <w:rPr>
                <w:rFonts w:ascii="Calibri" w:hAnsi="Calibri"/>
                <w:b/>
                <w:sz w:val="20"/>
                <w:szCs w:val="20"/>
              </w:rPr>
            </w:pPr>
            <w:r w:rsidRPr="00787AB7">
              <w:rPr>
                <w:rFonts w:asciiTheme="minorHAnsi" w:hAnsiTheme="minorHAnsi"/>
                <w:b/>
                <w:sz w:val="20"/>
                <w:szCs w:val="20"/>
              </w:rPr>
              <w:t>M3 fejlesztés becsült költsége</w:t>
            </w:r>
          </w:p>
        </w:tc>
        <w:tc>
          <w:tcPr>
            <w:tcW w:w="2146" w:type="dxa"/>
            <w:shd w:val="clear" w:color="auto" w:fill="2528A3"/>
            <w:vAlign w:val="center"/>
          </w:tcPr>
          <w:p w14:paraId="011153E5" w14:textId="77777777" w:rsidR="00081833" w:rsidRPr="00787AB7" w:rsidRDefault="009A1A77" w:rsidP="0039595D">
            <w:pPr>
              <w:jc w:val="center"/>
              <w:rPr>
                <w:rFonts w:asciiTheme="minorHAnsi" w:hAnsiTheme="minorHAnsi"/>
                <w:b/>
                <w:sz w:val="20"/>
                <w:szCs w:val="20"/>
              </w:rPr>
            </w:pPr>
            <w:r w:rsidRPr="00787AB7">
              <w:rPr>
                <w:rFonts w:asciiTheme="minorHAnsi" w:hAnsiTheme="minorHAnsi"/>
                <w:b/>
                <w:sz w:val="20"/>
                <w:szCs w:val="20"/>
              </w:rPr>
              <w:t>millió Ft</w:t>
            </w:r>
          </w:p>
          <w:p w14:paraId="10CC2500" w14:textId="77777777" w:rsidR="00584323" w:rsidRPr="00787AB7" w:rsidRDefault="009A1A77" w:rsidP="0039595D">
            <w:pPr>
              <w:jc w:val="center"/>
              <w:rPr>
                <w:rFonts w:asciiTheme="minorHAnsi" w:hAnsiTheme="minorHAnsi" w:cs="Arial"/>
                <w:b/>
                <w:sz w:val="20"/>
                <w:szCs w:val="20"/>
              </w:rPr>
            </w:pPr>
            <w:r w:rsidRPr="00787AB7">
              <w:rPr>
                <w:rFonts w:asciiTheme="minorHAnsi" w:hAnsiTheme="minorHAnsi"/>
                <w:b/>
                <w:sz w:val="20"/>
                <w:szCs w:val="20"/>
              </w:rPr>
              <w:t>(Áfa nélkül)</w:t>
            </w:r>
          </w:p>
        </w:tc>
      </w:tr>
      <w:tr w:rsidR="0056690E" w:rsidRPr="0056690E" w14:paraId="20C377A6" w14:textId="77777777" w:rsidTr="009C6A71">
        <w:trPr>
          <w:trHeight w:val="360"/>
          <w:jc w:val="center"/>
        </w:trPr>
        <w:tc>
          <w:tcPr>
            <w:tcW w:w="4726" w:type="dxa"/>
            <w:vAlign w:val="center"/>
          </w:tcPr>
          <w:p w14:paraId="577A505E" w14:textId="77777777" w:rsidR="00584323" w:rsidRPr="00787AB7" w:rsidRDefault="009A1A77" w:rsidP="009C6A71">
            <w:pPr>
              <w:rPr>
                <w:rFonts w:asciiTheme="minorHAnsi" w:hAnsiTheme="minorHAnsi"/>
                <w:b/>
                <w:sz w:val="18"/>
                <w:szCs w:val="18"/>
              </w:rPr>
            </w:pPr>
            <w:r w:rsidRPr="00787AB7">
              <w:rPr>
                <w:rFonts w:asciiTheme="minorHAnsi" w:hAnsiTheme="minorHAnsi"/>
                <w:b/>
                <w:sz w:val="18"/>
                <w:szCs w:val="18"/>
              </w:rPr>
              <w:t>Vállalkozói alapár, ÁFA nélkül</w:t>
            </w:r>
          </w:p>
        </w:tc>
        <w:tc>
          <w:tcPr>
            <w:tcW w:w="2146" w:type="dxa"/>
            <w:vAlign w:val="center"/>
          </w:tcPr>
          <w:p w14:paraId="0A6A080C" w14:textId="77777777" w:rsidR="00584323" w:rsidRPr="00787AB7" w:rsidRDefault="009A1A77" w:rsidP="009C6A71">
            <w:pPr>
              <w:jc w:val="right"/>
              <w:rPr>
                <w:rFonts w:asciiTheme="minorHAnsi" w:hAnsiTheme="minorHAnsi"/>
                <w:b/>
                <w:sz w:val="18"/>
                <w:szCs w:val="18"/>
              </w:rPr>
            </w:pPr>
            <w:r w:rsidRPr="00787AB7">
              <w:rPr>
                <w:rFonts w:asciiTheme="minorHAnsi" w:hAnsiTheme="minorHAnsi"/>
                <w:b/>
                <w:sz w:val="18"/>
                <w:szCs w:val="18"/>
              </w:rPr>
              <w:t>131 424</w:t>
            </w:r>
          </w:p>
        </w:tc>
      </w:tr>
      <w:tr w:rsidR="0056690E" w:rsidRPr="0056690E" w14:paraId="78658D8F" w14:textId="77777777" w:rsidTr="009C6A71">
        <w:trPr>
          <w:trHeight w:val="360"/>
          <w:jc w:val="center"/>
        </w:trPr>
        <w:tc>
          <w:tcPr>
            <w:tcW w:w="4726" w:type="dxa"/>
            <w:vAlign w:val="center"/>
          </w:tcPr>
          <w:p w14:paraId="05D1D321" w14:textId="77777777" w:rsidR="00584323" w:rsidRPr="00787AB7" w:rsidRDefault="009A1A77" w:rsidP="009C6A71">
            <w:pPr>
              <w:rPr>
                <w:rFonts w:asciiTheme="minorHAnsi" w:hAnsiTheme="minorHAnsi"/>
                <w:sz w:val="18"/>
                <w:szCs w:val="18"/>
              </w:rPr>
            </w:pPr>
            <w:r w:rsidRPr="00787AB7">
              <w:rPr>
                <w:rFonts w:asciiTheme="minorHAnsi" w:hAnsiTheme="minorHAnsi"/>
                <w:b/>
                <w:sz w:val="18"/>
                <w:szCs w:val="18"/>
              </w:rPr>
              <w:t>Mérnök szervezet költségei, ÁFA nélkül</w:t>
            </w:r>
          </w:p>
        </w:tc>
        <w:tc>
          <w:tcPr>
            <w:tcW w:w="2146" w:type="dxa"/>
            <w:vAlign w:val="center"/>
          </w:tcPr>
          <w:p w14:paraId="5D9D58D3" w14:textId="77777777" w:rsidR="00584323" w:rsidRPr="00787AB7" w:rsidRDefault="009A1A77" w:rsidP="009C6A71">
            <w:pPr>
              <w:jc w:val="right"/>
              <w:rPr>
                <w:rFonts w:asciiTheme="minorHAnsi" w:hAnsiTheme="minorHAnsi"/>
                <w:b/>
                <w:sz w:val="18"/>
                <w:szCs w:val="18"/>
              </w:rPr>
            </w:pPr>
            <w:r w:rsidRPr="00787AB7">
              <w:rPr>
                <w:rFonts w:asciiTheme="minorHAnsi" w:hAnsiTheme="minorHAnsi"/>
                <w:b/>
                <w:sz w:val="18"/>
                <w:szCs w:val="18"/>
              </w:rPr>
              <w:t>1 375</w:t>
            </w:r>
          </w:p>
        </w:tc>
      </w:tr>
      <w:tr w:rsidR="0056690E" w:rsidRPr="0056690E" w14:paraId="0F942C8E" w14:textId="77777777" w:rsidTr="009C6A71">
        <w:trPr>
          <w:trHeight w:val="360"/>
          <w:jc w:val="center"/>
        </w:trPr>
        <w:tc>
          <w:tcPr>
            <w:tcW w:w="4726" w:type="dxa"/>
            <w:vAlign w:val="center"/>
          </w:tcPr>
          <w:p w14:paraId="6AF4B144" w14:textId="77777777" w:rsidR="00584323" w:rsidRPr="00787AB7" w:rsidRDefault="009A1A77" w:rsidP="009C6A71">
            <w:pPr>
              <w:rPr>
                <w:rFonts w:asciiTheme="minorHAnsi" w:hAnsiTheme="minorHAnsi"/>
                <w:i/>
                <w:sz w:val="18"/>
                <w:szCs w:val="18"/>
                <w:u w:val="single"/>
              </w:rPr>
            </w:pPr>
            <w:r w:rsidRPr="00787AB7">
              <w:rPr>
                <w:rFonts w:asciiTheme="minorHAnsi" w:hAnsiTheme="minorHAnsi"/>
                <w:i/>
                <w:sz w:val="18"/>
                <w:szCs w:val="18"/>
                <w:u w:val="single"/>
              </w:rPr>
              <w:t>Projektmenedzsment szervezet költségei:</w:t>
            </w:r>
          </w:p>
        </w:tc>
        <w:tc>
          <w:tcPr>
            <w:tcW w:w="2146" w:type="dxa"/>
            <w:vAlign w:val="center"/>
          </w:tcPr>
          <w:p w14:paraId="48416388" w14:textId="77777777" w:rsidR="00584323" w:rsidRPr="00787AB7" w:rsidRDefault="00584323" w:rsidP="009C6A71">
            <w:pPr>
              <w:jc w:val="right"/>
              <w:rPr>
                <w:rFonts w:asciiTheme="minorHAnsi" w:hAnsiTheme="minorHAnsi"/>
                <w:b/>
                <w:sz w:val="18"/>
                <w:szCs w:val="18"/>
              </w:rPr>
            </w:pPr>
          </w:p>
        </w:tc>
      </w:tr>
      <w:tr w:rsidR="0056690E" w:rsidRPr="0056690E" w14:paraId="4E989F6B" w14:textId="77777777" w:rsidTr="009C6A71">
        <w:trPr>
          <w:trHeight w:val="360"/>
          <w:jc w:val="center"/>
        </w:trPr>
        <w:tc>
          <w:tcPr>
            <w:tcW w:w="4726" w:type="dxa"/>
            <w:vAlign w:val="center"/>
          </w:tcPr>
          <w:p w14:paraId="427DF663" w14:textId="77777777" w:rsidR="00584323" w:rsidRPr="00787AB7" w:rsidRDefault="009A1A77" w:rsidP="009C6A71">
            <w:pPr>
              <w:rPr>
                <w:rFonts w:asciiTheme="minorHAnsi" w:hAnsiTheme="minorHAnsi"/>
                <w:sz w:val="18"/>
                <w:szCs w:val="18"/>
              </w:rPr>
            </w:pPr>
            <w:r w:rsidRPr="00787AB7">
              <w:rPr>
                <w:rFonts w:asciiTheme="minorHAnsi" w:hAnsiTheme="minorHAnsi"/>
                <w:sz w:val="18"/>
                <w:szCs w:val="18"/>
              </w:rPr>
              <w:t>Projektmenedzsment teljes költsége</w:t>
            </w:r>
          </w:p>
        </w:tc>
        <w:tc>
          <w:tcPr>
            <w:tcW w:w="2146" w:type="dxa"/>
            <w:vAlign w:val="center"/>
          </w:tcPr>
          <w:p w14:paraId="756213A5" w14:textId="77777777" w:rsidR="00584323" w:rsidRPr="00787AB7" w:rsidRDefault="009A1A77" w:rsidP="009C6A71">
            <w:pPr>
              <w:jc w:val="right"/>
              <w:rPr>
                <w:rFonts w:asciiTheme="minorHAnsi" w:hAnsiTheme="minorHAnsi"/>
                <w:b/>
                <w:sz w:val="18"/>
                <w:szCs w:val="18"/>
              </w:rPr>
            </w:pPr>
            <w:r w:rsidRPr="00787AB7">
              <w:rPr>
                <w:rFonts w:asciiTheme="minorHAnsi" w:hAnsiTheme="minorHAnsi"/>
                <w:sz w:val="18"/>
                <w:szCs w:val="18"/>
              </w:rPr>
              <w:t>2 451</w:t>
            </w:r>
          </w:p>
        </w:tc>
      </w:tr>
      <w:tr w:rsidR="0056690E" w:rsidRPr="0056690E" w14:paraId="5EB114A8" w14:textId="77777777" w:rsidTr="009C6A71">
        <w:trPr>
          <w:trHeight w:val="360"/>
          <w:jc w:val="center"/>
        </w:trPr>
        <w:tc>
          <w:tcPr>
            <w:tcW w:w="4726" w:type="dxa"/>
            <w:vAlign w:val="center"/>
          </w:tcPr>
          <w:p w14:paraId="5028BD16" w14:textId="77777777" w:rsidR="00584323" w:rsidRPr="00787AB7" w:rsidRDefault="009A1A77" w:rsidP="009C6A71">
            <w:pPr>
              <w:rPr>
                <w:rFonts w:asciiTheme="minorHAnsi" w:hAnsiTheme="minorHAnsi"/>
                <w:sz w:val="18"/>
                <w:szCs w:val="18"/>
              </w:rPr>
            </w:pPr>
            <w:r w:rsidRPr="00787AB7">
              <w:rPr>
                <w:rFonts w:asciiTheme="minorHAnsi" w:hAnsiTheme="minorHAnsi"/>
                <w:sz w:val="18"/>
                <w:szCs w:val="18"/>
              </w:rPr>
              <w:t>Szakértői, tanácsadói költségek (jogi, pénzügyi, műszaki szakértő, FEM ill. banki mérnök stb.)</w:t>
            </w:r>
          </w:p>
        </w:tc>
        <w:tc>
          <w:tcPr>
            <w:tcW w:w="2146" w:type="dxa"/>
            <w:vAlign w:val="center"/>
          </w:tcPr>
          <w:p w14:paraId="45EAE070" w14:textId="77777777" w:rsidR="00584323" w:rsidRPr="00787AB7" w:rsidRDefault="009A1A77" w:rsidP="009C6A71">
            <w:pPr>
              <w:jc w:val="right"/>
              <w:rPr>
                <w:rFonts w:asciiTheme="minorHAnsi" w:hAnsiTheme="minorHAnsi"/>
                <w:b/>
                <w:sz w:val="18"/>
                <w:szCs w:val="18"/>
              </w:rPr>
            </w:pPr>
            <w:r w:rsidRPr="00787AB7">
              <w:rPr>
                <w:rFonts w:asciiTheme="minorHAnsi" w:hAnsiTheme="minorHAnsi"/>
                <w:sz w:val="18"/>
                <w:szCs w:val="18"/>
              </w:rPr>
              <w:t>1 900</w:t>
            </w:r>
          </w:p>
        </w:tc>
      </w:tr>
      <w:tr w:rsidR="0056690E" w:rsidRPr="0056690E" w14:paraId="0104914F" w14:textId="77777777" w:rsidTr="009C6A71">
        <w:trPr>
          <w:trHeight w:val="360"/>
          <w:jc w:val="center"/>
        </w:trPr>
        <w:tc>
          <w:tcPr>
            <w:tcW w:w="4726" w:type="dxa"/>
            <w:vAlign w:val="center"/>
          </w:tcPr>
          <w:p w14:paraId="4A72676B" w14:textId="77777777" w:rsidR="00584323" w:rsidRPr="00787AB7" w:rsidRDefault="009A1A77" w:rsidP="009C6A71">
            <w:pPr>
              <w:rPr>
                <w:rFonts w:asciiTheme="minorHAnsi" w:hAnsiTheme="minorHAnsi"/>
                <w:sz w:val="18"/>
                <w:szCs w:val="18"/>
              </w:rPr>
            </w:pPr>
            <w:r w:rsidRPr="00787AB7">
              <w:rPr>
                <w:rFonts w:asciiTheme="minorHAnsi" w:hAnsiTheme="minorHAnsi"/>
                <w:sz w:val="18"/>
                <w:szCs w:val="18"/>
              </w:rPr>
              <w:t>Használatbavételi engedélyek költsége</w:t>
            </w:r>
          </w:p>
        </w:tc>
        <w:tc>
          <w:tcPr>
            <w:tcW w:w="2146" w:type="dxa"/>
            <w:vAlign w:val="center"/>
          </w:tcPr>
          <w:p w14:paraId="21F64D6A" w14:textId="77777777" w:rsidR="00584323" w:rsidRPr="00787AB7" w:rsidRDefault="009A1A77" w:rsidP="009C6A71">
            <w:pPr>
              <w:jc w:val="right"/>
              <w:rPr>
                <w:rFonts w:asciiTheme="minorHAnsi" w:hAnsiTheme="minorHAnsi"/>
                <w:b/>
                <w:sz w:val="18"/>
                <w:szCs w:val="18"/>
              </w:rPr>
            </w:pPr>
            <w:r w:rsidRPr="00787AB7">
              <w:rPr>
                <w:rFonts w:asciiTheme="minorHAnsi" w:hAnsiTheme="minorHAnsi"/>
                <w:sz w:val="18"/>
                <w:szCs w:val="18"/>
              </w:rPr>
              <w:t>300</w:t>
            </w:r>
          </w:p>
        </w:tc>
      </w:tr>
      <w:tr w:rsidR="0056690E" w:rsidRPr="0056690E" w14:paraId="7AEAA84E" w14:textId="77777777" w:rsidTr="009C6A71">
        <w:trPr>
          <w:trHeight w:val="360"/>
          <w:jc w:val="center"/>
        </w:trPr>
        <w:tc>
          <w:tcPr>
            <w:tcW w:w="4726" w:type="dxa"/>
            <w:vAlign w:val="center"/>
          </w:tcPr>
          <w:p w14:paraId="27474736" w14:textId="77777777" w:rsidR="00584323" w:rsidRPr="00787AB7" w:rsidRDefault="009A1A77" w:rsidP="009C6A71">
            <w:pPr>
              <w:rPr>
                <w:rFonts w:asciiTheme="minorHAnsi" w:hAnsiTheme="minorHAnsi"/>
                <w:sz w:val="18"/>
                <w:szCs w:val="18"/>
              </w:rPr>
            </w:pPr>
            <w:r w:rsidRPr="00787AB7">
              <w:rPr>
                <w:rFonts w:asciiTheme="minorHAnsi" w:hAnsiTheme="minorHAnsi"/>
                <w:sz w:val="18"/>
                <w:szCs w:val="18"/>
              </w:rPr>
              <w:t>PR tevékenység, Kommunikáció, Nyilvánosság biztosítása</w:t>
            </w:r>
          </w:p>
        </w:tc>
        <w:tc>
          <w:tcPr>
            <w:tcW w:w="2146" w:type="dxa"/>
            <w:vAlign w:val="center"/>
          </w:tcPr>
          <w:p w14:paraId="7483AF58" w14:textId="77777777" w:rsidR="00584323" w:rsidRPr="00787AB7" w:rsidRDefault="009A1A77" w:rsidP="009C6A71">
            <w:pPr>
              <w:jc w:val="right"/>
              <w:rPr>
                <w:rFonts w:asciiTheme="minorHAnsi" w:hAnsiTheme="minorHAnsi"/>
                <w:b/>
                <w:sz w:val="18"/>
                <w:szCs w:val="18"/>
              </w:rPr>
            </w:pPr>
            <w:r w:rsidRPr="00787AB7">
              <w:rPr>
                <w:rFonts w:asciiTheme="minorHAnsi" w:hAnsiTheme="minorHAnsi"/>
                <w:sz w:val="18"/>
                <w:szCs w:val="18"/>
              </w:rPr>
              <w:t>50</w:t>
            </w:r>
          </w:p>
        </w:tc>
      </w:tr>
      <w:tr w:rsidR="0056690E" w:rsidRPr="0056690E" w14:paraId="74FFA207" w14:textId="77777777" w:rsidTr="009C6A71">
        <w:trPr>
          <w:trHeight w:val="360"/>
          <w:jc w:val="center"/>
        </w:trPr>
        <w:tc>
          <w:tcPr>
            <w:tcW w:w="4726" w:type="dxa"/>
            <w:vAlign w:val="center"/>
          </w:tcPr>
          <w:p w14:paraId="1747BF22" w14:textId="77777777" w:rsidR="007E767E" w:rsidRPr="00787AB7" w:rsidRDefault="009A1A77" w:rsidP="007E767E">
            <w:pPr>
              <w:rPr>
                <w:rFonts w:asciiTheme="minorHAnsi" w:hAnsiTheme="minorHAnsi"/>
                <w:b/>
                <w:sz w:val="18"/>
                <w:szCs w:val="18"/>
              </w:rPr>
            </w:pPr>
            <w:r w:rsidRPr="00787AB7">
              <w:rPr>
                <w:rFonts w:asciiTheme="minorHAnsi" w:hAnsiTheme="minorHAnsi"/>
                <w:b/>
                <w:sz w:val="18"/>
                <w:szCs w:val="18"/>
              </w:rPr>
              <w:t>Projektmenedzsment szervezet költsége</w:t>
            </w:r>
          </w:p>
          <w:p w14:paraId="367C4C80" w14:textId="77777777" w:rsidR="00584323" w:rsidRPr="00787AB7" w:rsidRDefault="009A1A77" w:rsidP="007E767E">
            <w:pPr>
              <w:rPr>
                <w:rFonts w:asciiTheme="minorHAnsi" w:hAnsiTheme="minorHAnsi"/>
                <w:b/>
                <w:sz w:val="18"/>
                <w:szCs w:val="18"/>
              </w:rPr>
            </w:pPr>
            <w:r w:rsidRPr="00787AB7">
              <w:rPr>
                <w:rFonts w:asciiTheme="minorHAnsi" w:hAnsiTheme="minorHAnsi"/>
                <w:b/>
                <w:sz w:val="18"/>
                <w:szCs w:val="18"/>
              </w:rPr>
              <w:t>összesen, ÁFA nélkül</w:t>
            </w:r>
          </w:p>
        </w:tc>
        <w:tc>
          <w:tcPr>
            <w:tcW w:w="2146" w:type="dxa"/>
            <w:vAlign w:val="center"/>
          </w:tcPr>
          <w:p w14:paraId="598F9979" w14:textId="77777777" w:rsidR="00584323" w:rsidRPr="00787AB7" w:rsidRDefault="009A1A77" w:rsidP="009C6A71">
            <w:pPr>
              <w:jc w:val="right"/>
              <w:rPr>
                <w:rFonts w:asciiTheme="minorHAnsi" w:hAnsiTheme="minorHAnsi"/>
                <w:b/>
                <w:sz w:val="18"/>
                <w:szCs w:val="18"/>
              </w:rPr>
            </w:pPr>
            <w:r w:rsidRPr="00787AB7">
              <w:rPr>
                <w:rFonts w:asciiTheme="minorHAnsi" w:hAnsiTheme="minorHAnsi"/>
                <w:b/>
                <w:sz w:val="18"/>
                <w:szCs w:val="18"/>
              </w:rPr>
              <w:t>4 701</w:t>
            </w:r>
          </w:p>
        </w:tc>
      </w:tr>
      <w:tr w:rsidR="0056690E" w:rsidRPr="0056690E" w14:paraId="26FE7E39" w14:textId="77777777" w:rsidTr="009C6A71">
        <w:trPr>
          <w:trHeight w:val="360"/>
          <w:jc w:val="center"/>
        </w:trPr>
        <w:tc>
          <w:tcPr>
            <w:tcW w:w="4726" w:type="dxa"/>
            <w:vAlign w:val="center"/>
          </w:tcPr>
          <w:p w14:paraId="0DF7D60A" w14:textId="77777777" w:rsidR="00584323" w:rsidRPr="00787AB7" w:rsidRDefault="009A1A77" w:rsidP="009C6A71">
            <w:pPr>
              <w:rPr>
                <w:rFonts w:asciiTheme="minorHAnsi" w:hAnsiTheme="minorHAnsi"/>
                <w:b/>
                <w:sz w:val="18"/>
                <w:szCs w:val="18"/>
              </w:rPr>
            </w:pPr>
            <w:r w:rsidRPr="00787AB7">
              <w:rPr>
                <w:rFonts w:asciiTheme="minorHAnsi" w:hAnsiTheme="minorHAnsi"/>
                <w:b/>
                <w:sz w:val="18"/>
                <w:szCs w:val="18"/>
              </w:rPr>
              <w:t>Projekt teljes költsége (jármű nélkül), ÁFA nélkül</w:t>
            </w:r>
          </w:p>
        </w:tc>
        <w:tc>
          <w:tcPr>
            <w:tcW w:w="2146" w:type="dxa"/>
            <w:vAlign w:val="center"/>
          </w:tcPr>
          <w:p w14:paraId="77DAFBE5" w14:textId="77777777" w:rsidR="00584323" w:rsidRPr="00787AB7" w:rsidRDefault="009A1A77" w:rsidP="009C6A71">
            <w:pPr>
              <w:jc w:val="right"/>
              <w:rPr>
                <w:rFonts w:asciiTheme="minorHAnsi" w:hAnsiTheme="minorHAnsi"/>
                <w:b/>
                <w:sz w:val="18"/>
                <w:szCs w:val="18"/>
              </w:rPr>
            </w:pPr>
            <w:r w:rsidRPr="00787AB7">
              <w:rPr>
                <w:rFonts w:asciiTheme="minorHAnsi" w:hAnsiTheme="minorHAnsi"/>
                <w:b/>
                <w:sz w:val="18"/>
                <w:szCs w:val="18"/>
              </w:rPr>
              <w:t>137 500</w:t>
            </w:r>
          </w:p>
        </w:tc>
      </w:tr>
    </w:tbl>
    <w:p w14:paraId="0C3D1844" w14:textId="77777777" w:rsidR="00C77B01" w:rsidRPr="00787AB7" w:rsidRDefault="00C77B01" w:rsidP="003304F7">
      <w:pPr>
        <w:jc w:val="both"/>
        <w:rPr>
          <w:rFonts w:asciiTheme="minorHAnsi" w:hAnsiTheme="minorHAnsi"/>
          <w:b/>
        </w:rPr>
      </w:pPr>
    </w:p>
    <w:p w14:paraId="1ED8AE17" w14:textId="3A0318D0" w:rsidR="003E21E4" w:rsidRPr="00787AB7" w:rsidRDefault="009A1A77" w:rsidP="003E21E4">
      <w:pPr>
        <w:jc w:val="both"/>
        <w:rPr>
          <w:rFonts w:asciiTheme="minorHAnsi" w:eastAsia="Calibri" w:hAnsiTheme="minorHAnsi"/>
        </w:rPr>
      </w:pPr>
      <w:r w:rsidRPr="00787AB7">
        <w:rPr>
          <w:rFonts w:asciiTheme="minorHAnsi" w:eastAsia="Calibri" w:hAnsiTheme="minorHAnsi"/>
        </w:rPr>
        <w:t>A fenti táblázat az M3 Nagyprojekt keretében elvégzett beruházásokat tartalmazza. Ezen költségeken túlmenően mintegy 1 390 millió Ft értéket képviselnek az M3 rekonstrukcióhoz kapcsolódó további szükséges feladatok, melyeket a fenti költség</w:t>
      </w:r>
      <w:r w:rsidR="004F4B22">
        <w:rPr>
          <w:rFonts w:asciiTheme="minorHAnsi" w:eastAsia="Calibri" w:hAnsiTheme="minorHAnsi"/>
        </w:rPr>
        <w:t>keret</w:t>
      </w:r>
      <w:r w:rsidRPr="00787AB7">
        <w:rPr>
          <w:rFonts w:asciiTheme="minorHAnsi" w:eastAsia="Calibri" w:hAnsiTheme="minorHAnsi"/>
        </w:rPr>
        <w:t xml:space="preserve"> korlátos jellege miatt a</w:t>
      </w:r>
      <w:r w:rsidR="004F4B22">
        <w:rPr>
          <w:rFonts w:asciiTheme="minorHAnsi" w:eastAsia="Calibri" w:hAnsiTheme="minorHAnsi"/>
        </w:rPr>
        <w:t xml:space="preserve"> </w:t>
      </w:r>
      <w:r w:rsidRPr="00787AB7">
        <w:rPr>
          <w:rFonts w:asciiTheme="minorHAnsi" w:eastAsia="Calibri" w:hAnsiTheme="minorHAnsi"/>
        </w:rPr>
        <w:t xml:space="preserve">BKV Zrt. saját beruházásában valósít meg. </w:t>
      </w:r>
    </w:p>
    <w:p w14:paraId="799B6379" w14:textId="77777777" w:rsidR="003E21E4" w:rsidRPr="00787AB7" w:rsidRDefault="009A1A77" w:rsidP="003E21E4">
      <w:pPr>
        <w:jc w:val="both"/>
        <w:rPr>
          <w:rFonts w:asciiTheme="minorHAnsi" w:eastAsia="Calibri" w:hAnsiTheme="minorHAnsi"/>
        </w:rPr>
      </w:pPr>
      <w:r w:rsidRPr="00787AB7">
        <w:rPr>
          <w:rFonts w:asciiTheme="minorHAnsi" w:eastAsia="Calibri" w:hAnsiTheme="minorHAnsi"/>
        </w:rPr>
        <w:t>Ezen többlet feladatok keretében kerül megvalósításra:</w:t>
      </w:r>
    </w:p>
    <w:p w14:paraId="5943FEDC" w14:textId="77777777" w:rsidR="003E21E4" w:rsidRPr="00787AB7" w:rsidRDefault="009A1A77" w:rsidP="003E21E4">
      <w:pPr>
        <w:pStyle w:val="Listaszerbekezds"/>
        <w:numPr>
          <w:ilvl w:val="0"/>
          <w:numId w:val="47"/>
        </w:numPr>
        <w:jc w:val="both"/>
        <w:rPr>
          <w:rFonts w:asciiTheme="minorHAnsi" w:eastAsia="Calibri" w:hAnsiTheme="minorHAnsi"/>
        </w:rPr>
      </w:pPr>
      <w:r w:rsidRPr="00787AB7">
        <w:rPr>
          <w:rFonts w:asciiTheme="minorHAnsi" w:eastAsia="Calibri" w:hAnsiTheme="minorHAnsi"/>
        </w:rPr>
        <w:t>AVR állomási szekrények felújítása, átalakítása (Népliget, Nagyvárad tér, Árpád híd);</w:t>
      </w:r>
    </w:p>
    <w:p w14:paraId="209518F6" w14:textId="77777777" w:rsidR="003E21E4" w:rsidRPr="00787AB7" w:rsidRDefault="009A1A77" w:rsidP="003E21E4">
      <w:pPr>
        <w:pStyle w:val="Listaszerbekezds"/>
        <w:numPr>
          <w:ilvl w:val="0"/>
          <w:numId w:val="47"/>
        </w:numPr>
        <w:jc w:val="both"/>
        <w:rPr>
          <w:rFonts w:asciiTheme="minorHAnsi" w:eastAsia="Calibri" w:hAnsiTheme="minorHAnsi"/>
        </w:rPr>
      </w:pPr>
      <w:r w:rsidRPr="00787AB7">
        <w:rPr>
          <w:rFonts w:asciiTheme="minorHAnsi" w:eastAsia="Calibri" w:hAnsiTheme="minorHAnsi"/>
        </w:rPr>
        <w:t>AVR programszőnyeg telepítése;</w:t>
      </w:r>
    </w:p>
    <w:p w14:paraId="12EB6372" w14:textId="77777777" w:rsidR="003E21E4" w:rsidRPr="00787AB7" w:rsidRDefault="009A1A77" w:rsidP="003E21E4">
      <w:pPr>
        <w:pStyle w:val="Listaszerbekezds"/>
        <w:numPr>
          <w:ilvl w:val="0"/>
          <w:numId w:val="47"/>
        </w:numPr>
        <w:jc w:val="both"/>
        <w:rPr>
          <w:rFonts w:asciiTheme="minorHAnsi" w:eastAsia="Calibri" w:hAnsiTheme="minorHAnsi"/>
        </w:rPr>
      </w:pPr>
      <w:r w:rsidRPr="00787AB7">
        <w:rPr>
          <w:rFonts w:asciiTheme="minorHAnsi" w:eastAsia="Calibri" w:hAnsiTheme="minorHAnsi"/>
        </w:rPr>
        <w:t>és a Szabó Ervin téri diszpécser berendezések áttelepítése.</w:t>
      </w:r>
    </w:p>
    <w:p w14:paraId="6B52CA3A" w14:textId="77777777" w:rsidR="003E21E4" w:rsidRPr="00787AB7" w:rsidRDefault="003E21E4" w:rsidP="003304F7">
      <w:pPr>
        <w:jc w:val="both"/>
        <w:rPr>
          <w:rFonts w:asciiTheme="minorHAnsi" w:hAnsiTheme="minorHAnsi"/>
          <w:b/>
        </w:rPr>
      </w:pPr>
    </w:p>
    <w:p w14:paraId="62250DA7" w14:textId="77777777" w:rsidR="00910B53" w:rsidRPr="00787AB7" w:rsidRDefault="00910B53" w:rsidP="00910B53">
      <w:pPr>
        <w:jc w:val="both"/>
        <w:rPr>
          <w:rFonts w:asciiTheme="minorHAnsi" w:eastAsia="Calibri" w:hAnsiTheme="minorHAnsi"/>
        </w:rPr>
      </w:pPr>
    </w:p>
    <w:p w14:paraId="42899FCD" w14:textId="77777777" w:rsidR="00910B53" w:rsidRPr="00787AB7" w:rsidRDefault="009A1A77" w:rsidP="00910B53">
      <w:pPr>
        <w:pStyle w:val="Cmsor3"/>
        <w:tabs>
          <w:tab w:val="clear" w:pos="2007"/>
        </w:tabs>
        <w:ind w:left="0" w:firstLine="0"/>
        <w:rPr>
          <w:rFonts w:asciiTheme="minorHAnsi" w:hAnsiTheme="minorHAnsi"/>
        </w:rPr>
      </w:pPr>
      <w:bookmarkStart w:id="31" w:name="_Toc512409614"/>
      <w:r w:rsidRPr="00787AB7">
        <w:rPr>
          <w:rFonts w:asciiTheme="minorHAnsi" w:hAnsiTheme="minorHAnsi"/>
        </w:rPr>
        <w:t>- A Projekt műszaki tartalma és státusza</w:t>
      </w:r>
      <w:bookmarkEnd w:id="31"/>
    </w:p>
    <w:p w14:paraId="34C45709" w14:textId="77777777" w:rsidR="00910B53" w:rsidRPr="00787AB7" w:rsidRDefault="00910B53" w:rsidP="00910B53">
      <w:pPr>
        <w:jc w:val="both"/>
        <w:rPr>
          <w:rFonts w:asciiTheme="minorHAnsi" w:eastAsiaTheme="minorHAnsi" w:hAnsiTheme="minorHAnsi"/>
        </w:rPr>
      </w:pPr>
    </w:p>
    <w:p w14:paraId="6B4BCCC2"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A vonal átfogó rekonstrukciója keretében új korszerű pályaszerkezet épül, teljes körű elektromos felújításra kerül sor, megtörténik a biztosítóberendezések, a távközlő rendszerek cseréje, megújulnak az állomások, az utasforgalmi terek.</w:t>
      </w:r>
    </w:p>
    <w:p w14:paraId="55FB1C2C"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 xml:space="preserve"> </w:t>
      </w:r>
    </w:p>
    <w:p w14:paraId="1D749AD4" w14:textId="23DBBE74" w:rsidR="00584323" w:rsidRPr="00787AB7" w:rsidRDefault="009A1A77" w:rsidP="00584323">
      <w:pPr>
        <w:jc w:val="both"/>
        <w:rPr>
          <w:rFonts w:asciiTheme="minorHAnsi" w:eastAsia="Calibri" w:hAnsiTheme="minorHAnsi"/>
        </w:rPr>
      </w:pPr>
      <w:r w:rsidRPr="00787AB7">
        <w:rPr>
          <w:rFonts w:asciiTheme="minorHAnsi" w:eastAsia="Calibri" w:hAnsiTheme="minorHAnsi"/>
        </w:rPr>
        <w:t xml:space="preserve">A vonalszakasz fejlesztési munkái során alapkövetelmény a 80 km/h tervezési sebesség biztosítása. Megtörténik a felépítmény egységesítése, lehetővé válik az igénybevételnek jobban megfelelő korszerű 75 cm-es alátámasztási távolság szerinti leerősítési rendszer kialakítása. Komplex gépészeti felújítás történik. Alapvető műszaki fejlesztések várhatók a vonal valamennyi állomásán az utasok biztonsága érdekében, melynek részeként a legújabb előírásoknak megfelelő tűzvédelmi rendszer, korszerű szellőzőrendszer létesül, mely vízköddel oltó berendezés telepítésével egészül ki. Az utazóközönség számára közel 340 db segélykérő berendezés válik elérhetővé, az állomási és központi diszpécserek munkáját 160 darab monitor és 500 darab korszerű ipari kamera segíti, ami szükség esetén gyorsabb és hatékonyabb beavatkozást tesz lehetővé. Megújulnak az állomások, az utasforgalmi terek. Több állomás kerül teljeskörűen akadálymentesítésre, a már jelenleg is felvonóval </w:t>
      </w:r>
      <w:r w:rsidRPr="00787AB7">
        <w:rPr>
          <w:rFonts w:asciiTheme="minorHAnsi" w:eastAsia="Calibri" w:hAnsiTheme="minorHAnsi"/>
        </w:rPr>
        <w:lastRenderedPageBreak/>
        <w:t>rendelkező két megálló (Árpád híd, Kőbánya-Kispest), valamint a NIF beruházás keretében akadálymentesítésre kerülő Újpest – Városkapu állomáson felül további kilenc megállót fognak lifttel felszerelni. Az északi szakaszon a Dózsa György úti állomás kivételével valamennyi állomás akadálymentesítésre kerül. A mozgólépcsők felújításán és cseréjén túlmenően új, kényelmi mozgólépcsők beépítése is tervezett. A hagyományos világítóberendezéseket LED-es lámpatestek váltják fel. A 3-as metró szerelvényei 1990 óta automatikus vonatvezérlő rendszer (AVR) felügyelete alatt, egyvezetős üzemmódban közlekednek, a korszerűsítés során az AVR rendszer annak szükséges felújításával megtartásra kerül.</w:t>
      </w:r>
    </w:p>
    <w:p w14:paraId="1D647E80" w14:textId="77777777" w:rsidR="00584323" w:rsidRPr="00787AB7" w:rsidRDefault="00584323" w:rsidP="00584323">
      <w:pPr>
        <w:jc w:val="both"/>
        <w:rPr>
          <w:rFonts w:asciiTheme="minorHAnsi" w:eastAsia="Calibri" w:hAnsiTheme="minorHAnsi"/>
        </w:rPr>
      </w:pPr>
    </w:p>
    <w:p w14:paraId="3355B2EB"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A műszaki ellenőri feladatokat a Budapest Közút Zrt. látja el. A felszíni buszpótlás infrastrukturális feltételeinek kialakítása a metróvonalak lezárását megelőzően készül el szakaszosan. Az erre vonatkozó Co-1 szerződés a Swietelsky Magyarország Kft.-vel 2016. október 7. napján került megkötésre.</w:t>
      </w:r>
    </w:p>
    <w:p w14:paraId="79BDA09B" w14:textId="77777777" w:rsidR="00584323" w:rsidRPr="00787AB7" w:rsidRDefault="00584323" w:rsidP="00584323">
      <w:pPr>
        <w:jc w:val="both"/>
        <w:rPr>
          <w:rFonts w:cs="Arial"/>
        </w:rPr>
      </w:pPr>
    </w:p>
    <w:p w14:paraId="7AC76632" w14:textId="40262848" w:rsidR="00584323" w:rsidRPr="00787AB7" w:rsidRDefault="009A1A77" w:rsidP="00584323">
      <w:pPr>
        <w:jc w:val="both"/>
        <w:rPr>
          <w:rFonts w:asciiTheme="minorHAnsi" w:eastAsia="Calibri" w:hAnsiTheme="minorHAnsi"/>
        </w:rPr>
      </w:pPr>
      <w:r w:rsidRPr="00787AB7">
        <w:rPr>
          <w:rFonts w:asciiTheme="minorHAnsi" w:eastAsia="Calibri" w:hAnsiTheme="minorHAnsi"/>
        </w:rPr>
        <w:t xml:space="preserve">A kivitelezési munkákkal összefüggésben a már 2016-ban megkötött szerződések teljeskörűen biztosítják a sínek és kitérők cseréjéhez a szükséges sínanyagokat. </w:t>
      </w:r>
    </w:p>
    <w:p w14:paraId="4EA89129" w14:textId="77777777" w:rsidR="00584323" w:rsidRPr="00787AB7" w:rsidRDefault="00584323" w:rsidP="00584323">
      <w:pPr>
        <w:jc w:val="both"/>
        <w:rPr>
          <w:rFonts w:cs="Arial"/>
        </w:rPr>
      </w:pPr>
    </w:p>
    <w:p w14:paraId="33D5BB9F" w14:textId="77777777" w:rsidR="00584323" w:rsidRPr="00787AB7" w:rsidRDefault="009A1A77" w:rsidP="00584323">
      <w:pPr>
        <w:jc w:val="both"/>
        <w:rPr>
          <w:rFonts w:asciiTheme="minorHAnsi" w:hAnsiTheme="minorHAnsi" w:cs="Arial"/>
        </w:rPr>
      </w:pPr>
      <w:r w:rsidRPr="00787AB7">
        <w:rPr>
          <w:rFonts w:asciiTheme="minorHAnsi" w:hAnsiTheme="minorHAnsi" w:cs="Arial"/>
        </w:rPr>
        <w:t>A kivitelezési szerződések:</w:t>
      </w:r>
    </w:p>
    <w:p w14:paraId="298B818E" w14:textId="77777777" w:rsidR="00584323" w:rsidRPr="00787AB7" w:rsidRDefault="009A1A77" w:rsidP="00584323">
      <w:pPr>
        <w:pStyle w:val="Listaszerbekezds"/>
        <w:numPr>
          <w:ilvl w:val="0"/>
          <w:numId w:val="31"/>
        </w:numPr>
        <w:ind w:left="426"/>
        <w:jc w:val="both"/>
        <w:rPr>
          <w:rFonts w:asciiTheme="minorHAnsi" w:hAnsiTheme="minorHAnsi" w:cs="Arial"/>
        </w:rPr>
      </w:pPr>
      <w:r w:rsidRPr="00787AB7">
        <w:rPr>
          <w:rFonts w:asciiTheme="minorHAnsi" w:hAnsiTheme="minorHAnsi" w:cs="Arial"/>
          <w:b/>
        </w:rPr>
        <w:t xml:space="preserve">A Co5/C „Budapesti M3 metróvonal rekonstrukciójához tartozó Északi (Dózsa György út – Újpest Központ állomások közötti) vonalszakasz állomásai felújítási munkáinak kivitelezése és kiegészítő tervezése” </w:t>
      </w:r>
      <w:r w:rsidRPr="00787AB7">
        <w:rPr>
          <w:rFonts w:asciiTheme="minorHAnsi" w:hAnsiTheme="minorHAnsi" w:cs="Arial"/>
        </w:rPr>
        <w:t>tárgyú szerződés a</w:t>
      </w:r>
      <w:r w:rsidRPr="00787AB7">
        <w:rPr>
          <w:rFonts w:asciiTheme="minorHAnsi" w:hAnsiTheme="minorHAnsi" w:cs="Arial"/>
          <w:b/>
        </w:rPr>
        <w:t xml:space="preserve"> </w:t>
      </w:r>
      <w:r w:rsidRPr="00787AB7">
        <w:rPr>
          <w:rFonts w:asciiTheme="minorHAnsi" w:hAnsiTheme="minorHAnsi" w:cs="Arial"/>
        </w:rPr>
        <w:t>Strabag Építőipari Zrt.-vel</w:t>
      </w:r>
      <w:r w:rsidRPr="00787AB7">
        <w:rPr>
          <w:rFonts w:asciiTheme="minorHAnsi" w:hAnsiTheme="minorHAnsi" w:cs="Arial"/>
        </w:rPr>
        <w:br/>
        <w:t xml:space="preserve">2017. szeptember 4. napján </w:t>
      </w:r>
      <w:r w:rsidRPr="00787AB7">
        <w:rPr>
          <w:rFonts w:asciiTheme="minorHAnsi" w:eastAsia="Calibri" w:hAnsiTheme="minorHAnsi" w:cs="Arial"/>
        </w:rPr>
        <w:t>került</w:t>
      </w:r>
      <w:r w:rsidRPr="00787AB7">
        <w:rPr>
          <w:rFonts w:asciiTheme="minorHAnsi" w:hAnsiTheme="minorHAnsi" w:cs="Arial"/>
        </w:rPr>
        <w:t xml:space="preserve"> megkötésre. A szerződéses ár tartalékkeret nélkül 24 134 806 371 Ft. </w:t>
      </w:r>
    </w:p>
    <w:p w14:paraId="67F5E04D" w14:textId="77777777" w:rsidR="00584323" w:rsidRPr="00787AB7" w:rsidRDefault="009A1A77" w:rsidP="00584323">
      <w:pPr>
        <w:pStyle w:val="Listaszerbekezds"/>
        <w:numPr>
          <w:ilvl w:val="0"/>
          <w:numId w:val="31"/>
        </w:numPr>
        <w:ind w:left="426"/>
        <w:jc w:val="both"/>
        <w:rPr>
          <w:rFonts w:asciiTheme="minorHAnsi" w:hAnsiTheme="minorHAnsi" w:cs="Arial"/>
        </w:rPr>
      </w:pPr>
      <w:r w:rsidRPr="00787AB7">
        <w:rPr>
          <w:rFonts w:asciiTheme="minorHAnsi" w:hAnsiTheme="minorHAnsi" w:cs="Arial"/>
          <w:b/>
        </w:rPr>
        <w:t xml:space="preserve">A Co2-3-4 „Budapesti M3 metróvonal rekonstrukciója: vágányépítési, alagúti munkák; biztosítóberendezés felújítása; vasúti távközlési, központi diszpécser rendszerek korszerűsítése” </w:t>
      </w:r>
      <w:r w:rsidRPr="00787AB7">
        <w:rPr>
          <w:rFonts w:asciiTheme="minorHAnsi" w:hAnsiTheme="minorHAnsi" w:cs="Arial"/>
        </w:rPr>
        <w:t xml:space="preserve">tárgyú szerződés a Swietelsky Vasúttechnika Kft.-vel 2017. szeptember 4. napján került aláírásra. A szerződéses ár tartalékkeret nélkül 47 799 502 585 Ft. </w:t>
      </w:r>
    </w:p>
    <w:p w14:paraId="5EAAE142" w14:textId="77777777" w:rsidR="00584323" w:rsidRPr="00787AB7" w:rsidRDefault="00584323" w:rsidP="00584323">
      <w:pPr>
        <w:pStyle w:val="Listaszerbekezds"/>
        <w:rPr>
          <w:rFonts w:asciiTheme="minorHAnsi" w:hAnsiTheme="minorHAnsi" w:cs="Arial"/>
        </w:rPr>
      </w:pPr>
    </w:p>
    <w:p w14:paraId="5C908168"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Az aláírt két kivitelezési szerződés alapján a metró északi szakaszának rekonstrukciója valamint az alagút felújítási munkái megkezdődtek a kivitelezés előkészítési munkákkal.</w:t>
      </w:r>
      <w:r w:rsidRPr="00787AB7">
        <w:rPr>
          <w:rFonts w:asciiTheme="minorHAnsi" w:eastAsia="Calibri" w:hAnsiTheme="minorHAnsi"/>
        </w:rPr>
        <w:br/>
        <w:t>A teljes északi szakasz lezárására 2017. november 6. napján került sor. A vágányzárral érintett szakaszokon pótlóbuszok közlekednek. A felújítás az Újpest-Központ – Lehel tér állomások közötti, (Újpest-Központ, Újpest-Városkapu, Gyöngyösi utca, Forgách utca, Árpád híd, Dózsa György út) állomásokat érinti. A megújult állomásokon várhatóan 2018 végén indul újra az utasforgalom.</w:t>
      </w:r>
    </w:p>
    <w:p w14:paraId="2EC16A38" w14:textId="77777777" w:rsidR="00584323" w:rsidRPr="00787AB7" w:rsidRDefault="00584323" w:rsidP="00584323">
      <w:pPr>
        <w:jc w:val="both"/>
        <w:rPr>
          <w:rFonts w:asciiTheme="minorHAnsi" w:eastAsia="Calibri" w:hAnsiTheme="minorHAnsi"/>
        </w:rPr>
      </w:pPr>
    </w:p>
    <w:p w14:paraId="4D14AE59"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Az északi szakasz 2017. november 6-ai munkaterület átadás-átvételi eljárásával párhuzamosan elkezdődött a vonal teljes alagút rendszerének korszerűsítése, ezért az éjszakai üzemszünet növelése történt meg, ami azt jelenti, hogy csúcsidőn kívül (20.30 óra és üzemzárás között) a metró teljes vonalán metrópótló buszok szállítják az utasokat.</w:t>
      </w:r>
      <w:r w:rsidRPr="00787AB7">
        <w:rPr>
          <w:rFonts w:asciiTheme="minorHAnsi" w:eastAsia="Calibri" w:hAnsiTheme="minorHAnsi"/>
        </w:rPr>
        <w:br/>
        <w:t>A hétvégeken általában a teljes szakaszon vágányzár van, az utasok metrópótló buszok segítségével tudnak eljutni úti céljaikhoz. A vágányzárak ideje alatt a szállítási feladatok megoldása, valamint a déli és középső szakaszokon szigetelési és szerkezetjavítási munkák végzése várható. A teljes alagút felújítási munkái várhatóan 2020 végére készülnek el.</w:t>
      </w:r>
    </w:p>
    <w:p w14:paraId="2D717B87" w14:textId="77777777" w:rsidR="00584323" w:rsidRPr="00787AB7" w:rsidRDefault="00584323" w:rsidP="00584323">
      <w:pPr>
        <w:jc w:val="both"/>
        <w:rPr>
          <w:rFonts w:eastAsia="Calibri" w:cs="Arial"/>
        </w:rPr>
      </w:pPr>
    </w:p>
    <w:p w14:paraId="759CB2CC" w14:textId="77777777" w:rsidR="00584323" w:rsidRPr="00787AB7" w:rsidRDefault="009A1A77" w:rsidP="00584323">
      <w:pPr>
        <w:jc w:val="both"/>
        <w:rPr>
          <w:rFonts w:asciiTheme="minorHAnsi" w:hAnsiTheme="minorHAnsi" w:cs="Arial"/>
        </w:rPr>
      </w:pPr>
      <w:r w:rsidRPr="00787AB7">
        <w:rPr>
          <w:rFonts w:asciiTheme="minorHAnsi" w:hAnsiTheme="minorHAnsi" w:cs="Arial"/>
          <w:b/>
        </w:rPr>
        <w:t xml:space="preserve">A Co5/A „A Budapesti M3 metróvonal rekonstrukciójához tartozó déli (Kőbánya-Kispest - Népliget állomások közötti), </w:t>
      </w:r>
      <w:r w:rsidRPr="00787AB7">
        <w:rPr>
          <w:rFonts w:asciiTheme="minorHAnsi" w:hAnsiTheme="minorHAnsi" w:cs="Arial"/>
        </w:rPr>
        <w:t>illetve</w:t>
      </w:r>
      <w:r w:rsidRPr="00787AB7">
        <w:rPr>
          <w:rFonts w:asciiTheme="minorHAnsi" w:hAnsiTheme="minorHAnsi" w:cs="Arial"/>
          <w:b/>
        </w:rPr>
        <w:t xml:space="preserve"> </w:t>
      </w:r>
      <w:r w:rsidRPr="00787AB7">
        <w:rPr>
          <w:rFonts w:asciiTheme="minorHAnsi" w:hAnsiTheme="minorHAnsi" w:cs="Arial"/>
        </w:rPr>
        <w:t>a</w:t>
      </w:r>
      <w:r w:rsidRPr="00787AB7">
        <w:rPr>
          <w:rFonts w:asciiTheme="minorHAnsi" w:hAnsiTheme="minorHAnsi" w:cs="Arial"/>
          <w:b/>
        </w:rPr>
        <w:t xml:space="preserve"> Co5/B „A Budapesti M3 metróvonal </w:t>
      </w:r>
      <w:r w:rsidRPr="00787AB7">
        <w:rPr>
          <w:rFonts w:asciiTheme="minorHAnsi" w:hAnsiTheme="minorHAnsi" w:cs="Arial"/>
          <w:b/>
        </w:rPr>
        <w:lastRenderedPageBreak/>
        <w:t xml:space="preserve">rekonstrukciójához tartozó Középső (Nagyvárad tér - Lehel tér állomások közötti) vonalszakasz állomásai felújítási munkáinak kivitelezésével </w:t>
      </w:r>
      <w:r w:rsidRPr="00787AB7">
        <w:rPr>
          <w:rFonts w:asciiTheme="minorHAnsi" w:hAnsiTheme="minorHAnsi" w:cs="Arial"/>
        </w:rPr>
        <w:t>kapcsolatos új közbeszerzési</w:t>
      </w:r>
      <w:r w:rsidRPr="00787AB7">
        <w:rPr>
          <w:rFonts w:asciiTheme="minorHAnsi" w:hAnsiTheme="minorHAnsi" w:cs="Arial"/>
          <w:b/>
        </w:rPr>
        <w:t xml:space="preserve"> </w:t>
      </w:r>
      <w:r w:rsidRPr="00787AB7">
        <w:rPr>
          <w:rFonts w:asciiTheme="minorHAnsi" w:hAnsiTheme="minorHAnsi" w:cs="Arial"/>
        </w:rPr>
        <w:t>eljárások eredményeként a szerződések megkötése 2018 közepére várható.</w:t>
      </w:r>
      <w:r w:rsidRPr="00787AB7">
        <w:rPr>
          <w:rFonts w:asciiTheme="minorHAnsi" w:hAnsiTheme="minorHAnsi" w:cs="Arial"/>
        </w:rPr>
        <w:br/>
        <w:t xml:space="preserve">A szerződéskötéseket követően az előkészületek után lezárásra kerül az érintett vonalszakasz és az állomások. </w:t>
      </w:r>
    </w:p>
    <w:p w14:paraId="17842443" w14:textId="77777777" w:rsidR="00910B53" w:rsidRPr="00787AB7" w:rsidRDefault="00910B53" w:rsidP="00910B53">
      <w:pPr>
        <w:jc w:val="both"/>
        <w:rPr>
          <w:rFonts w:asciiTheme="minorHAnsi" w:eastAsia="Calibri" w:hAnsiTheme="minorHAnsi"/>
        </w:rPr>
      </w:pPr>
    </w:p>
    <w:p w14:paraId="436FE466" w14:textId="77777777" w:rsidR="00910B53" w:rsidRPr="00787AB7" w:rsidRDefault="00910B53" w:rsidP="003304F7">
      <w:pPr>
        <w:jc w:val="both"/>
        <w:rPr>
          <w:rFonts w:asciiTheme="minorHAnsi" w:eastAsia="Calibri" w:hAnsiTheme="minorHAnsi"/>
          <w:highlight w:val="yellow"/>
        </w:rPr>
      </w:pPr>
    </w:p>
    <w:p w14:paraId="3699F087" w14:textId="77777777" w:rsidR="003304F7" w:rsidRPr="00787AB7" w:rsidRDefault="009A1A77" w:rsidP="003304F7">
      <w:pPr>
        <w:pStyle w:val="Cmsor3"/>
        <w:tabs>
          <w:tab w:val="clear" w:pos="2007"/>
        </w:tabs>
        <w:ind w:left="0" w:firstLine="0"/>
        <w:rPr>
          <w:rFonts w:asciiTheme="minorHAnsi" w:hAnsiTheme="minorHAnsi"/>
        </w:rPr>
      </w:pPr>
      <w:bookmarkStart w:id="32" w:name="_Toc443317901"/>
      <w:bookmarkStart w:id="33" w:name="_Toc465246370"/>
      <w:bookmarkStart w:id="34" w:name="_Toc512409615"/>
      <w:r w:rsidRPr="00787AB7">
        <w:rPr>
          <w:rFonts w:asciiTheme="minorHAnsi" w:hAnsiTheme="minorHAnsi"/>
        </w:rPr>
        <w:t>- A metró rekonstrukció hatása a forgalmi teljesítményekre</w:t>
      </w:r>
      <w:bookmarkEnd w:id="32"/>
      <w:bookmarkEnd w:id="33"/>
      <w:bookmarkEnd w:id="34"/>
    </w:p>
    <w:p w14:paraId="4AAD2BDB" w14:textId="77777777" w:rsidR="003304F7" w:rsidRPr="00787AB7" w:rsidRDefault="003304F7" w:rsidP="003304F7">
      <w:pPr>
        <w:jc w:val="both"/>
        <w:rPr>
          <w:rFonts w:asciiTheme="minorHAnsi" w:eastAsia="Calibri" w:hAnsiTheme="minorHAnsi"/>
        </w:rPr>
      </w:pPr>
    </w:p>
    <w:p w14:paraId="70784EF7" w14:textId="77777777" w:rsidR="00840FB2" w:rsidRPr="00787AB7" w:rsidRDefault="009A1A77" w:rsidP="00840FB2">
      <w:pPr>
        <w:jc w:val="both"/>
        <w:rPr>
          <w:rFonts w:asciiTheme="minorHAnsi" w:hAnsiTheme="minorHAnsi"/>
        </w:rPr>
      </w:pPr>
      <w:r w:rsidRPr="00787AB7">
        <w:rPr>
          <w:rFonts w:asciiTheme="minorHAnsi" w:hAnsiTheme="minorHAnsi"/>
        </w:rPr>
        <w:t>A 2018. évi Üzleti Terv összeállításához a BKK Zrt. által megküldött tervezési premissza elkülönítve tartalmazza az M3 infrastruktúra rekonstrukció hatására bekövetkező forgalmi teljesítményváltozásokat ágazati, továbbá északi és déli szakasz bontásban. E szerint a</w:t>
      </w:r>
      <w:r w:rsidRPr="00787AB7">
        <w:rPr>
          <w:rFonts w:asciiTheme="minorHAnsi" w:hAnsiTheme="minorHAnsi"/>
        </w:rPr>
        <w:br/>
        <w:t>2018. évi metró, autóbusz és villamos ágazatokat érintő teljesítményhatás mindösszesen</w:t>
      </w:r>
      <w:r w:rsidRPr="00787AB7">
        <w:rPr>
          <w:rFonts w:asciiTheme="minorHAnsi" w:hAnsiTheme="minorHAnsi"/>
        </w:rPr>
        <w:br/>
      </w:r>
      <w:r w:rsidRPr="00787AB7">
        <w:rPr>
          <w:rFonts w:asciiTheme="minorHAnsi" w:hAnsiTheme="minorHAnsi"/>
          <w:b/>
        </w:rPr>
        <w:t>-757 408 ezer férőhely-kilométer</w:t>
      </w:r>
      <w:r w:rsidRPr="00787AB7">
        <w:rPr>
          <w:rFonts w:asciiTheme="minorHAnsi" w:hAnsiTheme="minorHAnsi"/>
        </w:rPr>
        <w:t>.</w:t>
      </w:r>
    </w:p>
    <w:p w14:paraId="527A54D6" w14:textId="77777777" w:rsidR="00840FB2" w:rsidRPr="00787AB7" w:rsidRDefault="00840FB2" w:rsidP="00840FB2">
      <w:pPr>
        <w:jc w:val="both"/>
        <w:rPr>
          <w:rFonts w:asciiTheme="minorHAnsi" w:eastAsia="Calibri" w:hAnsiTheme="minorHAnsi"/>
        </w:rPr>
      </w:pPr>
    </w:p>
    <w:p w14:paraId="3A15805E" w14:textId="77777777" w:rsidR="00840FB2" w:rsidRPr="00787AB7" w:rsidRDefault="009A1A77" w:rsidP="00840FB2">
      <w:pPr>
        <w:jc w:val="both"/>
        <w:rPr>
          <w:rFonts w:asciiTheme="minorHAnsi" w:eastAsia="Calibri" w:hAnsiTheme="minorHAnsi"/>
        </w:rPr>
      </w:pPr>
      <w:r w:rsidRPr="00787AB7">
        <w:rPr>
          <w:rFonts w:asciiTheme="minorHAnsi" w:eastAsia="Calibri" w:hAnsiTheme="minorHAnsi"/>
        </w:rPr>
        <w:t>A 2018. évben meginduló felújítással összefüggő teljesítmény-változásokat az alábbi táblázat tartalmazza:</w:t>
      </w:r>
    </w:p>
    <w:p w14:paraId="65EA5BD4" w14:textId="77777777" w:rsidR="003809FF" w:rsidRPr="00787AB7" w:rsidRDefault="003809FF" w:rsidP="003304F7">
      <w:pPr>
        <w:jc w:val="both"/>
        <w:rPr>
          <w:rFonts w:asciiTheme="minorHAnsi" w:eastAsia="Calibri" w:hAnsiTheme="minorHAnsi"/>
        </w:rPr>
      </w:pPr>
    </w:p>
    <w:p w14:paraId="6AD1D15E" w14:textId="77777777" w:rsidR="003809FF" w:rsidRPr="00787AB7" w:rsidRDefault="009A1A77" w:rsidP="00411D9D">
      <w:pPr>
        <w:ind w:right="1132"/>
        <w:jc w:val="right"/>
        <w:rPr>
          <w:rFonts w:asciiTheme="minorHAnsi" w:eastAsia="Calibri" w:hAnsiTheme="minorHAnsi"/>
          <w:sz w:val="18"/>
          <w:szCs w:val="18"/>
        </w:rPr>
      </w:pPr>
      <w:r w:rsidRPr="00787AB7">
        <w:rPr>
          <w:rFonts w:asciiTheme="minorHAnsi" w:eastAsia="Calibri" w:hAnsiTheme="minorHAnsi"/>
          <w:sz w:val="18"/>
          <w:szCs w:val="18"/>
        </w:rPr>
        <w:t>(ezer statisztikai fhkm)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2146"/>
      </w:tblGrid>
      <w:tr w:rsidR="003973FD" w:rsidRPr="003973FD" w14:paraId="66E638FD" w14:textId="77777777" w:rsidTr="00777A66">
        <w:trPr>
          <w:trHeight w:val="742"/>
          <w:jc w:val="center"/>
        </w:trPr>
        <w:tc>
          <w:tcPr>
            <w:tcW w:w="4726" w:type="dxa"/>
            <w:shd w:val="clear" w:color="auto" w:fill="2528A3"/>
            <w:vAlign w:val="center"/>
          </w:tcPr>
          <w:p w14:paraId="0E59FEEF" w14:textId="77777777" w:rsidR="00840FB2" w:rsidRPr="00787AB7" w:rsidRDefault="009A1A77" w:rsidP="00777A66">
            <w:pPr>
              <w:jc w:val="center"/>
              <w:rPr>
                <w:rFonts w:asciiTheme="minorHAnsi" w:hAnsiTheme="minorHAnsi"/>
                <w:b/>
                <w:sz w:val="20"/>
                <w:szCs w:val="20"/>
              </w:rPr>
            </w:pPr>
            <w:r w:rsidRPr="00787AB7">
              <w:rPr>
                <w:rFonts w:asciiTheme="minorHAnsi" w:hAnsiTheme="minorHAnsi"/>
                <w:b/>
                <w:sz w:val="20"/>
                <w:szCs w:val="20"/>
              </w:rPr>
              <w:t>Ágazat</w:t>
            </w:r>
          </w:p>
        </w:tc>
        <w:tc>
          <w:tcPr>
            <w:tcW w:w="2146" w:type="dxa"/>
            <w:shd w:val="clear" w:color="auto" w:fill="2528A3"/>
            <w:vAlign w:val="center"/>
          </w:tcPr>
          <w:p w14:paraId="2D95CD00" w14:textId="77777777" w:rsidR="00840FB2" w:rsidRPr="00787AB7" w:rsidRDefault="009A1A77" w:rsidP="00777A66">
            <w:pPr>
              <w:jc w:val="center"/>
              <w:rPr>
                <w:rFonts w:asciiTheme="minorHAnsi" w:hAnsiTheme="minorHAnsi"/>
                <w:b/>
                <w:sz w:val="20"/>
                <w:szCs w:val="20"/>
              </w:rPr>
            </w:pPr>
            <w:r w:rsidRPr="00787AB7">
              <w:rPr>
                <w:rFonts w:asciiTheme="minorHAnsi" w:hAnsiTheme="minorHAnsi"/>
                <w:b/>
                <w:sz w:val="20"/>
                <w:szCs w:val="20"/>
              </w:rPr>
              <w:t>Teljesítmény-változás</w:t>
            </w:r>
          </w:p>
        </w:tc>
      </w:tr>
      <w:tr w:rsidR="003973FD" w:rsidRPr="003973FD" w14:paraId="32C1BBD9" w14:textId="77777777" w:rsidTr="00777A66">
        <w:trPr>
          <w:trHeight w:val="360"/>
          <w:jc w:val="center"/>
        </w:trPr>
        <w:tc>
          <w:tcPr>
            <w:tcW w:w="4726" w:type="dxa"/>
            <w:vAlign w:val="center"/>
          </w:tcPr>
          <w:p w14:paraId="29252065" w14:textId="77777777" w:rsidR="00840FB2" w:rsidRPr="00787AB7" w:rsidRDefault="009A1A77" w:rsidP="00777A66">
            <w:pPr>
              <w:rPr>
                <w:rFonts w:asciiTheme="minorHAnsi" w:hAnsiTheme="minorHAnsi"/>
                <w:b/>
                <w:sz w:val="18"/>
                <w:szCs w:val="18"/>
              </w:rPr>
            </w:pPr>
            <w:r w:rsidRPr="00787AB7">
              <w:rPr>
                <w:rFonts w:asciiTheme="minorHAnsi" w:hAnsiTheme="minorHAnsi"/>
                <w:sz w:val="18"/>
                <w:szCs w:val="18"/>
              </w:rPr>
              <w:t>Metró</w:t>
            </w:r>
          </w:p>
        </w:tc>
        <w:tc>
          <w:tcPr>
            <w:tcW w:w="2146" w:type="dxa"/>
            <w:vAlign w:val="center"/>
          </w:tcPr>
          <w:p w14:paraId="10589E68" w14:textId="77777777" w:rsidR="00840FB2" w:rsidRPr="00787AB7" w:rsidRDefault="009A1A77" w:rsidP="00777A66">
            <w:pPr>
              <w:jc w:val="right"/>
              <w:rPr>
                <w:rFonts w:asciiTheme="minorHAnsi" w:hAnsiTheme="minorHAnsi" w:cs="Arial"/>
                <w:bCs/>
                <w:sz w:val="18"/>
                <w:szCs w:val="18"/>
              </w:rPr>
            </w:pPr>
            <w:r w:rsidRPr="00787AB7">
              <w:rPr>
                <w:rFonts w:asciiTheme="minorHAnsi" w:hAnsiTheme="minorHAnsi" w:cs="Arial"/>
                <w:bCs/>
                <w:sz w:val="18"/>
                <w:szCs w:val="18"/>
              </w:rPr>
              <w:t>-1 479 533</w:t>
            </w:r>
          </w:p>
        </w:tc>
      </w:tr>
      <w:tr w:rsidR="003973FD" w:rsidRPr="003973FD" w14:paraId="5A5BD9F4" w14:textId="77777777" w:rsidTr="00777A66">
        <w:trPr>
          <w:trHeight w:val="360"/>
          <w:jc w:val="center"/>
        </w:trPr>
        <w:tc>
          <w:tcPr>
            <w:tcW w:w="4726" w:type="dxa"/>
            <w:vAlign w:val="center"/>
          </w:tcPr>
          <w:p w14:paraId="4D5032EC" w14:textId="77777777" w:rsidR="00840FB2" w:rsidRPr="00787AB7" w:rsidRDefault="009A1A77" w:rsidP="00777A66">
            <w:pPr>
              <w:rPr>
                <w:rFonts w:asciiTheme="minorHAnsi" w:hAnsiTheme="minorHAnsi"/>
                <w:b/>
                <w:sz w:val="18"/>
                <w:szCs w:val="18"/>
              </w:rPr>
            </w:pPr>
            <w:r w:rsidRPr="00787AB7">
              <w:rPr>
                <w:rFonts w:asciiTheme="minorHAnsi" w:hAnsiTheme="minorHAnsi"/>
                <w:sz w:val="18"/>
                <w:szCs w:val="18"/>
              </w:rPr>
              <w:t>Villamos – sűrítés</w:t>
            </w:r>
          </w:p>
        </w:tc>
        <w:tc>
          <w:tcPr>
            <w:tcW w:w="2146" w:type="dxa"/>
            <w:vAlign w:val="center"/>
          </w:tcPr>
          <w:p w14:paraId="18BE5F54" w14:textId="77777777" w:rsidR="00840FB2" w:rsidRPr="00787AB7" w:rsidRDefault="009A1A77" w:rsidP="00777A66">
            <w:pPr>
              <w:jc w:val="right"/>
              <w:rPr>
                <w:rFonts w:asciiTheme="minorHAnsi" w:hAnsiTheme="minorHAnsi" w:cs="Arial"/>
                <w:bCs/>
                <w:sz w:val="18"/>
                <w:szCs w:val="18"/>
              </w:rPr>
            </w:pPr>
            <w:r w:rsidRPr="00787AB7">
              <w:rPr>
                <w:rFonts w:asciiTheme="minorHAnsi" w:hAnsiTheme="minorHAnsi" w:cs="Arial"/>
                <w:bCs/>
                <w:sz w:val="18"/>
                <w:szCs w:val="18"/>
              </w:rPr>
              <w:t>94 758</w:t>
            </w:r>
          </w:p>
        </w:tc>
      </w:tr>
      <w:tr w:rsidR="003973FD" w:rsidRPr="003973FD" w14:paraId="6A0ADFA3" w14:textId="77777777" w:rsidTr="00777A66">
        <w:trPr>
          <w:trHeight w:val="360"/>
          <w:jc w:val="center"/>
        </w:trPr>
        <w:tc>
          <w:tcPr>
            <w:tcW w:w="4726" w:type="dxa"/>
            <w:vAlign w:val="center"/>
          </w:tcPr>
          <w:p w14:paraId="10C54793" w14:textId="77777777" w:rsidR="00840FB2" w:rsidRPr="00787AB7" w:rsidRDefault="009A1A77" w:rsidP="00777A66">
            <w:pPr>
              <w:rPr>
                <w:rFonts w:asciiTheme="minorHAnsi" w:hAnsiTheme="minorHAnsi"/>
                <w:b/>
                <w:sz w:val="18"/>
                <w:szCs w:val="18"/>
              </w:rPr>
            </w:pPr>
            <w:r w:rsidRPr="00787AB7">
              <w:rPr>
                <w:rFonts w:asciiTheme="minorHAnsi" w:hAnsiTheme="minorHAnsi"/>
                <w:sz w:val="18"/>
                <w:szCs w:val="18"/>
              </w:rPr>
              <w:t>Autóbusz – sűrítés/pótlás</w:t>
            </w:r>
          </w:p>
        </w:tc>
        <w:tc>
          <w:tcPr>
            <w:tcW w:w="2146" w:type="dxa"/>
            <w:vAlign w:val="center"/>
          </w:tcPr>
          <w:p w14:paraId="7B579563" w14:textId="77777777" w:rsidR="00840FB2" w:rsidRPr="00787AB7" w:rsidRDefault="009A1A77" w:rsidP="00777A66">
            <w:pPr>
              <w:jc w:val="right"/>
              <w:rPr>
                <w:rFonts w:asciiTheme="minorHAnsi" w:hAnsiTheme="minorHAnsi" w:cs="Arial"/>
                <w:bCs/>
                <w:sz w:val="18"/>
                <w:szCs w:val="18"/>
              </w:rPr>
            </w:pPr>
            <w:r w:rsidRPr="00787AB7">
              <w:rPr>
                <w:rFonts w:asciiTheme="minorHAnsi" w:hAnsiTheme="minorHAnsi" w:cs="Arial"/>
                <w:bCs/>
                <w:sz w:val="18"/>
                <w:szCs w:val="18"/>
              </w:rPr>
              <w:t>648 950</w:t>
            </w:r>
          </w:p>
        </w:tc>
      </w:tr>
      <w:tr w:rsidR="003973FD" w:rsidRPr="003973FD" w14:paraId="189AB1AA" w14:textId="77777777" w:rsidTr="00777A66">
        <w:trPr>
          <w:trHeight w:val="360"/>
          <w:jc w:val="center"/>
        </w:trPr>
        <w:tc>
          <w:tcPr>
            <w:tcW w:w="4726" w:type="dxa"/>
            <w:vAlign w:val="center"/>
          </w:tcPr>
          <w:p w14:paraId="3E3266FA" w14:textId="77777777" w:rsidR="00840FB2" w:rsidRPr="00787AB7" w:rsidRDefault="009A1A77" w:rsidP="00777A66">
            <w:pPr>
              <w:rPr>
                <w:rFonts w:asciiTheme="minorHAnsi" w:hAnsiTheme="minorHAnsi"/>
                <w:b/>
                <w:sz w:val="18"/>
                <w:szCs w:val="18"/>
              </w:rPr>
            </w:pPr>
            <w:r w:rsidRPr="00787AB7">
              <w:rPr>
                <w:rFonts w:asciiTheme="minorHAnsi" w:hAnsiTheme="minorHAnsi"/>
                <w:b/>
                <w:sz w:val="18"/>
                <w:szCs w:val="18"/>
              </w:rPr>
              <w:t>Északi szakasz összesen</w:t>
            </w:r>
          </w:p>
        </w:tc>
        <w:tc>
          <w:tcPr>
            <w:tcW w:w="2146" w:type="dxa"/>
            <w:vAlign w:val="center"/>
          </w:tcPr>
          <w:p w14:paraId="2EA55AD7" w14:textId="77777777" w:rsidR="00840FB2" w:rsidRPr="00787AB7" w:rsidRDefault="009A1A77" w:rsidP="00777A66">
            <w:pPr>
              <w:jc w:val="right"/>
              <w:rPr>
                <w:rFonts w:asciiTheme="minorHAnsi" w:hAnsiTheme="minorHAnsi" w:cs="Arial"/>
                <w:b/>
                <w:bCs/>
                <w:sz w:val="18"/>
                <w:szCs w:val="18"/>
              </w:rPr>
            </w:pPr>
            <w:r w:rsidRPr="00787AB7">
              <w:rPr>
                <w:rFonts w:asciiTheme="minorHAnsi" w:hAnsiTheme="minorHAnsi" w:cs="Arial"/>
                <w:b/>
                <w:bCs/>
                <w:sz w:val="18"/>
                <w:szCs w:val="18"/>
              </w:rPr>
              <w:t>-735 825</w:t>
            </w:r>
          </w:p>
        </w:tc>
      </w:tr>
      <w:tr w:rsidR="003973FD" w:rsidRPr="003973FD" w14:paraId="6E01ADDA" w14:textId="77777777" w:rsidTr="00777A66">
        <w:trPr>
          <w:trHeight w:val="360"/>
          <w:jc w:val="center"/>
        </w:trPr>
        <w:tc>
          <w:tcPr>
            <w:tcW w:w="4726" w:type="dxa"/>
            <w:vAlign w:val="center"/>
          </w:tcPr>
          <w:p w14:paraId="019E8C25" w14:textId="77777777" w:rsidR="00840FB2" w:rsidRPr="00787AB7" w:rsidRDefault="009A1A77" w:rsidP="00777A66">
            <w:pPr>
              <w:rPr>
                <w:rFonts w:asciiTheme="minorHAnsi" w:hAnsiTheme="minorHAnsi"/>
                <w:b/>
                <w:sz w:val="18"/>
                <w:szCs w:val="18"/>
              </w:rPr>
            </w:pPr>
            <w:r w:rsidRPr="00787AB7">
              <w:rPr>
                <w:rFonts w:asciiTheme="minorHAnsi" w:hAnsiTheme="minorHAnsi"/>
                <w:sz w:val="18"/>
                <w:szCs w:val="18"/>
              </w:rPr>
              <w:t xml:space="preserve">Metró </w:t>
            </w:r>
          </w:p>
        </w:tc>
        <w:tc>
          <w:tcPr>
            <w:tcW w:w="2146" w:type="dxa"/>
            <w:vAlign w:val="center"/>
          </w:tcPr>
          <w:p w14:paraId="3A73228F" w14:textId="77777777" w:rsidR="00840FB2" w:rsidRPr="00787AB7" w:rsidRDefault="009A1A77" w:rsidP="00777A66">
            <w:pPr>
              <w:jc w:val="right"/>
              <w:rPr>
                <w:rFonts w:asciiTheme="minorHAnsi" w:hAnsiTheme="minorHAnsi" w:cs="Arial"/>
                <w:sz w:val="18"/>
                <w:szCs w:val="18"/>
              </w:rPr>
            </w:pPr>
            <w:r w:rsidRPr="00787AB7">
              <w:rPr>
                <w:rFonts w:asciiTheme="minorHAnsi" w:hAnsiTheme="minorHAnsi" w:cs="Arial"/>
                <w:sz w:val="18"/>
                <w:szCs w:val="18"/>
              </w:rPr>
              <w:t>-169 634</w:t>
            </w:r>
          </w:p>
        </w:tc>
      </w:tr>
      <w:tr w:rsidR="003973FD" w:rsidRPr="003973FD" w14:paraId="0F2CEE77" w14:textId="77777777" w:rsidTr="00777A66">
        <w:trPr>
          <w:trHeight w:val="360"/>
          <w:jc w:val="center"/>
        </w:trPr>
        <w:tc>
          <w:tcPr>
            <w:tcW w:w="4726" w:type="dxa"/>
            <w:vAlign w:val="center"/>
          </w:tcPr>
          <w:p w14:paraId="51776AB2" w14:textId="77777777" w:rsidR="00840FB2" w:rsidRPr="00787AB7" w:rsidRDefault="009A1A77" w:rsidP="00777A66">
            <w:pPr>
              <w:rPr>
                <w:rFonts w:asciiTheme="minorHAnsi" w:hAnsiTheme="minorHAnsi"/>
                <w:b/>
                <w:sz w:val="18"/>
                <w:szCs w:val="18"/>
              </w:rPr>
            </w:pPr>
            <w:r w:rsidRPr="00787AB7">
              <w:rPr>
                <w:rFonts w:asciiTheme="minorHAnsi" w:hAnsiTheme="minorHAnsi"/>
                <w:sz w:val="18"/>
                <w:szCs w:val="18"/>
              </w:rPr>
              <w:t>Villamos – sűrítés</w:t>
            </w:r>
          </w:p>
        </w:tc>
        <w:tc>
          <w:tcPr>
            <w:tcW w:w="2146" w:type="dxa"/>
            <w:vAlign w:val="center"/>
          </w:tcPr>
          <w:p w14:paraId="6D451B15" w14:textId="77777777" w:rsidR="00840FB2" w:rsidRPr="00787AB7" w:rsidRDefault="009A1A77" w:rsidP="00777A66">
            <w:pPr>
              <w:jc w:val="right"/>
              <w:rPr>
                <w:rFonts w:asciiTheme="minorHAnsi" w:hAnsiTheme="minorHAnsi" w:cs="Arial"/>
                <w:sz w:val="18"/>
                <w:szCs w:val="18"/>
              </w:rPr>
            </w:pPr>
            <w:r w:rsidRPr="00787AB7">
              <w:rPr>
                <w:rFonts w:asciiTheme="minorHAnsi" w:hAnsiTheme="minorHAnsi" w:cs="Arial"/>
                <w:sz w:val="18"/>
                <w:szCs w:val="18"/>
              </w:rPr>
              <w:t>16 079</w:t>
            </w:r>
          </w:p>
        </w:tc>
      </w:tr>
      <w:tr w:rsidR="003973FD" w:rsidRPr="003973FD" w14:paraId="4D199E4E" w14:textId="77777777" w:rsidTr="00777A66">
        <w:trPr>
          <w:trHeight w:val="360"/>
          <w:jc w:val="center"/>
        </w:trPr>
        <w:tc>
          <w:tcPr>
            <w:tcW w:w="4726" w:type="dxa"/>
            <w:vAlign w:val="center"/>
          </w:tcPr>
          <w:p w14:paraId="49C50C31" w14:textId="77777777" w:rsidR="00840FB2" w:rsidRPr="00787AB7" w:rsidRDefault="009A1A77" w:rsidP="00777A66">
            <w:pPr>
              <w:rPr>
                <w:rFonts w:asciiTheme="minorHAnsi" w:hAnsiTheme="minorHAnsi"/>
                <w:b/>
                <w:sz w:val="18"/>
                <w:szCs w:val="18"/>
              </w:rPr>
            </w:pPr>
            <w:r w:rsidRPr="00787AB7">
              <w:rPr>
                <w:rFonts w:asciiTheme="minorHAnsi" w:hAnsiTheme="minorHAnsi"/>
                <w:sz w:val="18"/>
                <w:szCs w:val="18"/>
              </w:rPr>
              <w:t>Autóbusz – sűrítés/pótlás</w:t>
            </w:r>
          </w:p>
        </w:tc>
        <w:tc>
          <w:tcPr>
            <w:tcW w:w="2146" w:type="dxa"/>
            <w:vAlign w:val="center"/>
          </w:tcPr>
          <w:p w14:paraId="2771A026" w14:textId="77777777" w:rsidR="00840FB2" w:rsidRPr="00787AB7" w:rsidRDefault="009A1A77" w:rsidP="00777A66">
            <w:pPr>
              <w:jc w:val="right"/>
              <w:rPr>
                <w:rFonts w:asciiTheme="minorHAnsi" w:hAnsiTheme="minorHAnsi" w:cs="Arial"/>
                <w:sz w:val="18"/>
                <w:szCs w:val="18"/>
              </w:rPr>
            </w:pPr>
            <w:r w:rsidRPr="00787AB7">
              <w:rPr>
                <w:rFonts w:asciiTheme="minorHAnsi" w:hAnsiTheme="minorHAnsi" w:cs="Arial"/>
                <w:sz w:val="18"/>
                <w:szCs w:val="18"/>
              </w:rPr>
              <w:t>131 972</w:t>
            </w:r>
          </w:p>
        </w:tc>
      </w:tr>
      <w:tr w:rsidR="003973FD" w:rsidRPr="003973FD" w14:paraId="4FB5B9CE" w14:textId="77777777" w:rsidTr="00777A66">
        <w:trPr>
          <w:trHeight w:val="360"/>
          <w:jc w:val="center"/>
        </w:trPr>
        <w:tc>
          <w:tcPr>
            <w:tcW w:w="4726" w:type="dxa"/>
            <w:vAlign w:val="center"/>
          </w:tcPr>
          <w:p w14:paraId="6ADB01A2" w14:textId="77777777" w:rsidR="00840FB2" w:rsidRPr="00787AB7" w:rsidRDefault="009A1A77" w:rsidP="00777A66">
            <w:pPr>
              <w:rPr>
                <w:rFonts w:asciiTheme="minorHAnsi" w:hAnsiTheme="minorHAnsi"/>
                <w:b/>
                <w:sz w:val="18"/>
                <w:szCs w:val="18"/>
              </w:rPr>
            </w:pPr>
            <w:r w:rsidRPr="00787AB7">
              <w:rPr>
                <w:rFonts w:asciiTheme="minorHAnsi" w:hAnsiTheme="minorHAnsi"/>
                <w:b/>
                <w:sz w:val="18"/>
                <w:szCs w:val="18"/>
              </w:rPr>
              <w:t>Déli szakasz összesen</w:t>
            </w:r>
          </w:p>
        </w:tc>
        <w:tc>
          <w:tcPr>
            <w:tcW w:w="2146" w:type="dxa"/>
            <w:vAlign w:val="center"/>
          </w:tcPr>
          <w:p w14:paraId="6EDA81E2" w14:textId="77777777" w:rsidR="00840FB2" w:rsidRPr="00787AB7" w:rsidRDefault="009A1A77" w:rsidP="00777A66">
            <w:pPr>
              <w:jc w:val="right"/>
              <w:rPr>
                <w:rFonts w:asciiTheme="minorHAnsi" w:hAnsiTheme="minorHAnsi" w:cs="Arial"/>
                <w:b/>
                <w:bCs/>
                <w:sz w:val="18"/>
                <w:szCs w:val="18"/>
              </w:rPr>
            </w:pPr>
            <w:r w:rsidRPr="00787AB7">
              <w:rPr>
                <w:rFonts w:asciiTheme="minorHAnsi" w:hAnsiTheme="minorHAnsi" w:cs="Arial"/>
                <w:b/>
                <w:bCs/>
                <w:sz w:val="18"/>
                <w:szCs w:val="18"/>
              </w:rPr>
              <w:t>-21 583</w:t>
            </w:r>
          </w:p>
        </w:tc>
      </w:tr>
      <w:tr w:rsidR="003973FD" w:rsidRPr="003973FD" w14:paraId="14A8F9F6" w14:textId="77777777" w:rsidTr="00777A66">
        <w:trPr>
          <w:trHeight w:val="360"/>
          <w:jc w:val="center"/>
        </w:trPr>
        <w:tc>
          <w:tcPr>
            <w:tcW w:w="4726" w:type="dxa"/>
            <w:vAlign w:val="center"/>
          </w:tcPr>
          <w:p w14:paraId="09A5F3AC" w14:textId="77777777" w:rsidR="00840FB2" w:rsidRPr="00787AB7" w:rsidRDefault="009A1A77" w:rsidP="00777A66">
            <w:pPr>
              <w:rPr>
                <w:rFonts w:asciiTheme="minorHAnsi" w:hAnsiTheme="minorHAnsi"/>
                <w:b/>
                <w:sz w:val="18"/>
                <w:szCs w:val="18"/>
              </w:rPr>
            </w:pPr>
            <w:r w:rsidRPr="00787AB7">
              <w:rPr>
                <w:rFonts w:asciiTheme="minorHAnsi" w:hAnsiTheme="minorHAnsi"/>
                <w:b/>
                <w:sz w:val="18"/>
                <w:szCs w:val="18"/>
              </w:rPr>
              <w:t>Összesen</w:t>
            </w:r>
          </w:p>
        </w:tc>
        <w:tc>
          <w:tcPr>
            <w:tcW w:w="2146" w:type="dxa"/>
            <w:vAlign w:val="center"/>
          </w:tcPr>
          <w:p w14:paraId="3E81CD2D" w14:textId="77777777" w:rsidR="00840FB2" w:rsidRPr="00787AB7" w:rsidRDefault="009A1A77" w:rsidP="00777A66">
            <w:pPr>
              <w:jc w:val="right"/>
              <w:rPr>
                <w:rFonts w:asciiTheme="minorHAnsi" w:hAnsiTheme="minorHAnsi" w:cs="Arial"/>
                <w:b/>
                <w:sz w:val="18"/>
                <w:szCs w:val="18"/>
              </w:rPr>
            </w:pPr>
            <w:r w:rsidRPr="00787AB7">
              <w:rPr>
                <w:rFonts w:asciiTheme="minorHAnsi" w:hAnsiTheme="minorHAnsi" w:cs="Arial"/>
                <w:b/>
                <w:sz w:val="18"/>
                <w:szCs w:val="18"/>
              </w:rPr>
              <w:t>-757 408</w:t>
            </w:r>
          </w:p>
        </w:tc>
      </w:tr>
    </w:tbl>
    <w:p w14:paraId="318A1834" w14:textId="77777777" w:rsidR="00840FB2" w:rsidRPr="00787AB7" w:rsidRDefault="00840FB2" w:rsidP="003304F7">
      <w:pPr>
        <w:jc w:val="both"/>
        <w:rPr>
          <w:rFonts w:asciiTheme="minorHAnsi" w:eastAsia="Calibri" w:hAnsiTheme="minorHAnsi"/>
        </w:rPr>
      </w:pPr>
    </w:p>
    <w:p w14:paraId="19CF4175" w14:textId="7986CFE7" w:rsidR="00840FB2" w:rsidRPr="00787AB7" w:rsidRDefault="009A1A77" w:rsidP="00840FB2">
      <w:pPr>
        <w:jc w:val="both"/>
        <w:rPr>
          <w:rFonts w:asciiTheme="minorHAnsi" w:eastAsia="Calibri" w:hAnsiTheme="minorHAnsi"/>
        </w:rPr>
      </w:pPr>
      <w:r w:rsidRPr="00787AB7">
        <w:rPr>
          <w:rFonts w:asciiTheme="minorHAnsi" w:eastAsia="Calibri" w:hAnsiTheme="minorHAnsi"/>
        </w:rPr>
        <w:t xml:space="preserve">Az </w:t>
      </w:r>
      <w:r w:rsidRPr="00787AB7">
        <w:rPr>
          <w:rFonts w:asciiTheme="minorHAnsi" w:eastAsia="Calibri" w:hAnsiTheme="minorHAnsi"/>
          <w:b/>
        </w:rPr>
        <w:t xml:space="preserve">autóbusz ágazat </w:t>
      </w:r>
      <w:r w:rsidRPr="00787AB7">
        <w:rPr>
          <w:rFonts w:asciiTheme="minorHAnsi" w:eastAsia="Calibri" w:hAnsiTheme="minorHAnsi"/>
        </w:rPr>
        <w:t>pótláshoz és sűrítéshez kapcsolódó teljesítménynövekedése várhatóan</w:t>
      </w:r>
      <w:r w:rsidRPr="00787AB7">
        <w:rPr>
          <w:rFonts w:asciiTheme="minorHAnsi" w:eastAsia="Calibri" w:hAnsiTheme="minorHAnsi"/>
        </w:rPr>
        <w:br/>
        <w:t>5</w:t>
      </w:r>
      <w:r w:rsidR="00815EC0">
        <w:rPr>
          <w:rFonts w:asciiTheme="minorHAnsi" w:eastAsia="Calibri" w:hAnsiTheme="minorHAnsi"/>
        </w:rPr>
        <w:t> </w:t>
      </w:r>
      <w:r w:rsidRPr="00787AB7">
        <w:rPr>
          <w:rFonts w:asciiTheme="minorHAnsi" w:eastAsia="Calibri" w:hAnsiTheme="minorHAnsi"/>
        </w:rPr>
        <w:t>57</w:t>
      </w:r>
      <w:r w:rsidR="00815EC0">
        <w:rPr>
          <w:rFonts w:asciiTheme="minorHAnsi" w:eastAsia="Calibri" w:hAnsiTheme="minorHAnsi"/>
        </w:rPr>
        <w:t xml:space="preserve">7 </w:t>
      </w:r>
      <w:r w:rsidRPr="00787AB7">
        <w:rPr>
          <w:rFonts w:asciiTheme="minorHAnsi" w:eastAsia="Calibri" w:hAnsiTheme="minorHAnsi"/>
        </w:rPr>
        <w:t xml:space="preserve">millió Ft </w:t>
      </w:r>
      <w:r w:rsidRPr="00787AB7">
        <w:rPr>
          <w:rFonts w:asciiTheme="minorHAnsi" w:eastAsia="Calibri" w:hAnsiTheme="minorHAnsi"/>
          <w:lang w:eastAsia="en-US"/>
        </w:rPr>
        <w:t xml:space="preserve">ráfordítás növekedést </w:t>
      </w:r>
      <w:r w:rsidRPr="00787AB7">
        <w:rPr>
          <w:rFonts w:asciiTheme="minorHAnsi" w:eastAsia="Calibri" w:hAnsiTheme="minorHAnsi"/>
        </w:rPr>
        <w:t>eredményez a Társaságnak. A 2018. évi metrópótlási feladatokat a BKV Zrt. részben a rendelkezésre tartási konstrukcióban beszerzett csuklós buszok forgalomba állításával látja el, amire a kiírásban szereplő opció lehívása adott lehetőséget. Ennek megfelelően a pótlási tevékenység költségeinek kalkulációjába a rendelkezésre tartási konstrukcióban beszerzett autóbuszok fajlagos üzemeltetési költségei is beépítésre kerültek, az alacsony padlós csuklós és szóló járműtípusok mellett.</w:t>
      </w:r>
    </w:p>
    <w:p w14:paraId="3F0EF2AE" w14:textId="77777777" w:rsidR="00815EC0" w:rsidRDefault="00815EC0" w:rsidP="00840FB2">
      <w:pPr>
        <w:jc w:val="both"/>
        <w:rPr>
          <w:rFonts w:asciiTheme="minorHAnsi" w:eastAsia="Calibri" w:hAnsiTheme="minorHAnsi"/>
        </w:rPr>
      </w:pPr>
    </w:p>
    <w:p w14:paraId="3B80DA7F" w14:textId="12E41838" w:rsidR="00840FB2" w:rsidRPr="00787AB7" w:rsidRDefault="009A1A77" w:rsidP="00840FB2">
      <w:pPr>
        <w:jc w:val="both"/>
        <w:rPr>
          <w:rFonts w:asciiTheme="minorHAnsi" w:eastAsia="Calibri" w:hAnsiTheme="minorHAnsi"/>
        </w:rPr>
      </w:pPr>
      <w:r w:rsidRPr="00787AB7">
        <w:rPr>
          <w:rFonts w:asciiTheme="minorHAnsi" w:eastAsia="Calibri" w:hAnsiTheme="minorHAnsi"/>
        </w:rPr>
        <w:t xml:space="preserve">A Megrendelő által megadott </w:t>
      </w:r>
      <w:r w:rsidRPr="00787AB7">
        <w:rPr>
          <w:rFonts w:asciiTheme="minorHAnsi" w:eastAsia="Calibri" w:hAnsiTheme="minorHAnsi"/>
          <w:b/>
        </w:rPr>
        <w:t>metró ágazatot</w:t>
      </w:r>
      <w:r w:rsidRPr="00787AB7">
        <w:rPr>
          <w:rFonts w:asciiTheme="minorHAnsi" w:eastAsia="Calibri" w:hAnsiTheme="minorHAnsi"/>
        </w:rPr>
        <w:t xml:space="preserve"> érintő teljesítmény kiesés mértékéhez képest visszafogottabb költségcsökkenés – 1 726 millió Ft – megjelenése annak köszönhető, hogy a közvetlen költségek nem teljeskörűen racionalizálhatóak, a feladatok átrendeződése miatt a személyi jellegű költségek részleges megmaradásával számol a terv, tekintettel arra, hogy a projekt végrehajtása során az üzemeltetői közreműködésre szükség lesz, a felújítás alatt egyedi többlet feladatok fognak jelentkezni (például forgalomtechnikai változások). </w:t>
      </w:r>
      <w:r w:rsidRPr="00787AB7">
        <w:rPr>
          <w:rFonts w:asciiTheme="minorHAnsi" w:eastAsia="Calibri" w:hAnsiTheme="minorHAnsi"/>
        </w:rPr>
        <w:lastRenderedPageBreak/>
        <w:t xml:space="preserve">Ezenkívül a tervezés során figyelembe kell venni azt, hogy </w:t>
      </w:r>
      <w:r w:rsidRPr="00787AB7">
        <w:rPr>
          <w:rFonts w:asciiTheme="minorHAnsi" w:eastAsia="Calibri" w:hAnsiTheme="minorHAnsi"/>
          <w:b/>
        </w:rPr>
        <w:t>a teljesítmény visszaesés</w:t>
      </w:r>
      <w:r w:rsidRPr="00787AB7">
        <w:rPr>
          <w:rFonts w:asciiTheme="minorHAnsi" w:eastAsia="Calibri" w:hAnsiTheme="minorHAnsi"/>
        </w:rPr>
        <w:t xml:space="preserve"> csak részszakaszokat érint és </w:t>
      </w:r>
      <w:r w:rsidRPr="00787AB7">
        <w:rPr>
          <w:rFonts w:asciiTheme="minorHAnsi" w:eastAsia="Calibri" w:hAnsiTheme="minorHAnsi"/>
          <w:b/>
        </w:rPr>
        <w:t>átmeneti jellegű</w:t>
      </w:r>
      <w:r w:rsidRPr="00787AB7">
        <w:rPr>
          <w:rFonts w:asciiTheme="minorHAnsi" w:eastAsia="Calibri" w:hAnsiTheme="minorHAnsi"/>
        </w:rPr>
        <w:t>, így a humán erőforrás nagysága nem igazítható rövidtávon szorosan a teljesítményi igények változásához (a költségoptimalizálás során figyelembe kell venni pl. a végkielégítés, a képzési idő, stb. nagyságát is).</w:t>
      </w:r>
    </w:p>
    <w:p w14:paraId="594B1972" w14:textId="77777777" w:rsidR="003304F7" w:rsidRPr="00787AB7" w:rsidRDefault="003304F7" w:rsidP="003304F7">
      <w:pPr>
        <w:jc w:val="both"/>
        <w:rPr>
          <w:rFonts w:asciiTheme="minorHAnsi" w:eastAsia="Calibri" w:hAnsiTheme="minorHAnsi"/>
        </w:rPr>
      </w:pPr>
    </w:p>
    <w:p w14:paraId="311C060D" w14:textId="43E2C522" w:rsidR="00840FB2" w:rsidRPr="00787AB7" w:rsidRDefault="009A1A77" w:rsidP="00840FB2">
      <w:pPr>
        <w:jc w:val="both"/>
        <w:rPr>
          <w:rFonts w:asciiTheme="minorHAnsi" w:eastAsia="Calibri" w:hAnsiTheme="minorHAnsi"/>
        </w:rPr>
      </w:pPr>
      <w:r w:rsidRPr="00787AB7">
        <w:rPr>
          <w:rFonts w:asciiTheme="minorHAnsi" w:eastAsia="Calibri" w:hAnsiTheme="minorHAnsi"/>
        </w:rPr>
        <w:t xml:space="preserve">A 2018. évben várható M3 rekonstrukció miatti sűrítési igényből fakadóan a </w:t>
      </w:r>
      <w:r w:rsidRPr="00787AB7">
        <w:rPr>
          <w:rFonts w:asciiTheme="minorHAnsi" w:eastAsia="Calibri" w:hAnsiTheme="minorHAnsi"/>
          <w:b/>
        </w:rPr>
        <w:t>villamos</w:t>
      </w:r>
      <w:r w:rsidRPr="00787AB7">
        <w:rPr>
          <w:rFonts w:asciiTheme="minorHAnsi" w:eastAsia="Calibri" w:hAnsiTheme="minorHAnsi"/>
        </w:rPr>
        <w:t xml:space="preserve"> </w:t>
      </w:r>
      <w:r w:rsidRPr="00787AB7">
        <w:rPr>
          <w:rFonts w:asciiTheme="minorHAnsi" w:eastAsia="Calibri" w:hAnsiTheme="minorHAnsi"/>
          <w:b/>
        </w:rPr>
        <w:t>ágazat</w:t>
      </w:r>
      <w:r w:rsidRPr="00787AB7">
        <w:rPr>
          <w:rFonts w:asciiTheme="minorHAnsi" w:eastAsia="Calibri" w:hAnsiTheme="minorHAnsi"/>
        </w:rPr>
        <w:t xml:space="preserve"> esetében jelentkező teljesítménynövekedés is beépítésre került a tervbe, melynek becsült értéke megközelítőleg 422 millió Ft-os többletráfordítást okoz a BKV Zrt-nek.</w:t>
      </w:r>
    </w:p>
    <w:p w14:paraId="1B21002F" w14:textId="77777777" w:rsidR="003304F7" w:rsidRPr="00787AB7" w:rsidRDefault="003304F7" w:rsidP="003304F7">
      <w:pPr>
        <w:jc w:val="both"/>
        <w:rPr>
          <w:rFonts w:asciiTheme="minorHAnsi" w:eastAsia="Calibri" w:hAnsiTheme="minorHAnsi"/>
        </w:rPr>
      </w:pPr>
    </w:p>
    <w:p w14:paraId="5C10CE49" w14:textId="4C705294" w:rsidR="00840FB2" w:rsidRPr="00787AB7" w:rsidRDefault="009A1A77" w:rsidP="00840FB2">
      <w:pPr>
        <w:jc w:val="both"/>
        <w:rPr>
          <w:rFonts w:asciiTheme="minorHAnsi" w:eastAsia="Calibri" w:hAnsiTheme="minorHAnsi"/>
        </w:rPr>
      </w:pPr>
      <w:r w:rsidRPr="00787AB7">
        <w:rPr>
          <w:rFonts w:asciiTheme="minorHAnsi" w:eastAsia="Calibri" w:hAnsiTheme="minorHAnsi"/>
          <w:b/>
        </w:rPr>
        <w:t>Összességében</w:t>
      </w:r>
      <w:r w:rsidRPr="00787AB7">
        <w:rPr>
          <w:rFonts w:asciiTheme="minorHAnsi" w:eastAsia="Calibri" w:hAnsiTheme="minorHAnsi"/>
        </w:rPr>
        <w:t xml:space="preserve"> </w:t>
      </w:r>
      <w:r w:rsidRPr="00787AB7">
        <w:rPr>
          <w:rFonts w:asciiTheme="minorHAnsi" w:eastAsia="Calibri" w:hAnsiTheme="minorHAnsi"/>
          <w:b/>
        </w:rPr>
        <w:t>a 2017. évben megkezdődő, és a teljes 2018. évben folytatódó M3 metróvonali rekonstrukciós munkák a Megrendelő által tervezett teljesítményelvárások alapján 4 27</w:t>
      </w:r>
      <w:r w:rsidR="00815EC0">
        <w:rPr>
          <w:rFonts w:asciiTheme="minorHAnsi" w:eastAsia="Calibri" w:hAnsiTheme="minorHAnsi"/>
          <w:b/>
        </w:rPr>
        <w:t>3</w:t>
      </w:r>
      <w:r w:rsidRPr="00787AB7">
        <w:rPr>
          <w:rFonts w:asciiTheme="minorHAnsi" w:eastAsia="Calibri" w:hAnsiTheme="minorHAnsi"/>
          <w:b/>
        </w:rPr>
        <w:t xml:space="preserve"> millió Ft-os emelkedést okoznak a BKV Zrt. ráfordításai között.</w:t>
      </w:r>
      <w:r w:rsidRPr="00787AB7">
        <w:rPr>
          <w:rFonts w:asciiTheme="minorHAnsi" w:eastAsia="Calibri" w:hAnsiTheme="minorHAnsi"/>
          <w:b/>
        </w:rPr>
        <w:br/>
      </w:r>
      <w:r w:rsidRPr="00787AB7">
        <w:rPr>
          <w:rFonts w:asciiTheme="minorHAnsi" w:eastAsia="Calibri" w:hAnsiTheme="minorHAnsi"/>
        </w:rPr>
        <w:t>A költséghatást az alábbi táblázat szemlélteti:</w:t>
      </w:r>
    </w:p>
    <w:p w14:paraId="0BC69DBD" w14:textId="77777777" w:rsidR="00866E8F" w:rsidRPr="00787AB7" w:rsidRDefault="00866E8F" w:rsidP="003304F7">
      <w:pPr>
        <w:jc w:val="both"/>
        <w:rPr>
          <w:rFonts w:asciiTheme="minorHAnsi" w:eastAsia="Calibr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020"/>
        <w:gridCol w:w="1020"/>
        <w:gridCol w:w="1020"/>
        <w:gridCol w:w="1020"/>
        <w:gridCol w:w="1020"/>
        <w:gridCol w:w="1020"/>
        <w:gridCol w:w="1020"/>
      </w:tblGrid>
      <w:tr w:rsidR="0056690E" w:rsidRPr="00DB242D" w14:paraId="20DB3D3C" w14:textId="77777777" w:rsidTr="00411D9D">
        <w:trPr>
          <w:trHeight w:val="742"/>
          <w:jc w:val="center"/>
        </w:trPr>
        <w:tc>
          <w:tcPr>
            <w:tcW w:w="2091" w:type="dxa"/>
            <w:tcBorders>
              <w:right w:val="double" w:sz="4" w:space="0" w:color="auto"/>
            </w:tcBorders>
            <w:shd w:val="clear" w:color="auto" w:fill="2528A3"/>
            <w:vAlign w:val="center"/>
          </w:tcPr>
          <w:p w14:paraId="5D9E1F9E" w14:textId="77777777" w:rsidR="00840FB2" w:rsidRPr="00787AB7" w:rsidRDefault="009A1A77" w:rsidP="00777A66">
            <w:pPr>
              <w:rPr>
                <w:rFonts w:asciiTheme="minorHAnsi" w:hAnsiTheme="minorHAnsi"/>
                <w:b/>
                <w:bCs/>
                <w:sz w:val="20"/>
                <w:szCs w:val="20"/>
              </w:rPr>
            </w:pPr>
            <w:r w:rsidRPr="00787AB7">
              <w:rPr>
                <w:rFonts w:asciiTheme="minorHAnsi" w:hAnsiTheme="minorHAnsi"/>
                <w:b/>
                <w:sz w:val="20"/>
                <w:szCs w:val="20"/>
              </w:rPr>
              <w:t>Adatok</w:t>
            </w:r>
            <w:r w:rsidRPr="00787AB7">
              <w:rPr>
                <w:rFonts w:asciiTheme="minorHAnsi" w:hAnsiTheme="minorHAnsi"/>
                <w:b/>
                <w:sz w:val="20"/>
                <w:szCs w:val="20"/>
              </w:rPr>
              <w:br/>
              <w:t>millió Ft-ban</w:t>
            </w:r>
          </w:p>
        </w:tc>
        <w:tc>
          <w:tcPr>
            <w:tcW w:w="1020" w:type="dxa"/>
            <w:tcBorders>
              <w:left w:val="double" w:sz="4" w:space="0" w:color="auto"/>
            </w:tcBorders>
            <w:shd w:val="clear" w:color="auto" w:fill="2528A3"/>
            <w:vAlign w:val="center"/>
          </w:tcPr>
          <w:p w14:paraId="162FE6F0" w14:textId="77777777" w:rsidR="00840FB2" w:rsidRPr="00787AB7" w:rsidRDefault="009A1A77" w:rsidP="00777A66">
            <w:pPr>
              <w:jc w:val="center"/>
              <w:rPr>
                <w:rFonts w:asciiTheme="minorHAnsi" w:hAnsiTheme="minorHAnsi"/>
                <w:b/>
                <w:sz w:val="20"/>
                <w:szCs w:val="20"/>
              </w:rPr>
            </w:pPr>
            <w:r w:rsidRPr="00787AB7">
              <w:rPr>
                <w:rFonts w:asciiTheme="minorHAnsi" w:hAnsiTheme="minorHAnsi"/>
                <w:b/>
                <w:sz w:val="20"/>
                <w:szCs w:val="20"/>
              </w:rPr>
              <w:t>Északi szakasz</w:t>
            </w:r>
          </w:p>
          <w:p w14:paraId="46BB464D" w14:textId="77777777" w:rsidR="00840FB2" w:rsidRPr="00787AB7" w:rsidRDefault="009A1A77" w:rsidP="00777A66">
            <w:pPr>
              <w:jc w:val="center"/>
              <w:rPr>
                <w:rFonts w:asciiTheme="minorHAnsi" w:hAnsiTheme="minorHAnsi"/>
                <w:b/>
                <w:bCs/>
                <w:sz w:val="20"/>
                <w:szCs w:val="20"/>
              </w:rPr>
            </w:pPr>
            <w:r w:rsidRPr="00787AB7">
              <w:rPr>
                <w:rFonts w:asciiTheme="minorHAnsi" w:hAnsiTheme="minorHAnsi"/>
                <w:b/>
                <w:sz w:val="20"/>
                <w:szCs w:val="20"/>
              </w:rPr>
              <w:t xml:space="preserve">Metró </w:t>
            </w:r>
          </w:p>
        </w:tc>
        <w:tc>
          <w:tcPr>
            <w:tcW w:w="1020" w:type="dxa"/>
            <w:shd w:val="clear" w:color="auto" w:fill="2528A3"/>
            <w:vAlign w:val="center"/>
          </w:tcPr>
          <w:p w14:paraId="1984CBE5" w14:textId="77777777" w:rsidR="00840FB2" w:rsidRPr="00787AB7" w:rsidRDefault="009A1A77" w:rsidP="00777A66">
            <w:pPr>
              <w:jc w:val="center"/>
              <w:rPr>
                <w:rFonts w:asciiTheme="minorHAnsi" w:hAnsiTheme="minorHAnsi"/>
                <w:b/>
                <w:sz w:val="20"/>
                <w:szCs w:val="20"/>
              </w:rPr>
            </w:pPr>
            <w:r w:rsidRPr="00787AB7">
              <w:rPr>
                <w:rFonts w:asciiTheme="minorHAnsi" w:hAnsiTheme="minorHAnsi"/>
                <w:b/>
                <w:sz w:val="20"/>
                <w:szCs w:val="20"/>
              </w:rPr>
              <w:t>Északi szakasz</w:t>
            </w:r>
          </w:p>
          <w:p w14:paraId="168ED474" w14:textId="77777777" w:rsidR="00840FB2" w:rsidRPr="00787AB7" w:rsidRDefault="009A1A77" w:rsidP="00777A66">
            <w:pPr>
              <w:jc w:val="center"/>
              <w:rPr>
                <w:rFonts w:asciiTheme="minorHAnsi" w:hAnsiTheme="minorHAnsi"/>
                <w:b/>
                <w:bCs/>
                <w:sz w:val="20"/>
                <w:szCs w:val="20"/>
              </w:rPr>
            </w:pPr>
            <w:r w:rsidRPr="00787AB7">
              <w:rPr>
                <w:rFonts w:asciiTheme="minorHAnsi" w:hAnsiTheme="minorHAnsi"/>
                <w:b/>
                <w:sz w:val="20"/>
                <w:szCs w:val="20"/>
              </w:rPr>
              <w:t>Villamos</w:t>
            </w:r>
          </w:p>
        </w:tc>
        <w:tc>
          <w:tcPr>
            <w:tcW w:w="1020" w:type="dxa"/>
            <w:tcBorders>
              <w:right w:val="double" w:sz="4" w:space="0" w:color="auto"/>
            </w:tcBorders>
            <w:shd w:val="clear" w:color="auto" w:fill="2528A3"/>
            <w:vAlign w:val="center"/>
          </w:tcPr>
          <w:p w14:paraId="00792BD4" w14:textId="77777777" w:rsidR="00840FB2" w:rsidRPr="00787AB7" w:rsidRDefault="009A1A77" w:rsidP="00777A66">
            <w:pPr>
              <w:jc w:val="center"/>
              <w:rPr>
                <w:rFonts w:asciiTheme="minorHAnsi" w:hAnsiTheme="minorHAnsi"/>
                <w:b/>
                <w:bCs/>
                <w:sz w:val="20"/>
                <w:szCs w:val="20"/>
              </w:rPr>
            </w:pPr>
            <w:r w:rsidRPr="00787AB7">
              <w:rPr>
                <w:rFonts w:asciiTheme="minorHAnsi" w:hAnsiTheme="minorHAnsi"/>
                <w:b/>
                <w:sz w:val="20"/>
                <w:szCs w:val="20"/>
              </w:rPr>
              <w:t>Északi szakasz Autóbusz</w:t>
            </w:r>
          </w:p>
        </w:tc>
        <w:tc>
          <w:tcPr>
            <w:tcW w:w="1020" w:type="dxa"/>
            <w:tcBorders>
              <w:left w:val="double" w:sz="4" w:space="0" w:color="auto"/>
            </w:tcBorders>
            <w:shd w:val="clear" w:color="auto" w:fill="2528A3"/>
            <w:vAlign w:val="center"/>
          </w:tcPr>
          <w:p w14:paraId="439314A5" w14:textId="77777777" w:rsidR="00840FB2" w:rsidRPr="00787AB7" w:rsidRDefault="009A1A77" w:rsidP="00777A66">
            <w:pPr>
              <w:jc w:val="center"/>
              <w:rPr>
                <w:rFonts w:asciiTheme="minorHAnsi" w:hAnsiTheme="minorHAnsi"/>
                <w:b/>
                <w:sz w:val="20"/>
                <w:szCs w:val="20"/>
              </w:rPr>
            </w:pPr>
            <w:r w:rsidRPr="00787AB7">
              <w:rPr>
                <w:rFonts w:asciiTheme="minorHAnsi" w:hAnsiTheme="minorHAnsi"/>
                <w:b/>
                <w:sz w:val="20"/>
                <w:szCs w:val="20"/>
              </w:rPr>
              <w:t>Déli szakasz</w:t>
            </w:r>
          </w:p>
          <w:p w14:paraId="7C8BD35C" w14:textId="77777777" w:rsidR="00840FB2" w:rsidRPr="00787AB7" w:rsidRDefault="009A1A77" w:rsidP="00777A66">
            <w:pPr>
              <w:jc w:val="center"/>
              <w:rPr>
                <w:rFonts w:asciiTheme="minorHAnsi" w:hAnsiTheme="minorHAnsi"/>
                <w:b/>
                <w:bCs/>
                <w:sz w:val="20"/>
                <w:szCs w:val="20"/>
              </w:rPr>
            </w:pPr>
            <w:r w:rsidRPr="00787AB7">
              <w:rPr>
                <w:rFonts w:asciiTheme="minorHAnsi" w:hAnsiTheme="minorHAnsi"/>
                <w:b/>
                <w:sz w:val="20"/>
                <w:szCs w:val="20"/>
              </w:rPr>
              <w:t>Metró</w:t>
            </w:r>
          </w:p>
        </w:tc>
        <w:tc>
          <w:tcPr>
            <w:tcW w:w="1020" w:type="dxa"/>
            <w:shd w:val="clear" w:color="auto" w:fill="2528A3"/>
            <w:vAlign w:val="center"/>
          </w:tcPr>
          <w:p w14:paraId="1B38586D" w14:textId="77777777" w:rsidR="00840FB2" w:rsidRPr="00787AB7" w:rsidRDefault="009A1A77" w:rsidP="00777A66">
            <w:pPr>
              <w:jc w:val="center"/>
              <w:rPr>
                <w:rFonts w:asciiTheme="minorHAnsi" w:hAnsiTheme="minorHAnsi"/>
                <w:b/>
                <w:bCs/>
                <w:sz w:val="20"/>
                <w:szCs w:val="20"/>
              </w:rPr>
            </w:pPr>
            <w:r w:rsidRPr="00787AB7">
              <w:rPr>
                <w:rFonts w:asciiTheme="minorHAnsi" w:hAnsiTheme="minorHAnsi"/>
                <w:b/>
                <w:sz w:val="20"/>
                <w:szCs w:val="20"/>
              </w:rPr>
              <w:t>Déli szakasz Villamos</w:t>
            </w:r>
          </w:p>
        </w:tc>
        <w:tc>
          <w:tcPr>
            <w:tcW w:w="1020" w:type="dxa"/>
            <w:tcBorders>
              <w:right w:val="double" w:sz="4" w:space="0" w:color="auto"/>
            </w:tcBorders>
            <w:shd w:val="clear" w:color="auto" w:fill="2528A3"/>
            <w:vAlign w:val="center"/>
          </w:tcPr>
          <w:p w14:paraId="5BA50591" w14:textId="77777777" w:rsidR="00840FB2" w:rsidRPr="00787AB7" w:rsidRDefault="009A1A77" w:rsidP="00777A66">
            <w:pPr>
              <w:jc w:val="center"/>
              <w:rPr>
                <w:rFonts w:asciiTheme="minorHAnsi" w:hAnsiTheme="minorHAnsi"/>
                <w:b/>
                <w:bCs/>
                <w:sz w:val="20"/>
                <w:szCs w:val="20"/>
              </w:rPr>
            </w:pPr>
            <w:r w:rsidRPr="00787AB7">
              <w:rPr>
                <w:rFonts w:asciiTheme="minorHAnsi" w:hAnsiTheme="minorHAnsi"/>
                <w:b/>
                <w:sz w:val="20"/>
                <w:szCs w:val="20"/>
              </w:rPr>
              <w:t>Déli szakasz Autóbusz</w:t>
            </w:r>
          </w:p>
        </w:tc>
        <w:tc>
          <w:tcPr>
            <w:tcW w:w="1020" w:type="dxa"/>
            <w:tcBorders>
              <w:left w:val="double" w:sz="4" w:space="0" w:color="auto"/>
            </w:tcBorders>
            <w:shd w:val="clear" w:color="auto" w:fill="2528A3"/>
            <w:vAlign w:val="center"/>
          </w:tcPr>
          <w:p w14:paraId="64D37FD0" w14:textId="77777777" w:rsidR="00840FB2" w:rsidRPr="00787AB7" w:rsidRDefault="009A1A77" w:rsidP="00777A66">
            <w:pPr>
              <w:jc w:val="center"/>
              <w:rPr>
                <w:rFonts w:asciiTheme="minorHAnsi" w:hAnsiTheme="minorHAnsi"/>
                <w:b/>
                <w:bCs/>
                <w:sz w:val="20"/>
                <w:szCs w:val="20"/>
              </w:rPr>
            </w:pPr>
            <w:r w:rsidRPr="00787AB7">
              <w:rPr>
                <w:rFonts w:asciiTheme="minorHAnsi" w:hAnsiTheme="minorHAnsi"/>
                <w:b/>
                <w:sz w:val="20"/>
                <w:szCs w:val="20"/>
              </w:rPr>
              <w:t>Összesen</w:t>
            </w:r>
          </w:p>
        </w:tc>
      </w:tr>
      <w:tr w:rsidR="00815EC0" w:rsidRPr="00DB242D" w14:paraId="30C1AD06" w14:textId="77777777" w:rsidTr="00787AB7">
        <w:trPr>
          <w:trHeight w:val="360"/>
          <w:jc w:val="center"/>
        </w:trPr>
        <w:tc>
          <w:tcPr>
            <w:tcW w:w="2091" w:type="dxa"/>
            <w:tcBorders>
              <w:right w:val="double" w:sz="4" w:space="0" w:color="auto"/>
            </w:tcBorders>
            <w:vAlign w:val="center"/>
          </w:tcPr>
          <w:p w14:paraId="15C8E524" w14:textId="77777777" w:rsidR="00815EC0" w:rsidRPr="00787AB7" w:rsidRDefault="009A1A77" w:rsidP="00777A66">
            <w:pPr>
              <w:rPr>
                <w:rFonts w:asciiTheme="minorHAnsi" w:hAnsiTheme="minorHAnsi"/>
                <w:b/>
                <w:bCs/>
                <w:sz w:val="18"/>
                <w:szCs w:val="18"/>
              </w:rPr>
            </w:pPr>
            <w:r w:rsidRPr="00787AB7">
              <w:rPr>
                <w:rFonts w:asciiTheme="minorHAnsi" w:hAnsiTheme="minorHAnsi"/>
                <w:sz w:val="18"/>
                <w:szCs w:val="18"/>
              </w:rPr>
              <w:t>Anyagjellegű ráfordítások (energiaköltséggel)</w:t>
            </w:r>
          </w:p>
        </w:tc>
        <w:tc>
          <w:tcPr>
            <w:tcW w:w="1020" w:type="dxa"/>
            <w:tcBorders>
              <w:left w:val="double" w:sz="4" w:space="0" w:color="auto"/>
            </w:tcBorders>
            <w:vAlign w:val="center"/>
          </w:tcPr>
          <w:p w14:paraId="570B4E59" w14:textId="0C1CD2A8"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093</w:t>
            </w:r>
          </w:p>
        </w:tc>
        <w:tc>
          <w:tcPr>
            <w:tcW w:w="1020" w:type="dxa"/>
            <w:vAlign w:val="center"/>
          </w:tcPr>
          <w:p w14:paraId="67C995FB" w14:textId="10B3590C"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189</w:t>
            </w:r>
          </w:p>
        </w:tc>
        <w:tc>
          <w:tcPr>
            <w:tcW w:w="1020" w:type="dxa"/>
            <w:tcBorders>
              <w:right w:val="double" w:sz="4" w:space="0" w:color="auto"/>
            </w:tcBorders>
            <w:shd w:val="clear" w:color="auto" w:fill="auto"/>
            <w:vAlign w:val="center"/>
          </w:tcPr>
          <w:p w14:paraId="3B8B9C5E" w14:textId="01DC9269"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2</w:t>
            </w:r>
            <w:r w:rsidR="00815EC0">
              <w:rPr>
                <w:rFonts w:asciiTheme="minorHAnsi" w:hAnsiTheme="minorHAnsi" w:cs="Arial"/>
                <w:sz w:val="18"/>
                <w:szCs w:val="18"/>
              </w:rPr>
              <w:t xml:space="preserve"> </w:t>
            </w:r>
            <w:r w:rsidRPr="00787AB7">
              <w:rPr>
                <w:rFonts w:asciiTheme="minorHAnsi" w:hAnsiTheme="minorHAnsi" w:cs="Arial"/>
                <w:sz w:val="18"/>
                <w:szCs w:val="18"/>
              </w:rPr>
              <w:t>523</w:t>
            </w:r>
          </w:p>
        </w:tc>
        <w:tc>
          <w:tcPr>
            <w:tcW w:w="1020" w:type="dxa"/>
            <w:tcBorders>
              <w:left w:val="double" w:sz="4" w:space="0" w:color="auto"/>
            </w:tcBorders>
            <w:shd w:val="clear" w:color="auto" w:fill="auto"/>
            <w:vAlign w:val="center"/>
          </w:tcPr>
          <w:p w14:paraId="75FAA859" w14:textId="05E97E32"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-185</w:t>
            </w:r>
          </w:p>
        </w:tc>
        <w:tc>
          <w:tcPr>
            <w:tcW w:w="1020" w:type="dxa"/>
            <w:vAlign w:val="center"/>
          </w:tcPr>
          <w:p w14:paraId="2C19553F" w14:textId="7857C00A"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36</w:t>
            </w:r>
          </w:p>
        </w:tc>
        <w:tc>
          <w:tcPr>
            <w:tcW w:w="1020" w:type="dxa"/>
            <w:tcBorders>
              <w:right w:val="double" w:sz="4" w:space="0" w:color="auto"/>
            </w:tcBorders>
            <w:vAlign w:val="center"/>
          </w:tcPr>
          <w:p w14:paraId="62E80F8D" w14:textId="0CE477E2"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523</w:t>
            </w:r>
          </w:p>
        </w:tc>
        <w:tc>
          <w:tcPr>
            <w:tcW w:w="1020" w:type="dxa"/>
            <w:tcBorders>
              <w:left w:val="double" w:sz="4" w:space="0" w:color="auto"/>
            </w:tcBorders>
            <w:vAlign w:val="center"/>
          </w:tcPr>
          <w:p w14:paraId="7BA980DE" w14:textId="78B91C78"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993</w:t>
            </w:r>
          </w:p>
        </w:tc>
      </w:tr>
      <w:tr w:rsidR="00815EC0" w:rsidRPr="00DB242D" w14:paraId="4711787A" w14:textId="77777777" w:rsidTr="00787AB7">
        <w:trPr>
          <w:trHeight w:val="360"/>
          <w:jc w:val="center"/>
        </w:trPr>
        <w:tc>
          <w:tcPr>
            <w:tcW w:w="2091" w:type="dxa"/>
            <w:tcBorders>
              <w:right w:val="double" w:sz="4" w:space="0" w:color="auto"/>
            </w:tcBorders>
            <w:vAlign w:val="center"/>
          </w:tcPr>
          <w:p w14:paraId="11179A12" w14:textId="77777777" w:rsidR="00815EC0" w:rsidRPr="00787AB7" w:rsidRDefault="009A1A77" w:rsidP="00777A66">
            <w:pPr>
              <w:rPr>
                <w:rFonts w:asciiTheme="minorHAnsi" w:hAnsiTheme="minorHAnsi"/>
                <w:b/>
                <w:bCs/>
                <w:sz w:val="18"/>
                <w:szCs w:val="18"/>
              </w:rPr>
            </w:pPr>
            <w:r w:rsidRPr="00787AB7">
              <w:rPr>
                <w:rFonts w:asciiTheme="minorHAnsi" w:hAnsiTheme="minorHAnsi"/>
                <w:sz w:val="18"/>
                <w:szCs w:val="18"/>
              </w:rPr>
              <w:t xml:space="preserve">Személyi jellegű ráfordítások </w:t>
            </w:r>
          </w:p>
        </w:tc>
        <w:tc>
          <w:tcPr>
            <w:tcW w:w="1020" w:type="dxa"/>
            <w:tcBorders>
              <w:left w:val="double" w:sz="4" w:space="0" w:color="auto"/>
            </w:tcBorders>
            <w:vAlign w:val="center"/>
          </w:tcPr>
          <w:p w14:paraId="517E64AD" w14:textId="64D158F1"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-349</w:t>
            </w:r>
          </w:p>
        </w:tc>
        <w:tc>
          <w:tcPr>
            <w:tcW w:w="1020" w:type="dxa"/>
            <w:vAlign w:val="center"/>
          </w:tcPr>
          <w:p w14:paraId="78E92D44" w14:textId="22103C88"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165</w:t>
            </w:r>
          </w:p>
        </w:tc>
        <w:tc>
          <w:tcPr>
            <w:tcW w:w="1020" w:type="dxa"/>
            <w:tcBorders>
              <w:right w:val="double" w:sz="4" w:space="0" w:color="auto"/>
            </w:tcBorders>
            <w:shd w:val="clear" w:color="auto" w:fill="auto"/>
            <w:vAlign w:val="center"/>
          </w:tcPr>
          <w:p w14:paraId="247A838A" w14:textId="623561BB"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986</w:t>
            </w:r>
          </w:p>
        </w:tc>
        <w:tc>
          <w:tcPr>
            <w:tcW w:w="1020" w:type="dxa"/>
            <w:tcBorders>
              <w:left w:val="double" w:sz="4" w:space="0" w:color="auto"/>
            </w:tcBorders>
            <w:shd w:val="clear" w:color="auto" w:fill="auto"/>
            <w:vAlign w:val="center"/>
          </w:tcPr>
          <w:p w14:paraId="0B150619" w14:textId="34F33965"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-99</w:t>
            </w:r>
          </w:p>
        </w:tc>
        <w:tc>
          <w:tcPr>
            <w:tcW w:w="1020" w:type="dxa"/>
            <w:vAlign w:val="center"/>
          </w:tcPr>
          <w:p w14:paraId="4097B311" w14:textId="47C05491"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32</w:t>
            </w:r>
          </w:p>
        </w:tc>
        <w:tc>
          <w:tcPr>
            <w:tcW w:w="1020" w:type="dxa"/>
            <w:tcBorders>
              <w:right w:val="double" w:sz="4" w:space="0" w:color="auto"/>
            </w:tcBorders>
            <w:vAlign w:val="center"/>
          </w:tcPr>
          <w:p w14:paraId="16BD5FAE" w14:textId="1B26B52D" w:rsidR="00815EC0" w:rsidRPr="00787AB7" w:rsidRDefault="009A1A77">
            <w:pPr>
              <w:jc w:val="right"/>
              <w:rPr>
                <w:rFonts w:asciiTheme="minorHAnsi" w:hAnsiTheme="minorHAnsi" w:cs="Arial"/>
                <w:sz w:val="18"/>
                <w:szCs w:val="18"/>
              </w:rPr>
            </w:pPr>
            <w:r w:rsidRPr="00787AB7">
              <w:rPr>
                <w:rFonts w:asciiTheme="minorHAnsi" w:hAnsiTheme="minorHAnsi" w:cs="Arial"/>
                <w:sz w:val="18"/>
                <w:szCs w:val="18"/>
              </w:rPr>
              <w:t>545</w:t>
            </w:r>
          </w:p>
        </w:tc>
        <w:tc>
          <w:tcPr>
            <w:tcW w:w="1020" w:type="dxa"/>
            <w:tcBorders>
              <w:left w:val="double" w:sz="4" w:space="0" w:color="auto"/>
            </w:tcBorders>
            <w:vAlign w:val="center"/>
          </w:tcPr>
          <w:p w14:paraId="7A0C5B24" w14:textId="4612C2C9"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2</w:t>
            </w:r>
            <w:r w:rsidR="00815EC0">
              <w:rPr>
                <w:rFonts w:asciiTheme="minorHAnsi" w:hAnsiTheme="minorHAnsi" w:cs="Arial"/>
                <w:sz w:val="18"/>
                <w:szCs w:val="18"/>
              </w:rPr>
              <w:t xml:space="preserve"> </w:t>
            </w:r>
            <w:r w:rsidRPr="00787AB7">
              <w:rPr>
                <w:rFonts w:asciiTheme="minorHAnsi" w:hAnsiTheme="minorHAnsi" w:cs="Arial"/>
                <w:sz w:val="18"/>
                <w:szCs w:val="18"/>
              </w:rPr>
              <w:t>280</w:t>
            </w:r>
          </w:p>
        </w:tc>
      </w:tr>
      <w:tr w:rsidR="00815EC0" w:rsidRPr="00DB242D" w14:paraId="6C387C40" w14:textId="77777777" w:rsidTr="00787AB7">
        <w:trPr>
          <w:trHeight w:val="454"/>
          <w:jc w:val="center"/>
        </w:trPr>
        <w:tc>
          <w:tcPr>
            <w:tcW w:w="2091" w:type="dxa"/>
            <w:tcBorders>
              <w:right w:val="double" w:sz="4" w:space="0" w:color="auto"/>
            </w:tcBorders>
            <w:vAlign w:val="center"/>
          </w:tcPr>
          <w:p w14:paraId="0447B8AA" w14:textId="77777777" w:rsidR="00815EC0" w:rsidRPr="00787AB7" w:rsidRDefault="009A1A77" w:rsidP="00777A66">
            <w:pPr>
              <w:rPr>
                <w:rFonts w:asciiTheme="minorHAnsi" w:hAnsiTheme="minorHAnsi"/>
                <w:b/>
                <w:bCs/>
                <w:sz w:val="18"/>
                <w:szCs w:val="18"/>
              </w:rPr>
            </w:pPr>
            <w:r w:rsidRPr="00787AB7">
              <w:rPr>
                <w:rFonts w:asciiTheme="minorHAnsi" w:hAnsiTheme="minorHAnsi"/>
                <w:b/>
                <w:sz w:val="18"/>
                <w:szCs w:val="18"/>
              </w:rPr>
              <w:t>Összesen</w:t>
            </w:r>
          </w:p>
        </w:tc>
        <w:tc>
          <w:tcPr>
            <w:tcW w:w="1020" w:type="dxa"/>
            <w:tcBorders>
              <w:left w:val="double" w:sz="4" w:space="0" w:color="auto"/>
            </w:tcBorders>
            <w:vAlign w:val="center"/>
          </w:tcPr>
          <w:p w14:paraId="4E840B27" w14:textId="45FACF1E"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442</w:t>
            </w:r>
          </w:p>
        </w:tc>
        <w:tc>
          <w:tcPr>
            <w:tcW w:w="1020" w:type="dxa"/>
            <w:vAlign w:val="center"/>
          </w:tcPr>
          <w:p w14:paraId="3AACB641" w14:textId="109EEAD6"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354</w:t>
            </w:r>
          </w:p>
        </w:tc>
        <w:tc>
          <w:tcPr>
            <w:tcW w:w="1020" w:type="dxa"/>
            <w:tcBorders>
              <w:right w:val="double" w:sz="4" w:space="0" w:color="auto"/>
            </w:tcBorders>
            <w:shd w:val="clear" w:color="auto" w:fill="auto"/>
            <w:vAlign w:val="center"/>
          </w:tcPr>
          <w:p w14:paraId="0ED8A259" w14:textId="16607289"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4</w:t>
            </w:r>
            <w:r w:rsidR="00815EC0">
              <w:rPr>
                <w:rFonts w:asciiTheme="minorHAnsi" w:hAnsiTheme="minorHAnsi" w:cs="Arial"/>
                <w:sz w:val="18"/>
                <w:szCs w:val="18"/>
              </w:rPr>
              <w:t xml:space="preserve"> </w:t>
            </w:r>
            <w:r w:rsidRPr="00787AB7">
              <w:rPr>
                <w:rFonts w:asciiTheme="minorHAnsi" w:hAnsiTheme="minorHAnsi" w:cs="Arial"/>
                <w:sz w:val="18"/>
                <w:szCs w:val="18"/>
              </w:rPr>
              <w:t>509</w:t>
            </w:r>
          </w:p>
        </w:tc>
        <w:tc>
          <w:tcPr>
            <w:tcW w:w="1020" w:type="dxa"/>
            <w:tcBorders>
              <w:left w:val="double" w:sz="4" w:space="0" w:color="auto"/>
            </w:tcBorders>
            <w:shd w:val="clear" w:color="auto" w:fill="auto"/>
            <w:vAlign w:val="center"/>
          </w:tcPr>
          <w:p w14:paraId="27D8F5CB" w14:textId="0D16A39A"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-284</w:t>
            </w:r>
          </w:p>
        </w:tc>
        <w:tc>
          <w:tcPr>
            <w:tcW w:w="1020" w:type="dxa"/>
            <w:vAlign w:val="center"/>
          </w:tcPr>
          <w:p w14:paraId="495A2ED5" w14:textId="2715C95F"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68</w:t>
            </w:r>
          </w:p>
        </w:tc>
        <w:tc>
          <w:tcPr>
            <w:tcW w:w="1020" w:type="dxa"/>
            <w:tcBorders>
              <w:right w:val="double" w:sz="4" w:space="0" w:color="auto"/>
            </w:tcBorders>
            <w:vAlign w:val="center"/>
          </w:tcPr>
          <w:p w14:paraId="23C3832A" w14:textId="33B57463"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1</w:t>
            </w:r>
            <w:r w:rsidR="00815EC0">
              <w:rPr>
                <w:rFonts w:asciiTheme="minorHAnsi" w:hAnsiTheme="minorHAnsi" w:cs="Arial"/>
                <w:sz w:val="18"/>
                <w:szCs w:val="18"/>
              </w:rPr>
              <w:t xml:space="preserve"> </w:t>
            </w:r>
            <w:r w:rsidRPr="00787AB7">
              <w:rPr>
                <w:rFonts w:asciiTheme="minorHAnsi" w:hAnsiTheme="minorHAnsi" w:cs="Arial"/>
                <w:sz w:val="18"/>
                <w:szCs w:val="18"/>
              </w:rPr>
              <w:t>068</w:t>
            </w:r>
          </w:p>
        </w:tc>
        <w:tc>
          <w:tcPr>
            <w:tcW w:w="1020" w:type="dxa"/>
            <w:tcBorders>
              <w:left w:val="double" w:sz="4" w:space="0" w:color="auto"/>
            </w:tcBorders>
            <w:vAlign w:val="center"/>
          </w:tcPr>
          <w:p w14:paraId="1E8B974F" w14:textId="2CF15044" w:rsidR="00815EC0" w:rsidRPr="00787AB7" w:rsidRDefault="009A1A77">
            <w:pPr>
              <w:jc w:val="right"/>
              <w:rPr>
                <w:rFonts w:asciiTheme="minorHAnsi" w:hAnsiTheme="minorHAnsi" w:cs="Arial"/>
                <w:b/>
                <w:sz w:val="18"/>
                <w:szCs w:val="18"/>
              </w:rPr>
            </w:pPr>
            <w:r w:rsidRPr="00787AB7">
              <w:rPr>
                <w:rFonts w:asciiTheme="minorHAnsi" w:hAnsiTheme="minorHAnsi" w:cs="Arial"/>
                <w:sz w:val="18"/>
                <w:szCs w:val="18"/>
              </w:rPr>
              <w:t>4</w:t>
            </w:r>
            <w:r w:rsidR="00815EC0">
              <w:rPr>
                <w:rFonts w:asciiTheme="minorHAnsi" w:hAnsiTheme="minorHAnsi" w:cs="Arial"/>
                <w:sz w:val="18"/>
                <w:szCs w:val="18"/>
              </w:rPr>
              <w:t xml:space="preserve"> </w:t>
            </w:r>
            <w:r w:rsidRPr="00787AB7">
              <w:rPr>
                <w:rFonts w:asciiTheme="minorHAnsi" w:hAnsiTheme="minorHAnsi" w:cs="Arial"/>
                <w:sz w:val="18"/>
                <w:szCs w:val="18"/>
              </w:rPr>
              <w:t>273</w:t>
            </w:r>
          </w:p>
        </w:tc>
      </w:tr>
    </w:tbl>
    <w:p w14:paraId="4E039930" w14:textId="77777777" w:rsidR="00840FB2" w:rsidRPr="00787AB7" w:rsidRDefault="00840FB2" w:rsidP="003304F7">
      <w:pPr>
        <w:jc w:val="both"/>
        <w:rPr>
          <w:rFonts w:asciiTheme="minorHAnsi" w:eastAsia="Calibri" w:hAnsiTheme="minorHAnsi"/>
        </w:rPr>
      </w:pPr>
    </w:p>
    <w:p w14:paraId="7B189CAD" w14:textId="77777777" w:rsidR="00840FB2" w:rsidRPr="00787AB7" w:rsidRDefault="009A1A77" w:rsidP="00840FB2">
      <w:pPr>
        <w:jc w:val="both"/>
        <w:rPr>
          <w:rFonts w:asciiTheme="minorHAnsi" w:eastAsia="Calibri" w:hAnsiTheme="minorHAnsi"/>
        </w:rPr>
      </w:pPr>
      <w:r w:rsidRPr="00787AB7">
        <w:rPr>
          <w:rFonts w:asciiTheme="minorHAnsi" w:eastAsia="Calibri" w:hAnsiTheme="minorHAnsi"/>
        </w:rPr>
        <w:t>A fent kimutatott ráfordításokon felül az Üzleti Terv tartalmazza a várhatóan jelentkező ingatlan-, és reklámfelületi bérleti díjak csökkenését, amelyet a metróvonal részleges lezárása okoz.</w:t>
      </w:r>
    </w:p>
    <w:p w14:paraId="7A3F9BAB" w14:textId="77777777" w:rsidR="00D458F8" w:rsidRPr="00787AB7" w:rsidRDefault="00D458F8" w:rsidP="003304F7">
      <w:pPr>
        <w:jc w:val="both"/>
        <w:rPr>
          <w:rFonts w:asciiTheme="minorHAnsi" w:eastAsia="Calibri" w:hAnsiTheme="minorHAnsi"/>
        </w:rPr>
      </w:pPr>
    </w:p>
    <w:p w14:paraId="7543F504" w14:textId="77777777" w:rsidR="001E053E" w:rsidRPr="00787AB7" w:rsidRDefault="001E053E" w:rsidP="003304F7">
      <w:pPr>
        <w:jc w:val="both"/>
        <w:rPr>
          <w:rFonts w:asciiTheme="minorHAnsi" w:eastAsia="Calibri" w:hAnsiTheme="minorHAnsi"/>
        </w:rPr>
      </w:pPr>
    </w:p>
    <w:p w14:paraId="4B1B8B12" w14:textId="77777777" w:rsidR="003304F7" w:rsidRPr="00787AB7" w:rsidRDefault="009A1A77" w:rsidP="003304F7">
      <w:pPr>
        <w:pStyle w:val="Cmsor3"/>
        <w:tabs>
          <w:tab w:val="clear" w:pos="2007"/>
        </w:tabs>
        <w:ind w:left="0" w:firstLine="0"/>
        <w:rPr>
          <w:rFonts w:asciiTheme="minorHAnsi" w:hAnsiTheme="minorHAnsi"/>
        </w:rPr>
      </w:pPr>
      <w:bookmarkStart w:id="35" w:name="_Toc443317903"/>
      <w:bookmarkStart w:id="36" w:name="_Toc465246371"/>
      <w:bookmarkStart w:id="37" w:name="_Toc512409616"/>
      <w:r w:rsidRPr="00787AB7">
        <w:rPr>
          <w:rFonts w:asciiTheme="minorHAnsi" w:hAnsiTheme="minorHAnsi"/>
        </w:rPr>
        <w:t>- Metró Felújítási Projekt Igazgatóság</w:t>
      </w:r>
      <w:bookmarkEnd w:id="35"/>
      <w:bookmarkEnd w:id="36"/>
      <w:bookmarkEnd w:id="37"/>
    </w:p>
    <w:p w14:paraId="7AB30BAD" w14:textId="77777777" w:rsidR="003304F7" w:rsidRPr="00787AB7" w:rsidRDefault="003304F7" w:rsidP="003304F7">
      <w:pPr>
        <w:jc w:val="both"/>
        <w:rPr>
          <w:rFonts w:asciiTheme="minorHAnsi" w:hAnsiTheme="minorHAnsi"/>
        </w:rPr>
      </w:pPr>
    </w:p>
    <w:p w14:paraId="41D3D965"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A Metró Felújítási Projekt Igazgatóság a BKV Zrt. önálló szervezeti egysége, projekt igazgatósága, feladatai nem tartoznak a BKV Zrt. közszolgáltatási illetve alaptevékenységei közé. A Metró Felújítási Projekt Igazgatóság (a továbbiakban: Projekt Igazgatóság) szervezetére, annak a BKV Zrt. egyéb szerveivel tartott kapcsolataira, munkaerő-állományára és vezetőjére, rendszeres és eseti működési és felhalmozási jellegű kiadásaira a BKV Zrt. belső rendelkezéseit az M3 Projekt megvalósítására vonatkozó egyéb megállapodásban foglalt eltérésekkel kiegészítve, illetve módosítva kell alkalmazni.</w:t>
      </w:r>
    </w:p>
    <w:p w14:paraId="7747C0BE"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 xml:space="preserve">A Projekt Igazgatóság kizárólagos feladata a 3-as metró rekonstrukciójára alapított projekt menedzselése, a beruházások megszervezése, lebonyolítása és irányítása, mely az M3 metróvonal utasforgalmi próbaüzemének végéig és az elszámolások lezárásáig tart. </w:t>
      </w:r>
    </w:p>
    <w:p w14:paraId="16BA3D0D"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A menedzsment költség kizárólag a Projekt Igazgatóság működtetésére használható fel, amely felett a projektigazgató jogosult rendelkezni.</w:t>
      </w:r>
    </w:p>
    <w:p w14:paraId="01C4D14D"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A költségek a 2016. május 5-én megkötött Támogatási szerződés alapján kerülnek elszámolásra, a szerződés előírásainak, a Pályázati Kiírás és az Elszámolható Költségek Útmutatója szerint. Az elszámolhatóság érdekében a Kormánynak a 2014-2020 programozási időszakban az egyes európai uniós alapokból származó támogatások felhasználásának rendjéről szóló 272/2014. (XI.5.) rendeletében foglalt rendelkezései irányadók.</w:t>
      </w:r>
    </w:p>
    <w:p w14:paraId="769E2593" w14:textId="77777777" w:rsidR="00584323" w:rsidRPr="00787AB7" w:rsidRDefault="00584323" w:rsidP="00584323">
      <w:pPr>
        <w:jc w:val="both"/>
      </w:pPr>
    </w:p>
    <w:p w14:paraId="2C1477DC" w14:textId="40A1197E" w:rsidR="00584323" w:rsidRPr="00787AB7" w:rsidRDefault="009A1A77" w:rsidP="00584323">
      <w:pPr>
        <w:jc w:val="both"/>
        <w:rPr>
          <w:rFonts w:asciiTheme="minorHAnsi" w:eastAsia="Calibri" w:hAnsiTheme="minorHAnsi"/>
        </w:rPr>
      </w:pPr>
      <w:r w:rsidRPr="00787AB7">
        <w:rPr>
          <w:rFonts w:asciiTheme="minorHAnsi" w:eastAsia="Calibri" w:hAnsiTheme="minorHAnsi"/>
        </w:rPr>
        <w:lastRenderedPageBreak/>
        <w:t>A Projekt Igazgatóság 2018. évi működési költsége tervezetten 59</w:t>
      </w:r>
      <w:r w:rsidR="004566CA">
        <w:rPr>
          <w:rFonts w:asciiTheme="minorHAnsi" w:eastAsia="Calibri" w:hAnsiTheme="minorHAnsi"/>
        </w:rPr>
        <w:t>5</w:t>
      </w:r>
      <w:r w:rsidRPr="00787AB7">
        <w:rPr>
          <w:rFonts w:asciiTheme="minorHAnsi" w:eastAsia="Calibri" w:hAnsiTheme="minorHAnsi"/>
        </w:rPr>
        <w:t xml:space="preserve"> millió Ft, az éves feladatok elvégzéséhez szükséges fedezetet az IKOP-3.1.0-15-2015-00001 azonosító számú támogatási szerződés biztosítja.</w:t>
      </w:r>
    </w:p>
    <w:p w14:paraId="2846FC47" w14:textId="77777777" w:rsidR="00584323" w:rsidRPr="00787AB7" w:rsidRDefault="00584323" w:rsidP="00584323">
      <w:pPr>
        <w:jc w:val="both"/>
        <w:rPr>
          <w:rFonts w:asciiTheme="minorHAnsi" w:eastAsia="Calibri" w:hAnsiTheme="minorHAnsi"/>
        </w:rPr>
      </w:pPr>
    </w:p>
    <w:p w14:paraId="464902F7"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A Projekt Igazgatóság működési költségeit az alábbi táblázat mutatja (millió Ft-ban):</w:t>
      </w:r>
    </w:p>
    <w:p w14:paraId="7A038908" w14:textId="77777777" w:rsidR="00584323" w:rsidRPr="00787AB7" w:rsidRDefault="00584323" w:rsidP="00584323">
      <w:pPr>
        <w:jc w:val="both"/>
        <w:rPr>
          <w:rFonts w:asciiTheme="minorHAnsi" w:hAnsi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2146"/>
      </w:tblGrid>
      <w:tr w:rsidR="00204E19" w:rsidRPr="00204E19" w14:paraId="4C2A7A31" w14:textId="77777777" w:rsidTr="009C6A71">
        <w:trPr>
          <w:trHeight w:val="742"/>
          <w:jc w:val="center"/>
        </w:trPr>
        <w:tc>
          <w:tcPr>
            <w:tcW w:w="4726" w:type="dxa"/>
            <w:shd w:val="clear" w:color="auto" w:fill="2528A3"/>
            <w:vAlign w:val="center"/>
          </w:tcPr>
          <w:p w14:paraId="74ACE6CC" w14:textId="77777777" w:rsidR="00584323" w:rsidRPr="00787AB7" w:rsidRDefault="009A1A77" w:rsidP="009C6A71">
            <w:pPr>
              <w:jc w:val="center"/>
              <w:rPr>
                <w:rFonts w:asciiTheme="minorHAnsi" w:hAnsiTheme="minorHAnsi"/>
                <w:b/>
                <w:sz w:val="20"/>
                <w:szCs w:val="20"/>
              </w:rPr>
            </w:pPr>
            <w:r w:rsidRPr="00787AB7">
              <w:rPr>
                <w:rFonts w:asciiTheme="minorHAnsi" w:hAnsiTheme="minorHAnsi"/>
                <w:b/>
                <w:sz w:val="20"/>
                <w:szCs w:val="20"/>
              </w:rPr>
              <w:t>Megnevezés</w:t>
            </w:r>
          </w:p>
        </w:tc>
        <w:tc>
          <w:tcPr>
            <w:tcW w:w="2146" w:type="dxa"/>
            <w:shd w:val="clear" w:color="auto" w:fill="2528A3"/>
            <w:vAlign w:val="center"/>
          </w:tcPr>
          <w:p w14:paraId="281F19B8" w14:textId="77777777" w:rsidR="00584323" w:rsidRPr="00787AB7" w:rsidRDefault="009A1A77" w:rsidP="009C6A71">
            <w:pPr>
              <w:jc w:val="center"/>
              <w:rPr>
                <w:rFonts w:asciiTheme="minorHAnsi" w:eastAsia="Calibri" w:hAnsiTheme="minorHAnsi"/>
                <w:b/>
                <w:sz w:val="20"/>
                <w:szCs w:val="20"/>
              </w:rPr>
            </w:pPr>
            <w:r w:rsidRPr="00787AB7">
              <w:rPr>
                <w:rFonts w:asciiTheme="minorHAnsi" w:eastAsia="Calibri" w:hAnsiTheme="minorHAnsi"/>
                <w:b/>
                <w:sz w:val="20"/>
                <w:szCs w:val="20"/>
              </w:rPr>
              <w:t>2018. évi terv</w:t>
            </w:r>
          </w:p>
        </w:tc>
      </w:tr>
      <w:tr w:rsidR="00204E19" w:rsidRPr="00204E19" w14:paraId="55C027BE" w14:textId="77777777" w:rsidTr="00B019AA">
        <w:trPr>
          <w:trHeight w:val="360"/>
          <w:jc w:val="center"/>
        </w:trPr>
        <w:tc>
          <w:tcPr>
            <w:tcW w:w="4726" w:type="dxa"/>
            <w:vAlign w:val="center"/>
          </w:tcPr>
          <w:p w14:paraId="149E752E" w14:textId="77777777" w:rsidR="00584323" w:rsidRPr="00787AB7" w:rsidRDefault="009A1A77" w:rsidP="00B019AA">
            <w:pPr>
              <w:rPr>
                <w:rFonts w:asciiTheme="minorHAnsi" w:hAnsiTheme="minorHAnsi"/>
                <w:b/>
                <w:sz w:val="18"/>
                <w:szCs w:val="18"/>
              </w:rPr>
            </w:pPr>
            <w:r w:rsidRPr="00787AB7">
              <w:rPr>
                <w:rFonts w:asciiTheme="minorHAnsi" w:hAnsiTheme="minorHAnsi"/>
                <w:sz w:val="18"/>
                <w:szCs w:val="18"/>
              </w:rPr>
              <w:t>Anyagköltségek</w:t>
            </w:r>
          </w:p>
        </w:tc>
        <w:tc>
          <w:tcPr>
            <w:tcW w:w="2146" w:type="dxa"/>
            <w:vAlign w:val="center"/>
          </w:tcPr>
          <w:p w14:paraId="1E023536" w14:textId="7F5BD9FA" w:rsidR="00584323" w:rsidRPr="00787AB7" w:rsidRDefault="004566CA" w:rsidP="00B42817">
            <w:pPr>
              <w:ind w:right="113"/>
              <w:jc w:val="right"/>
              <w:rPr>
                <w:rFonts w:asciiTheme="minorHAnsi" w:eastAsia="Calibri" w:hAnsiTheme="minorHAnsi"/>
                <w:sz w:val="18"/>
                <w:szCs w:val="18"/>
              </w:rPr>
            </w:pPr>
            <w:r>
              <w:rPr>
                <w:rFonts w:asciiTheme="minorHAnsi" w:eastAsia="Calibri" w:hAnsiTheme="minorHAnsi"/>
                <w:sz w:val="18"/>
                <w:szCs w:val="18"/>
              </w:rPr>
              <w:t>5</w:t>
            </w:r>
          </w:p>
        </w:tc>
      </w:tr>
      <w:tr w:rsidR="00204E19" w:rsidRPr="00204E19" w14:paraId="6527D2E3" w14:textId="77777777" w:rsidTr="00B019AA">
        <w:trPr>
          <w:trHeight w:val="360"/>
          <w:jc w:val="center"/>
        </w:trPr>
        <w:tc>
          <w:tcPr>
            <w:tcW w:w="4726" w:type="dxa"/>
            <w:vAlign w:val="center"/>
          </w:tcPr>
          <w:p w14:paraId="47C176AB" w14:textId="77777777" w:rsidR="00584323" w:rsidRPr="00787AB7" w:rsidRDefault="009A1A77" w:rsidP="00B019AA">
            <w:pPr>
              <w:rPr>
                <w:rFonts w:asciiTheme="minorHAnsi" w:hAnsiTheme="minorHAnsi"/>
                <w:b/>
                <w:sz w:val="18"/>
                <w:szCs w:val="18"/>
              </w:rPr>
            </w:pPr>
            <w:r w:rsidRPr="00787AB7">
              <w:rPr>
                <w:rFonts w:asciiTheme="minorHAnsi" w:hAnsiTheme="minorHAnsi"/>
                <w:sz w:val="18"/>
                <w:szCs w:val="18"/>
              </w:rPr>
              <w:t>Igénybe vett szolgáltatások</w:t>
            </w:r>
          </w:p>
        </w:tc>
        <w:tc>
          <w:tcPr>
            <w:tcW w:w="2146" w:type="dxa"/>
            <w:vAlign w:val="center"/>
          </w:tcPr>
          <w:p w14:paraId="63F2655F" w14:textId="01C6388C" w:rsidR="00584323" w:rsidRPr="00787AB7" w:rsidRDefault="009A1A77">
            <w:pPr>
              <w:ind w:right="113"/>
              <w:jc w:val="right"/>
              <w:rPr>
                <w:rFonts w:asciiTheme="minorHAnsi" w:eastAsia="Calibri" w:hAnsiTheme="minorHAnsi"/>
                <w:sz w:val="18"/>
                <w:szCs w:val="18"/>
              </w:rPr>
            </w:pPr>
            <w:r w:rsidRPr="00787AB7">
              <w:rPr>
                <w:rFonts w:asciiTheme="minorHAnsi" w:eastAsia="Calibri" w:hAnsiTheme="minorHAnsi"/>
                <w:sz w:val="18"/>
                <w:szCs w:val="18"/>
              </w:rPr>
              <w:t>6</w:t>
            </w:r>
            <w:r w:rsidR="004566CA">
              <w:rPr>
                <w:rFonts w:asciiTheme="minorHAnsi" w:eastAsia="Calibri" w:hAnsiTheme="minorHAnsi"/>
                <w:sz w:val="18"/>
                <w:szCs w:val="18"/>
              </w:rPr>
              <w:t>4</w:t>
            </w:r>
          </w:p>
        </w:tc>
      </w:tr>
      <w:tr w:rsidR="00204E19" w:rsidRPr="00204E19" w14:paraId="66C8AF95" w14:textId="77777777" w:rsidTr="00B019AA">
        <w:trPr>
          <w:trHeight w:val="360"/>
          <w:jc w:val="center"/>
        </w:trPr>
        <w:tc>
          <w:tcPr>
            <w:tcW w:w="4726" w:type="dxa"/>
            <w:vAlign w:val="center"/>
          </w:tcPr>
          <w:p w14:paraId="43D24573" w14:textId="77777777" w:rsidR="00584323" w:rsidRPr="00787AB7" w:rsidRDefault="009A1A77" w:rsidP="00B019AA">
            <w:pPr>
              <w:rPr>
                <w:rFonts w:asciiTheme="minorHAnsi" w:hAnsiTheme="minorHAnsi"/>
                <w:b/>
                <w:sz w:val="18"/>
                <w:szCs w:val="18"/>
              </w:rPr>
            </w:pPr>
            <w:r w:rsidRPr="00787AB7">
              <w:rPr>
                <w:rFonts w:asciiTheme="minorHAnsi" w:hAnsiTheme="minorHAnsi"/>
                <w:sz w:val="18"/>
                <w:szCs w:val="18"/>
              </w:rPr>
              <w:t>Egyéb szolgáltatások</w:t>
            </w:r>
          </w:p>
        </w:tc>
        <w:tc>
          <w:tcPr>
            <w:tcW w:w="2146" w:type="dxa"/>
            <w:vAlign w:val="center"/>
          </w:tcPr>
          <w:p w14:paraId="74BF37B2" w14:textId="2C73F58D" w:rsidR="00584323" w:rsidRPr="00787AB7" w:rsidRDefault="004566CA" w:rsidP="00B42817">
            <w:pPr>
              <w:ind w:right="113"/>
              <w:jc w:val="right"/>
              <w:rPr>
                <w:rFonts w:asciiTheme="minorHAnsi" w:eastAsia="Calibri" w:hAnsiTheme="minorHAnsi"/>
                <w:sz w:val="18"/>
                <w:szCs w:val="18"/>
              </w:rPr>
            </w:pPr>
            <w:r>
              <w:rPr>
                <w:rFonts w:asciiTheme="minorHAnsi" w:eastAsia="Calibri" w:hAnsiTheme="minorHAnsi"/>
                <w:sz w:val="18"/>
                <w:szCs w:val="18"/>
              </w:rPr>
              <w:t>1</w:t>
            </w:r>
          </w:p>
        </w:tc>
      </w:tr>
      <w:tr w:rsidR="00204E19" w:rsidRPr="00204E19" w14:paraId="0F790B9B" w14:textId="77777777" w:rsidTr="00B019AA">
        <w:trPr>
          <w:trHeight w:val="360"/>
          <w:jc w:val="center"/>
        </w:trPr>
        <w:tc>
          <w:tcPr>
            <w:tcW w:w="4726" w:type="dxa"/>
            <w:vAlign w:val="center"/>
          </w:tcPr>
          <w:p w14:paraId="3C04D426" w14:textId="77777777" w:rsidR="00584323" w:rsidRPr="00787AB7" w:rsidRDefault="009A1A77" w:rsidP="00B019AA">
            <w:pPr>
              <w:rPr>
                <w:rFonts w:asciiTheme="minorHAnsi" w:hAnsiTheme="minorHAnsi"/>
                <w:b/>
                <w:i/>
                <w:sz w:val="18"/>
                <w:szCs w:val="18"/>
              </w:rPr>
            </w:pPr>
            <w:r w:rsidRPr="00787AB7">
              <w:rPr>
                <w:rFonts w:asciiTheme="minorHAnsi" w:hAnsiTheme="minorHAnsi"/>
                <w:b/>
                <w:i/>
                <w:sz w:val="18"/>
                <w:szCs w:val="18"/>
              </w:rPr>
              <w:t>Anyagjellegű ráfordítások</w:t>
            </w:r>
          </w:p>
        </w:tc>
        <w:tc>
          <w:tcPr>
            <w:tcW w:w="2146" w:type="dxa"/>
            <w:vAlign w:val="center"/>
          </w:tcPr>
          <w:p w14:paraId="204B9AA9" w14:textId="779FFFE2" w:rsidR="00584323" w:rsidRPr="00787AB7" w:rsidRDefault="009A1A77">
            <w:pPr>
              <w:ind w:right="113"/>
              <w:jc w:val="right"/>
              <w:rPr>
                <w:rFonts w:asciiTheme="minorHAnsi" w:eastAsia="Calibri" w:hAnsiTheme="minorHAnsi"/>
                <w:b/>
                <w:i/>
                <w:sz w:val="18"/>
                <w:szCs w:val="18"/>
              </w:rPr>
            </w:pPr>
            <w:r w:rsidRPr="00787AB7">
              <w:rPr>
                <w:rFonts w:asciiTheme="minorHAnsi" w:eastAsia="Calibri" w:hAnsiTheme="minorHAnsi"/>
                <w:b/>
                <w:i/>
                <w:sz w:val="18"/>
                <w:szCs w:val="18"/>
              </w:rPr>
              <w:t>7</w:t>
            </w:r>
            <w:r w:rsidR="004566CA">
              <w:rPr>
                <w:rFonts w:asciiTheme="minorHAnsi" w:eastAsia="Calibri" w:hAnsiTheme="minorHAnsi"/>
                <w:b/>
                <w:i/>
                <w:sz w:val="18"/>
                <w:szCs w:val="18"/>
              </w:rPr>
              <w:t>0</w:t>
            </w:r>
          </w:p>
        </w:tc>
      </w:tr>
      <w:tr w:rsidR="00204E19" w:rsidRPr="00204E19" w14:paraId="724BA2A5" w14:textId="77777777" w:rsidTr="00B019AA">
        <w:trPr>
          <w:trHeight w:val="360"/>
          <w:jc w:val="center"/>
        </w:trPr>
        <w:tc>
          <w:tcPr>
            <w:tcW w:w="4726" w:type="dxa"/>
            <w:vAlign w:val="center"/>
          </w:tcPr>
          <w:p w14:paraId="31BEF45A" w14:textId="77777777" w:rsidR="00584323" w:rsidRPr="00787AB7" w:rsidRDefault="009A1A77" w:rsidP="00B019AA">
            <w:pPr>
              <w:rPr>
                <w:rFonts w:asciiTheme="minorHAnsi" w:hAnsiTheme="minorHAnsi"/>
                <w:b/>
                <w:sz w:val="18"/>
                <w:szCs w:val="18"/>
              </w:rPr>
            </w:pPr>
            <w:r w:rsidRPr="00787AB7">
              <w:rPr>
                <w:rFonts w:asciiTheme="minorHAnsi" w:hAnsiTheme="minorHAnsi"/>
                <w:sz w:val="18"/>
                <w:szCs w:val="18"/>
              </w:rPr>
              <w:t>Bérköltségek</w:t>
            </w:r>
          </w:p>
        </w:tc>
        <w:tc>
          <w:tcPr>
            <w:tcW w:w="2146" w:type="dxa"/>
            <w:vAlign w:val="center"/>
          </w:tcPr>
          <w:p w14:paraId="05B0FFA2" w14:textId="502873E4" w:rsidR="00584323" w:rsidRPr="00787AB7" w:rsidRDefault="009A1A77">
            <w:pPr>
              <w:ind w:right="113"/>
              <w:jc w:val="right"/>
              <w:rPr>
                <w:rFonts w:asciiTheme="minorHAnsi" w:eastAsia="Calibri" w:hAnsiTheme="minorHAnsi"/>
                <w:sz w:val="18"/>
                <w:szCs w:val="18"/>
              </w:rPr>
            </w:pPr>
            <w:r w:rsidRPr="00787AB7">
              <w:rPr>
                <w:rFonts w:asciiTheme="minorHAnsi" w:eastAsia="Calibri" w:hAnsiTheme="minorHAnsi"/>
                <w:sz w:val="18"/>
                <w:szCs w:val="18"/>
              </w:rPr>
              <w:t>4</w:t>
            </w:r>
            <w:r w:rsidR="004566CA">
              <w:rPr>
                <w:rFonts w:asciiTheme="minorHAnsi" w:eastAsia="Calibri" w:hAnsiTheme="minorHAnsi"/>
                <w:sz w:val="18"/>
                <w:szCs w:val="18"/>
              </w:rPr>
              <w:t>08</w:t>
            </w:r>
          </w:p>
        </w:tc>
      </w:tr>
      <w:tr w:rsidR="00204E19" w:rsidRPr="00204E19" w14:paraId="2AFA0C82" w14:textId="77777777" w:rsidTr="00B019AA">
        <w:trPr>
          <w:trHeight w:val="360"/>
          <w:jc w:val="center"/>
        </w:trPr>
        <w:tc>
          <w:tcPr>
            <w:tcW w:w="4726" w:type="dxa"/>
            <w:vAlign w:val="center"/>
          </w:tcPr>
          <w:p w14:paraId="5AAB8801" w14:textId="77777777" w:rsidR="00584323" w:rsidRPr="00787AB7" w:rsidRDefault="009A1A77" w:rsidP="00B019AA">
            <w:pPr>
              <w:rPr>
                <w:rFonts w:asciiTheme="minorHAnsi" w:hAnsiTheme="minorHAnsi"/>
                <w:b/>
                <w:sz w:val="18"/>
                <w:szCs w:val="18"/>
              </w:rPr>
            </w:pPr>
            <w:r w:rsidRPr="00787AB7">
              <w:rPr>
                <w:rFonts w:asciiTheme="minorHAnsi" w:hAnsiTheme="minorHAnsi"/>
                <w:sz w:val="18"/>
                <w:szCs w:val="18"/>
              </w:rPr>
              <w:t>Személyi jellegű egyéb kifizetések</w:t>
            </w:r>
          </w:p>
        </w:tc>
        <w:tc>
          <w:tcPr>
            <w:tcW w:w="2146" w:type="dxa"/>
            <w:vAlign w:val="center"/>
          </w:tcPr>
          <w:p w14:paraId="018D7625" w14:textId="3AF2D628" w:rsidR="00584323" w:rsidRPr="00787AB7" w:rsidRDefault="004566CA" w:rsidP="00B42817">
            <w:pPr>
              <w:ind w:right="113"/>
              <w:jc w:val="right"/>
              <w:rPr>
                <w:rFonts w:asciiTheme="minorHAnsi" w:eastAsia="Calibri" w:hAnsiTheme="minorHAnsi"/>
                <w:sz w:val="18"/>
                <w:szCs w:val="18"/>
              </w:rPr>
            </w:pPr>
            <w:r>
              <w:rPr>
                <w:rFonts w:asciiTheme="minorHAnsi" w:eastAsia="Calibri" w:hAnsiTheme="minorHAnsi"/>
                <w:sz w:val="18"/>
                <w:szCs w:val="18"/>
              </w:rPr>
              <w:t>20</w:t>
            </w:r>
          </w:p>
        </w:tc>
      </w:tr>
      <w:tr w:rsidR="00204E19" w:rsidRPr="00204E19" w14:paraId="1CC903E6" w14:textId="77777777" w:rsidTr="00B019AA">
        <w:trPr>
          <w:trHeight w:val="360"/>
          <w:jc w:val="center"/>
        </w:trPr>
        <w:tc>
          <w:tcPr>
            <w:tcW w:w="4726" w:type="dxa"/>
            <w:vAlign w:val="center"/>
          </w:tcPr>
          <w:p w14:paraId="55BEB15E" w14:textId="77777777" w:rsidR="00584323" w:rsidRPr="00787AB7" w:rsidRDefault="009A1A77" w:rsidP="00B019AA">
            <w:pPr>
              <w:rPr>
                <w:rFonts w:asciiTheme="minorHAnsi" w:hAnsiTheme="minorHAnsi"/>
                <w:b/>
                <w:sz w:val="18"/>
                <w:szCs w:val="18"/>
              </w:rPr>
            </w:pPr>
            <w:r w:rsidRPr="00787AB7">
              <w:rPr>
                <w:rFonts w:asciiTheme="minorHAnsi" w:hAnsiTheme="minorHAnsi"/>
                <w:sz w:val="18"/>
                <w:szCs w:val="18"/>
              </w:rPr>
              <w:t>Járulékok, adók</w:t>
            </w:r>
          </w:p>
        </w:tc>
        <w:tc>
          <w:tcPr>
            <w:tcW w:w="2146" w:type="dxa"/>
            <w:vAlign w:val="center"/>
          </w:tcPr>
          <w:p w14:paraId="0FA735D6" w14:textId="110E9EB1" w:rsidR="00584323" w:rsidRPr="00787AB7" w:rsidRDefault="009A1A77" w:rsidP="00B42817">
            <w:pPr>
              <w:ind w:right="113"/>
              <w:jc w:val="right"/>
              <w:rPr>
                <w:rFonts w:asciiTheme="minorHAnsi" w:eastAsia="Calibri" w:hAnsiTheme="minorHAnsi"/>
                <w:sz w:val="18"/>
                <w:szCs w:val="18"/>
              </w:rPr>
            </w:pPr>
            <w:r w:rsidRPr="00787AB7">
              <w:rPr>
                <w:rFonts w:asciiTheme="minorHAnsi" w:eastAsia="Calibri" w:hAnsiTheme="minorHAnsi"/>
                <w:sz w:val="18"/>
                <w:szCs w:val="18"/>
              </w:rPr>
              <w:t>9</w:t>
            </w:r>
            <w:r w:rsidR="004566CA">
              <w:rPr>
                <w:rFonts w:asciiTheme="minorHAnsi" w:eastAsia="Calibri" w:hAnsiTheme="minorHAnsi"/>
                <w:sz w:val="18"/>
                <w:szCs w:val="18"/>
              </w:rPr>
              <w:t>2</w:t>
            </w:r>
          </w:p>
        </w:tc>
      </w:tr>
      <w:tr w:rsidR="00204E19" w:rsidRPr="00204E19" w14:paraId="4CE06468" w14:textId="77777777" w:rsidTr="00B019AA">
        <w:trPr>
          <w:trHeight w:val="360"/>
          <w:jc w:val="center"/>
        </w:trPr>
        <w:tc>
          <w:tcPr>
            <w:tcW w:w="4726" w:type="dxa"/>
            <w:vAlign w:val="center"/>
          </w:tcPr>
          <w:p w14:paraId="66A74806" w14:textId="77777777" w:rsidR="00584323" w:rsidRPr="00787AB7" w:rsidRDefault="009A1A77" w:rsidP="00B019AA">
            <w:pPr>
              <w:rPr>
                <w:rFonts w:asciiTheme="minorHAnsi" w:hAnsiTheme="minorHAnsi"/>
                <w:b/>
                <w:i/>
                <w:sz w:val="18"/>
                <w:szCs w:val="18"/>
              </w:rPr>
            </w:pPr>
            <w:r w:rsidRPr="00787AB7">
              <w:rPr>
                <w:rFonts w:asciiTheme="minorHAnsi" w:hAnsiTheme="minorHAnsi"/>
                <w:b/>
                <w:i/>
                <w:sz w:val="18"/>
                <w:szCs w:val="18"/>
              </w:rPr>
              <w:t>Személyi jellegű ráfordítások</w:t>
            </w:r>
          </w:p>
        </w:tc>
        <w:tc>
          <w:tcPr>
            <w:tcW w:w="2146" w:type="dxa"/>
            <w:vAlign w:val="center"/>
          </w:tcPr>
          <w:p w14:paraId="3A82F43C" w14:textId="78EA9DD3" w:rsidR="00584323" w:rsidRPr="00787AB7" w:rsidRDefault="009A1A77" w:rsidP="00B42817">
            <w:pPr>
              <w:ind w:right="113"/>
              <w:jc w:val="right"/>
              <w:rPr>
                <w:rFonts w:asciiTheme="minorHAnsi" w:eastAsia="Calibri" w:hAnsiTheme="minorHAnsi"/>
                <w:b/>
                <w:i/>
                <w:sz w:val="18"/>
                <w:szCs w:val="18"/>
              </w:rPr>
            </w:pPr>
            <w:r w:rsidRPr="00787AB7">
              <w:rPr>
                <w:rFonts w:asciiTheme="minorHAnsi" w:eastAsia="Calibri" w:hAnsiTheme="minorHAnsi"/>
                <w:b/>
                <w:i/>
                <w:sz w:val="18"/>
                <w:szCs w:val="18"/>
              </w:rPr>
              <w:t>52</w:t>
            </w:r>
            <w:r w:rsidR="004566CA">
              <w:rPr>
                <w:rFonts w:asciiTheme="minorHAnsi" w:eastAsia="Calibri" w:hAnsiTheme="minorHAnsi"/>
                <w:b/>
                <w:i/>
                <w:sz w:val="18"/>
                <w:szCs w:val="18"/>
              </w:rPr>
              <w:t>0</w:t>
            </w:r>
          </w:p>
        </w:tc>
      </w:tr>
      <w:tr w:rsidR="004566CA" w:rsidRPr="00204E19" w14:paraId="4416DEED" w14:textId="77777777" w:rsidTr="00B019AA">
        <w:trPr>
          <w:trHeight w:val="360"/>
          <w:jc w:val="center"/>
        </w:trPr>
        <w:tc>
          <w:tcPr>
            <w:tcW w:w="4726" w:type="dxa"/>
            <w:vAlign w:val="center"/>
          </w:tcPr>
          <w:p w14:paraId="5778D5FA" w14:textId="77777777" w:rsidR="004566CA" w:rsidRPr="00787AB7" w:rsidRDefault="009A1A77" w:rsidP="00B019AA">
            <w:pPr>
              <w:rPr>
                <w:rFonts w:asciiTheme="minorHAnsi" w:hAnsiTheme="minorHAnsi"/>
                <w:sz w:val="18"/>
                <w:szCs w:val="18"/>
              </w:rPr>
            </w:pPr>
            <w:r w:rsidRPr="00787AB7">
              <w:rPr>
                <w:rFonts w:asciiTheme="minorHAnsi" w:hAnsiTheme="minorHAnsi"/>
                <w:sz w:val="18"/>
                <w:szCs w:val="18"/>
              </w:rPr>
              <w:t>Értékcsökkenési leírás</w:t>
            </w:r>
          </w:p>
        </w:tc>
        <w:tc>
          <w:tcPr>
            <w:tcW w:w="2146" w:type="dxa"/>
            <w:vAlign w:val="center"/>
          </w:tcPr>
          <w:p w14:paraId="51B5BCBF" w14:textId="77777777" w:rsidR="004566CA" w:rsidRPr="00787AB7" w:rsidRDefault="004566CA" w:rsidP="00B42817">
            <w:pPr>
              <w:ind w:right="113"/>
              <w:jc w:val="right"/>
              <w:rPr>
                <w:rFonts w:asciiTheme="minorHAnsi" w:eastAsia="Calibri" w:hAnsiTheme="minorHAnsi"/>
                <w:sz w:val="18"/>
                <w:szCs w:val="18"/>
              </w:rPr>
            </w:pPr>
            <w:r>
              <w:rPr>
                <w:rFonts w:asciiTheme="minorHAnsi" w:eastAsia="Calibri" w:hAnsiTheme="minorHAnsi"/>
                <w:sz w:val="18"/>
                <w:szCs w:val="18"/>
              </w:rPr>
              <w:t>5</w:t>
            </w:r>
          </w:p>
        </w:tc>
      </w:tr>
      <w:tr w:rsidR="00204E19" w:rsidRPr="00204E19" w14:paraId="26C1DB49" w14:textId="77777777" w:rsidTr="00B019AA">
        <w:trPr>
          <w:trHeight w:val="360"/>
          <w:jc w:val="center"/>
        </w:trPr>
        <w:tc>
          <w:tcPr>
            <w:tcW w:w="4726" w:type="dxa"/>
            <w:vAlign w:val="center"/>
          </w:tcPr>
          <w:p w14:paraId="3C730762" w14:textId="77777777" w:rsidR="00584323" w:rsidRPr="00787AB7" w:rsidRDefault="009A1A77" w:rsidP="00B019AA">
            <w:pPr>
              <w:rPr>
                <w:rFonts w:asciiTheme="minorHAnsi" w:hAnsiTheme="minorHAnsi"/>
                <w:b/>
                <w:sz w:val="18"/>
                <w:szCs w:val="18"/>
              </w:rPr>
            </w:pPr>
            <w:r w:rsidRPr="00787AB7">
              <w:rPr>
                <w:rFonts w:asciiTheme="minorHAnsi" w:hAnsiTheme="minorHAnsi"/>
                <w:b/>
                <w:sz w:val="18"/>
                <w:szCs w:val="18"/>
              </w:rPr>
              <w:t>Összesen</w:t>
            </w:r>
          </w:p>
        </w:tc>
        <w:tc>
          <w:tcPr>
            <w:tcW w:w="2146" w:type="dxa"/>
            <w:vAlign w:val="center"/>
          </w:tcPr>
          <w:p w14:paraId="23EF19EA" w14:textId="5BB5AA53" w:rsidR="00584323" w:rsidRPr="00787AB7" w:rsidRDefault="009A1A77" w:rsidP="00B42817">
            <w:pPr>
              <w:ind w:right="113"/>
              <w:jc w:val="right"/>
              <w:rPr>
                <w:rFonts w:asciiTheme="minorHAnsi" w:eastAsia="Calibri" w:hAnsiTheme="minorHAnsi"/>
                <w:b/>
                <w:sz w:val="18"/>
                <w:szCs w:val="18"/>
              </w:rPr>
            </w:pPr>
            <w:r w:rsidRPr="00787AB7">
              <w:rPr>
                <w:rFonts w:asciiTheme="minorHAnsi" w:eastAsia="Calibri" w:hAnsiTheme="minorHAnsi"/>
                <w:b/>
                <w:sz w:val="18"/>
                <w:szCs w:val="18"/>
              </w:rPr>
              <w:t>59</w:t>
            </w:r>
            <w:r w:rsidR="004566CA">
              <w:rPr>
                <w:rFonts w:asciiTheme="minorHAnsi" w:eastAsia="Calibri" w:hAnsiTheme="minorHAnsi"/>
                <w:b/>
                <w:sz w:val="18"/>
                <w:szCs w:val="18"/>
              </w:rPr>
              <w:t>5</w:t>
            </w:r>
          </w:p>
        </w:tc>
      </w:tr>
    </w:tbl>
    <w:p w14:paraId="7606389D" w14:textId="77777777" w:rsidR="00584323" w:rsidRPr="00787AB7" w:rsidRDefault="00584323" w:rsidP="00584323">
      <w:pPr>
        <w:jc w:val="both"/>
        <w:rPr>
          <w:rFonts w:asciiTheme="minorHAnsi" w:hAnsiTheme="minorHAnsi"/>
          <w:b/>
        </w:rPr>
      </w:pPr>
    </w:p>
    <w:p w14:paraId="67B6C89B" w14:textId="6506BC7B" w:rsidR="00513690" w:rsidRPr="00787AB7" w:rsidRDefault="009A1A77" w:rsidP="00513690">
      <w:pPr>
        <w:jc w:val="both"/>
        <w:rPr>
          <w:rFonts w:asciiTheme="minorHAnsi" w:eastAsia="Calibri" w:hAnsiTheme="minorHAnsi"/>
        </w:rPr>
      </w:pPr>
      <w:r w:rsidRPr="00787AB7">
        <w:rPr>
          <w:rFonts w:asciiTheme="minorHAnsi" w:eastAsia="Calibri" w:hAnsiTheme="minorHAnsi"/>
          <w:b/>
        </w:rPr>
        <w:t xml:space="preserve">A Projekt Igazgatóság </w:t>
      </w:r>
      <w:r w:rsidRPr="00787AB7">
        <w:rPr>
          <w:rFonts w:asciiTheme="minorHAnsi" w:eastAsia="Calibri" w:hAnsiTheme="minorHAnsi"/>
        </w:rPr>
        <w:t>2017. évi átlaglétszáma 30 fő, míg</w:t>
      </w:r>
      <w:r w:rsidRPr="00787AB7">
        <w:rPr>
          <w:rFonts w:asciiTheme="minorHAnsi" w:eastAsia="Calibri" w:hAnsiTheme="minorHAnsi"/>
          <w:b/>
        </w:rPr>
        <w:t xml:space="preserve"> tervezett létszáma 2018. évben 45</w:t>
      </w:r>
      <w:r w:rsidR="001E0F17">
        <w:rPr>
          <w:rFonts w:asciiTheme="minorHAnsi" w:eastAsia="Calibri" w:hAnsiTheme="minorHAnsi"/>
          <w:b/>
        </w:rPr>
        <w:t> </w:t>
      </w:r>
      <w:r w:rsidRPr="00787AB7">
        <w:rPr>
          <w:rFonts w:asciiTheme="minorHAnsi" w:eastAsia="Calibri" w:hAnsiTheme="minorHAnsi"/>
          <w:b/>
        </w:rPr>
        <w:t>fő. A</w:t>
      </w:r>
      <w:r w:rsidR="001E0F17">
        <w:rPr>
          <w:rFonts w:asciiTheme="minorHAnsi" w:eastAsia="Calibri" w:hAnsiTheme="minorHAnsi"/>
          <w:b/>
        </w:rPr>
        <w:t xml:space="preserve"> szervezet</w:t>
      </w:r>
      <w:r w:rsidRPr="00787AB7">
        <w:rPr>
          <w:rFonts w:asciiTheme="minorHAnsi" w:eastAsia="Calibri" w:hAnsiTheme="minorHAnsi"/>
          <w:b/>
        </w:rPr>
        <w:t xml:space="preserve"> 2017. év végi zárólétszáma 31 fő</w:t>
      </w:r>
      <w:r w:rsidR="001E0F17">
        <w:rPr>
          <w:rFonts w:asciiTheme="minorHAnsi" w:eastAsia="Calibri" w:hAnsiTheme="minorHAnsi"/>
          <w:b/>
        </w:rPr>
        <w:t xml:space="preserve"> volt</w:t>
      </w:r>
      <w:r w:rsidRPr="00787AB7">
        <w:rPr>
          <w:rFonts w:asciiTheme="minorHAnsi" w:eastAsia="Calibri" w:hAnsiTheme="minorHAnsi"/>
        </w:rPr>
        <w:t>.</w:t>
      </w:r>
    </w:p>
    <w:p w14:paraId="6A3ADFF6" w14:textId="77777777" w:rsidR="00584323" w:rsidRPr="00787AB7" w:rsidRDefault="009A1A77" w:rsidP="00584323">
      <w:pPr>
        <w:jc w:val="both"/>
        <w:rPr>
          <w:rFonts w:asciiTheme="minorHAnsi" w:eastAsia="Calibri" w:hAnsiTheme="minorHAnsi"/>
        </w:rPr>
      </w:pPr>
      <w:r w:rsidRPr="00787AB7">
        <w:rPr>
          <w:rFonts w:asciiTheme="minorHAnsi" w:eastAsia="Calibri" w:hAnsiTheme="minorHAnsi"/>
        </w:rPr>
        <w:t>A szervezetben vezetői beosztással 5 fő rendelkezik. A szervezet három nagyobb szakterületre tagolódik: műszaki-mérnöki (2018. évtől összesen 22 fő); pénzügyi és projekt-kontrolling, illetve informatika (7 fő); valamint jogi és közbeszerzési egységekre (4 fő).</w:t>
      </w:r>
      <w:r w:rsidRPr="00787AB7">
        <w:rPr>
          <w:rFonts w:asciiTheme="minorHAnsi" w:eastAsia="Calibri" w:hAnsiTheme="minorHAnsi"/>
        </w:rPr>
        <w:br/>
        <w:t>E mellett további 4 fő munkavállalót titkársági, asszisztensi és adminisztrációs, 2018. évtől</w:t>
      </w:r>
      <w:r w:rsidRPr="00787AB7">
        <w:rPr>
          <w:rFonts w:asciiTheme="minorHAnsi" w:eastAsia="Calibri" w:hAnsiTheme="minorHAnsi"/>
        </w:rPr>
        <w:br/>
        <w:t>2 főt tájékoztatási, valamint 1-1, összesen 2 főt ár/költség szakértői, és vállalatbiztonsági feladatok ellátására foglalkoztat.</w:t>
      </w:r>
    </w:p>
    <w:p w14:paraId="6FAED1A8" w14:textId="77777777" w:rsidR="00584323" w:rsidRPr="00787AB7" w:rsidRDefault="009A1A77" w:rsidP="00584323">
      <w:pPr>
        <w:spacing w:before="360"/>
        <w:jc w:val="both"/>
        <w:rPr>
          <w:rFonts w:asciiTheme="minorHAnsi" w:hAnsiTheme="minorHAnsi" w:cs="Calibri"/>
          <w:b/>
        </w:rPr>
      </w:pPr>
      <w:r w:rsidRPr="00787AB7">
        <w:rPr>
          <w:rFonts w:asciiTheme="minorHAnsi" w:hAnsiTheme="minorHAnsi" w:cs="Calibri"/>
          <w:b/>
        </w:rPr>
        <w:t>A költségvetési keret tervezett felhasználásának részletezése</w:t>
      </w:r>
    </w:p>
    <w:p w14:paraId="20AE0C73" w14:textId="77777777" w:rsidR="00584323" w:rsidRPr="00787AB7" w:rsidRDefault="009A1A77" w:rsidP="00584323">
      <w:pPr>
        <w:numPr>
          <w:ilvl w:val="0"/>
          <w:numId w:val="9"/>
        </w:numPr>
        <w:spacing w:before="240"/>
        <w:contextualSpacing/>
        <w:jc w:val="both"/>
        <w:rPr>
          <w:rFonts w:asciiTheme="minorHAnsi" w:hAnsiTheme="minorHAnsi"/>
          <w:b/>
        </w:rPr>
      </w:pPr>
      <w:r w:rsidRPr="00787AB7">
        <w:rPr>
          <w:rFonts w:asciiTheme="minorHAnsi" w:hAnsiTheme="minorHAnsi"/>
          <w:b/>
        </w:rPr>
        <w:t>Anyag és kisértékű eszközök beszerzése</w:t>
      </w:r>
    </w:p>
    <w:p w14:paraId="50205957" w14:textId="5381C973" w:rsidR="00584323" w:rsidRPr="00787AB7" w:rsidRDefault="009A1A77" w:rsidP="00584323">
      <w:pPr>
        <w:spacing w:before="240"/>
        <w:ind w:left="786"/>
        <w:contextualSpacing/>
        <w:jc w:val="both"/>
        <w:rPr>
          <w:rFonts w:asciiTheme="minorHAnsi" w:hAnsiTheme="minorHAnsi"/>
        </w:rPr>
      </w:pPr>
      <w:r w:rsidRPr="00787AB7">
        <w:rPr>
          <w:rFonts w:asciiTheme="minorHAnsi" w:hAnsiTheme="minorHAnsi"/>
        </w:rPr>
        <w:t>A 2015-2016-os évben, illetve a tervezett létszámkeret feltöltésének megfelelően a 2017-es évben már teljeskörűen megtörtént az igazgatóság működéshez szükséges eszközök beszerzése, a későbbiekben ezen eszközök eseti jellegű pótlását tervezzük.</w:t>
      </w:r>
    </w:p>
    <w:p w14:paraId="041035FA" w14:textId="4E79AE4C" w:rsidR="00584323" w:rsidRPr="00787AB7" w:rsidRDefault="009A1A77" w:rsidP="00584323">
      <w:pPr>
        <w:spacing w:before="240"/>
        <w:ind w:left="786"/>
        <w:contextualSpacing/>
        <w:jc w:val="both"/>
        <w:rPr>
          <w:rFonts w:asciiTheme="minorHAnsi" w:hAnsiTheme="minorHAnsi"/>
        </w:rPr>
      </w:pPr>
      <w:r w:rsidRPr="00787AB7">
        <w:rPr>
          <w:rFonts w:asciiTheme="minorHAnsi" w:hAnsiTheme="minorHAnsi"/>
        </w:rPr>
        <w:t xml:space="preserve">Tervezett költség 2018. évre </w:t>
      </w:r>
      <w:r w:rsidR="004566CA">
        <w:rPr>
          <w:rFonts w:asciiTheme="minorHAnsi" w:hAnsiTheme="minorHAnsi"/>
        </w:rPr>
        <w:t>5</w:t>
      </w:r>
      <w:r w:rsidRPr="00787AB7">
        <w:rPr>
          <w:rFonts w:asciiTheme="minorHAnsi" w:hAnsiTheme="minorHAnsi"/>
        </w:rPr>
        <w:t xml:space="preserve"> millió Ft.</w:t>
      </w:r>
    </w:p>
    <w:p w14:paraId="7CF3635A" w14:textId="77777777" w:rsidR="00584323" w:rsidRPr="00787AB7" w:rsidRDefault="009A1A77" w:rsidP="00584323">
      <w:pPr>
        <w:numPr>
          <w:ilvl w:val="0"/>
          <w:numId w:val="9"/>
        </w:numPr>
        <w:spacing w:before="240"/>
        <w:contextualSpacing/>
        <w:jc w:val="both"/>
        <w:rPr>
          <w:rFonts w:asciiTheme="minorHAnsi" w:hAnsiTheme="minorHAnsi"/>
        </w:rPr>
      </w:pPr>
      <w:r w:rsidRPr="00787AB7">
        <w:rPr>
          <w:rFonts w:asciiTheme="minorHAnsi" w:hAnsiTheme="minorHAnsi"/>
          <w:b/>
        </w:rPr>
        <w:t>Iroda és eszköz bérleti költsége</w:t>
      </w:r>
    </w:p>
    <w:p w14:paraId="203761FE" w14:textId="351A27F4" w:rsidR="00584323" w:rsidRPr="00787AB7" w:rsidRDefault="009A1A77" w:rsidP="00584323">
      <w:pPr>
        <w:spacing w:before="240"/>
        <w:ind w:left="786"/>
        <w:contextualSpacing/>
        <w:jc w:val="both"/>
        <w:rPr>
          <w:rFonts w:asciiTheme="minorHAnsi" w:hAnsiTheme="minorHAnsi"/>
        </w:rPr>
      </w:pPr>
      <w:r w:rsidRPr="00787AB7">
        <w:rPr>
          <w:rFonts w:asciiTheme="minorHAnsi" w:hAnsiTheme="minorHAnsi"/>
        </w:rPr>
        <w:t>Jelenleg a szükséges irodákat a BKV Zrt. biztosítja. A jelenlegi iroda épület értékesítésére vonatkozó szerződés aláírása megtörtént, ezért a 2018. év folyamán előre láthatólag már fel fog merülni irodabérlet költsége, melynek fedezetét a támogatási szerződés biztosítja. Tervezett költség 2018. évben 6</w:t>
      </w:r>
      <w:r w:rsidR="004566CA">
        <w:rPr>
          <w:rFonts w:asciiTheme="minorHAnsi" w:hAnsiTheme="minorHAnsi"/>
        </w:rPr>
        <w:t>4</w:t>
      </w:r>
      <w:r w:rsidRPr="00787AB7">
        <w:rPr>
          <w:rFonts w:asciiTheme="minorHAnsi" w:hAnsiTheme="minorHAnsi"/>
        </w:rPr>
        <w:t xml:space="preserve"> millió Ft.</w:t>
      </w:r>
    </w:p>
    <w:p w14:paraId="07B70F24" w14:textId="77777777" w:rsidR="00584323" w:rsidRDefault="009A1A77" w:rsidP="00EE6B71">
      <w:pPr>
        <w:spacing w:before="240"/>
        <w:ind w:left="786"/>
        <w:contextualSpacing/>
        <w:jc w:val="both"/>
        <w:rPr>
          <w:rFonts w:asciiTheme="minorHAnsi" w:hAnsiTheme="minorHAnsi"/>
        </w:rPr>
      </w:pPr>
      <w:r w:rsidRPr="00787AB7">
        <w:rPr>
          <w:rFonts w:asciiTheme="minorHAnsi" w:hAnsiTheme="minorHAnsi"/>
        </w:rPr>
        <w:t>Az IT jellegű költségek a támogatásnál nem elszámolhatók, így az igazgatóság költségterve ezen kiadásokat nem tartalmazza.</w:t>
      </w:r>
    </w:p>
    <w:p w14:paraId="63988BD8" w14:textId="77777777" w:rsidR="00312D13" w:rsidRDefault="00312D13" w:rsidP="00EE6B71">
      <w:pPr>
        <w:spacing w:before="240"/>
        <w:ind w:left="786"/>
        <w:contextualSpacing/>
        <w:jc w:val="both"/>
        <w:rPr>
          <w:rFonts w:asciiTheme="minorHAnsi" w:hAnsiTheme="minorHAnsi"/>
        </w:rPr>
      </w:pPr>
    </w:p>
    <w:p w14:paraId="6E39CAA3" w14:textId="77777777" w:rsidR="00312D13" w:rsidRDefault="00312D13" w:rsidP="00EE6B71">
      <w:pPr>
        <w:spacing w:before="240"/>
        <w:ind w:left="786"/>
        <w:contextualSpacing/>
        <w:jc w:val="both"/>
        <w:rPr>
          <w:rFonts w:asciiTheme="minorHAnsi" w:hAnsiTheme="minorHAnsi"/>
        </w:rPr>
      </w:pPr>
    </w:p>
    <w:p w14:paraId="3A1FC201" w14:textId="77777777" w:rsidR="00312D13" w:rsidRPr="00787AB7" w:rsidRDefault="00312D13" w:rsidP="00EE6B71">
      <w:pPr>
        <w:spacing w:before="240"/>
        <w:ind w:left="786"/>
        <w:contextualSpacing/>
        <w:jc w:val="both"/>
        <w:rPr>
          <w:rFonts w:asciiTheme="minorHAnsi" w:hAnsiTheme="minorHAnsi"/>
        </w:rPr>
      </w:pPr>
    </w:p>
    <w:p w14:paraId="14CC7E98" w14:textId="77777777" w:rsidR="00584323" w:rsidRPr="00787AB7" w:rsidRDefault="009A1A77" w:rsidP="00584323">
      <w:pPr>
        <w:numPr>
          <w:ilvl w:val="0"/>
          <w:numId w:val="9"/>
        </w:numPr>
        <w:spacing w:before="240"/>
        <w:contextualSpacing/>
        <w:jc w:val="both"/>
        <w:rPr>
          <w:rFonts w:asciiTheme="minorHAnsi" w:hAnsiTheme="minorHAnsi"/>
        </w:rPr>
      </w:pPr>
      <w:r w:rsidRPr="00787AB7">
        <w:rPr>
          <w:rFonts w:asciiTheme="minorHAnsi" w:hAnsiTheme="minorHAnsi"/>
          <w:b/>
        </w:rPr>
        <w:lastRenderedPageBreak/>
        <w:t>Egyéb szolgáltatások költsége</w:t>
      </w:r>
    </w:p>
    <w:p w14:paraId="04214EA3" w14:textId="77777777" w:rsidR="00584323" w:rsidRPr="00787AB7" w:rsidRDefault="009A1A77" w:rsidP="00EE6B71">
      <w:pPr>
        <w:spacing w:before="240"/>
        <w:ind w:left="786"/>
        <w:contextualSpacing/>
        <w:jc w:val="both"/>
        <w:rPr>
          <w:rFonts w:asciiTheme="minorHAnsi" w:hAnsiTheme="minorHAnsi"/>
        </w:rPr>
      </w:pPr>
      <w:r w:rsidRPr="00787AB7">
        <w:rPr>
          <w:rFonts w:asciiTheme="minorHAnsi" w:hAnsiTheme="minorHAnsi"/>
        </w:rPr>
        <w:t>Bankszámla vezetés és banki szolgáltatások díjának tervezett költsége 2018. évre 1 millió Ft, míg a kommunikáció és postaforgalmi szolgáltatások tervezett költsége 0,3 millió Ft.</w:t>
      </w:r>
    </w:p>
    <w:p w14:paraId="0CD26649" w14:textId="77777777" w:rsidR="00584323" w:rsidRPr="00787AB7" w:rsidRDefault="009A1A77" w:rsidP="00B42817">
      <w:pPr>
        <w:keepNext/>
        <w:numPr>
          <w:ilvl w:val="0"/>
          <w:numId w:val="9"/>
        </w:numPr>
        <w:spacing w:before="240"/>
        <w:ind w:left="782" w:hanging="357"/>
        <w:contextualSpacing/>
        <w:jc w:val="both"/>
        <w:rPr>
          <w:rFonts w:asciiTheme="minorHAnsi" w:hAnsiTheme="minorHAnsi"/>
          <w:b/>
        </w:rPr>
      </w:pPr>
      <w:r w:rsidRPr="00787AB7">
        <w:rPr>
          <w:rFonts w:asciiTheme="minorHAnsi" w:hAnsiTheme="minorHAnsi"/>
          <w:b/>
        </w:rPr>
        <w:t>Személyi jellegű ráfordítások</w:t>
      </w:r>
    </w:p>
    <w:p w14:paraId="7EAAB24B" w14:textId="52896279" w:rsidR="00584323" w:rsidRPr="00787AB7" w:rsidRDefault="009A1A77" w:rsidP="00584323">
      <w:pPr>
        <w:ind w:left="851"/>
        <w:jc w:val="both"/>
        <w:rPr>
          <w:rFonts w:asciiTheme="minorHAnsi" w:eastAsia="Calibri" w:hAnsiTheme="minorHAnsi"/>
        </w:rPr>
      </w:pPr>
      <w:r w:rsidRPr="00787AB7">
        <w:rPr>
          <w:rFonts w:asciiTheme="minorHAnsi" w:eastAsia="Calibri" w:hAnsiTheme="minorHAnsi"/>
        </w:rPr>
        <w:t>A Projekt Igazgatóság munkatársai jellemzően tapasztalt, jól képzett szakemberek.</w:t>
      </w:r>
      <w:r w:rsidRPr="00787AB7">
        <w:rPr>
          <w:rFonts w:asciiTheme="minorHAnsi" w:eastAsia="Calibri" w:hAnsiTheme="minorHAnsi"/>
        </w:rPr>
        <w:br/>
        <w:t>A munkakörök közel 90%-ban elvárt a felsőfokú, az adminisztrációs, illetve asszisztensi területen pedig a középfokú végzettség. A fent tervezett létszámnövekedéssel arányosan nőnek a személyi jellegű ráfordítások, mely a</w:t>
      </w:r>
      <w:r w:rsidRPr="00787AB7">
        <w:rPr>
          <w:rFonts w:asciiTheme="minorHAnsi" w:eastAsia="Calibri" w:hAnsiTheme="minorHAnsi"/>
        </w:rPr>
        <w:br/>
        <w:t>2018-as évben 52</w:t>
      </w:r>
      <w:r w:rsidR="004566CA">
        <w:rPr>
          <w:rFonts w:asciiTheme="minorHAnsi" w:eastAsia="Calibri" w:hAnsiTheme="minorHAnsi"/>
        </w:rPr>
        <w:t>0</w:t>
      </w:r>
      <w:r w:rsidRPr="00787AB7">
        <w:rPr>
          <w:rFonts w:asciiTheme="minorHAnsi" w:eastAsia="Calibri" w:hAnsiTheme="minorHAnsi"/>
        </w:rPr>
        <w:t xml:space="preserve"> millió Ft-ot jelent majd a teljes létszám tekintetében.</w:t>
      </w:r>
    </w:p>
    <w:p w14:paraId="7586D4CA" w14:textId="77777777" w:rsidR="009B5FB2" w:rsidRPr="0056690E" w:rsidRDefault="009B5FB2" w:rsidP="00F14A39">
      <w:pPr>
        <w:ind w:left="851"/>
        <w:jc w:val="both"/>
        <w:rPr>
          <w:rFonts w:asciiTheme="minorHAnsi" w:eastAsia="Calibri" w:hAnsiTheme="minorHAnsi"/>
          <w:color w:val="FF0000"/>
        </w:rPr>
      </w:pPr>
    </w:p>
    <w:p w14:paraId="509E38CD" w14:textId="77777777" w:rsidR="009B5FB2" w:rsidRPr="00787AB7" w:rsidRDefault="009A1A77" w:rsidP="009B5FB2">
      <w:pPr>
        <w:pStyle w:val="Cmsor3"/>
        <w:tabs>
          <w:tab w:val="clear" w:pos="2007"/>
        </w:tabs>
        <w:ind w:left="0" w:firstLine="0"/>
        <w:rPr>
          <w:rFonts w:asciiTheme="minorHAnsi" w:hAnsiTheme="minorHAnsi"/>
        </w:rPr>
      </w:pPr>
      <w:bookmarkStart w:id="38" w:name="_Toc512409617"/>
      <w:r w:rsidRPr="00787AB7">
        <w:rPr>
          <w:rFonts w:asciiTheme="minorHAnsi" w:hAnsiTheme="minorHAnsi"/>
        </w:rPr>
        <w:t>- Metró járművek felújítása</w:t>
      </w:r>
      <w:bookmarkEnd w:id="38"/>
    </w:p>
    <w:p w14:paraId="60F5EE35" w14:textId="77777777" w:rsidR="009B5FB2" w:rsidRPr="00787AB7" w:rsidRDefault="009B5FB2" w:rsidP="009B5FB2">
      <w:pPr>
        <w:pStyle w:val="Lista3"/>
      </w:pPr>
    </w:p>
    <w:p w14:paraId="55C04A02" w14:textId="77777777" w:rsidR="00F56BB4" w:rsidRPr="00787AB7" w:rsidRDefault="009A1A77" w:rsidP="00F56BB4">
      <w:pPr>
        <w:jc w:val="both"/>
        <w:rPr>
          <w:rFonts w:asciiTheme="minorHAnsi" w:eastAsia="Calibri" w:hAnsiTheme="minorHAnsi"/>
        </w:rPr>
      </w:pPr>
      <w:r w:rsidRPr="00787AB7">
        <w:rPr>
          <w:rFonts w:asciiTheme="minorHAnsi" w:eastAsia="Calibri" w:hAnsiTheme="minorHAnsi"/>
        </w:rPr>
        <w:t>Az infrastruktúra felújítás megkezdése előtt elindult a vonalat kiszolgáló járművek felújítása is. A „Budapesti M3 metróvonal járműparkjának korszerűsítéssel egybekötött felújítás és az ahhoz kapcsolódó szolgáltatások és eszközök szállítása” tárgyú szerződés aláírását követően 2016 januárjában a Metrowagonmash Nyrt. oroszországi telephelyére szállíttatta az első hat kocsis prototípus szerelvényt. 2016. évben a Nemzeti Közlekedési Hatóság (továbbiakban NKH) kiadta az engedélyt a közbenső kocsik és a vezérlő kocsik átalakítására, illetve a prototípus szerelvény Magyarországra szállítására. Ezt követően megkezdődhettek az első felújított szerelvény a végszerelési és üzembe helyezési munkálatai. Az NKH megtartotta a hatósági szemlét, melyen az első hat kocsis felújított szerelvényt alkalmasnak találta a típusvizsgálatok és a tartampróba megkezdésére. Megkezdődtek az egyhetes elméleti járművezetői oktatások.</w:t>
      </w:r>
    </w:p>
    <w:p w14:paraId="4CE41800" w14:textId="77777777" w:rsidR="00F56BB4" w:rsidRPr="00787AB7" w:rsidRDefault="00F56BB4" w:rsidP="00F56BB4">
      <w:pPr>
        <w:pStyle w:val="NormlWeb"/>
        <w:spacing w:before="0" w:beforeAutospacing="0" w:after="0" w:afterAutospacing="0"/>
        <w:jc w:val="both"/>
        <w:rPr>
          <w:rFonts w:ascii="Calibri" w:hAnsi="Calibri"/>
          <w:lang w:eastAsia="en-US"/>
        </w:rPr>
      </w:pPr>
    </w:p>
    <w:p w14:paraId="657999B4" w14:textId="77777777" w:rsidR="00F56BB4" w:rsidRPr="00787AB7" w:rsidRDefault="009A1A77" w:rsidP="00F56BB4">
      <w:pPr>
        <w:jc w:val="both"/>
        <w:rPr>
          <w:rFonts w:asciiTheme="minorHAnsi" w:eastAsia="Calibri" w:hAnsiTheme="minorHAnsi"/>
        </w:rPr>
      </w:pPr>
      <w:r w:rsidRPr="00787AB7">
        <w:rPr>
          <w:rFonts w:asciiTheme="minorHAnsi" w:eastAsia="Calibri" w:hAnsiTheme="minorHAnsi"/>
        </w:rPr>
        <w:t>A felújítást végző vállalkozás 2017. január 11-én – a szerződésben foglalt határidőt betartva – megkapta a 81-717.2K típusú vezérkocsira és a 81-714.2K típusú közbenső kocsira a típusengedélyt, amelynek birtokában megkezdhette a sorozat járművek felújítását.</w:t>
      </w:r>
      <w:r w:rsidRPr="00787AB7">
        <w:rPr>
          <w:rFonts w:asciiTheme="minorHAnsi" w:eastAsia="Calibri" w:hAnsiTheme="minorHAnsi"/>
        </w:rPr>
        <w:br/>
        <w:t xml:space="preserve">2017. évben megkezdődtek a karbantartói oktatások, valamint az oktató szimulátor tesztelése. Jelenleg még folyamatban van a tartalék alkatrészek beérkezése és átvétele. 2018. január 2-ig bezárólag az első 22 szerelvény felújítása történt meg az MWM Nyrt. telephelyén, ebből 21 szerelvény rendelkezik Üzemeltetési bizonyítvánnyal, egy szerelvény pedig beüzemelés alatt van. Az MWM Nyrt. telephelyére kiszállításra került a 25. szerelvény is. A járművek felújításának és visszaszállításának ütemterve az alábbiak szerint alakul. </w:t>
      </w:r>
    </w:p>
    <w:p w14:paraId="050A8934" w14:textId="77777777" w:rsidR="00BC7A9E" w:rsidRPr="0056690E" w:rsidRDefault="00BC7A9E" w:rsidP="009B5FB2">
      <w:pPr>
        <w:pStyle w:val="NormlWeb"/>
        <w:spacing w:before="0" w:beforeAutospacing="0" w:after="0" w:afterAutospacing="0"/>
        <w:jc w:val="both"/>
        <w:rPr>
          <w:rFonts w:ascii="Calibri" w:hAnsi="Calibri"/>
          <w:color w:val="FF0000"/>
          <w:lang w:eastAsia="en-US"/>
        </w:rPr>
      </w:pPr>
    </w:p>
    <w:p w14:paraId="003E3835" w14:textId="77777777" w:rsidR="009B5FB2" w:rsidRPr="00787AB7" w:rsidRDefault="009A1A77" w:rsidP="009B5FB2">
      <w:pPr>
        <w:pStyle w:val="Lista3"/>
        <w:jc w:val="center"/>
        <w:rPr>
          <w:rFonts w:asciiTheme="minorHAnsi" w:hAnsiTheme="minorHAnsi"/>
          <w:b/>
        </w:rPr>
      </w:pPr>
      <w:r w:rsidRPr="00787AB7">
        <w:rPr>
          <w:rFonts w:asciiTheme="minorHAnsi" w:hAnsiTheme="minorHAnsi"/>
          <w:b/>
        </w:rPr>
        <w:t>Ütemterv</w:t>
      </w:r>
    </w:p>
    <w:p w14:paraId="6DFEF216" w14:textId="77777777" w:rsidR="009B5FB2" w:rsidRPr="00787AB7" w:rsidRDefault="009B5FB2" w:rsidP="009B5FB2">
      <w:pPr>
        <w:pStyle w:val="Lista3"/>
        <w:jc w:val="cente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459"/>
        <w:gridCol w:w="2459"/>
      </w:tblGrid>
      <w:tr w:rsidR="00A40924" w:rsidRPr="00A40924" w14:paraId="09A7D521" w14:textId="77777777" w:rsidTr="00BC7A9E">
        <w:trPr>
          <w:trHeight w:val="742"/>
          <w:jc w:val="center"/>
        </w:trPr>
        <w:tc>
          <w:tcPr>
            <w:tcW w:w="2086" w:type="dxa"/>
            <w:shd w:val="clear" w:color="auto" w:fill="2528A3"/>
            <w:vAlign w:val="center"/>
          </w:tcPr>
          <w:p w14:paraId="689A35F8" w14:textId="77777777" w:rsidR="009B5FB2" w:rsidRPr="00787AB7" w:rsidRDefault="009A1A77" w:rsidP="009B5FB2">
            <w:pPr>
              <w:jc w:val="center"/>
              <w:rPr>
                <w:rFonts w:asciiTheme="minorHAnsi" w:eastAsiaTheme="minorHAnsi" w:hAnsiTheme="minorHAnsi"/>
                <w:sz w:val="20"/>
                <w:szCs w:val="20"/>
                <w:lang w:eastAsia="en-US"/>
              </w:rPr>
            </w:pPr>
            <w:r w:rsidRPr="00787AB7">
              <w:rPr>
                <w:rFonts w:asciiTheme="minorHAnsi" w:hAnsiTheme="minorHAnsi"/>
                <w:b/>
                <w:bCs/>
                <w:sz w:val="20"/>
                <w:szCs w:val="20"/>
              </w:rPr>
              <w:t>Év</w:t>
            </w:r>
          </w:p>
        </w:tc>
        <w:tc>
          <w:tcPr>
            <w:tcW w:w="2459" w:type="dxa"/>
            <w:shd w:val="clear" w:color="auto" w:fill="2528A3"/>
            <w:vAlign w:val="center"/>
          </w:tcPr>
          <w:p w14:paraId="7F155C9B" w14:textId="77777777" w:rsidR="009B5FB2" w:rsidRPr="00787AB7" w:rsidRDefault="009A1A77" w:rsidP="009B5FB2">
            <w:pPr>
              <w:jc w:val="center"/>
              <w:rPr>
                <w:rFonts w:asciiTheme="minorHAnsi" w:eastAsiaTheme="minorHAnsi" w:hAnsiTheme="minorHAnsi"/>
                <w:sz w:val="20"/>
                <w:szCs w:val="20"/>
                <w:lang w:eastAsia="en-US"/>
              </w:rPr>
            </w:pPr>
            <w:r w:rsidRPr="00787AB7">
              <w:rPr>
                <w:rFonts w:asciiTheme="minorHAnsi" w:hAnsiTheme="minorHAnsi"/>
                <w:b/>
                <w:bCs/>
                <w:sz w:val="20"/>
                <w:szCs w:val="20"/>
              </w:rPr>
              <w:t>Átadás korszerűsítésre a Vállalkozó részére (szerelvény db)</w:t>
            </w:r>
          </w:p>
        </w:tc>
        <w:tc>
          <w:tcPr>
            <w:tcW w:w="2459" w:type="dxa"/>
            <w:shd w:val="clear" w:color="auto" w:fill="2528A3"/>
            <w:vAlign w:val="center"/>
          </w:tcPr>
          <w:p w14:paraId="718EADA0" w14:textId="77777777" w:rsidR="009B5FB2" w:rsidRPr="00787AB7" w:rsidRDefault="009A1A77" w:rsidP="009B5FB2">
            <w:pPr>
              <w:jc w:val="center"/>
              <w:rPr>
                <w:rFonts w:asciiTheme="minorHAnsi" w:eastAsiaTheme="minorHAnsi" w:hAnsiTheme="minorHAnsi"/>
                <w:sz w:val="20"/>
                <w:szCs w:val="20"/>
                <w:lang w:eastAsia="en-US"/>
              </w:rPr>
            </w:pPr>
            <w:r w:rsidRPr="00787AB7">
              <w:rPr>
                <w:rFonts w:asciiTheme="minorHAnsi" w:hAnsiTheme="minorHAnsi"/>
                <w:b/>
                <w:bCs/>
                <w:sz w:val="20"/>
                <w:szCs w:val="20"/>
              </w:rPr>
              <w:t xml:space="preserve">Visszaszállítás </w:t>
            </w:r>
            <w:r w:rsidRPr="00787AB7">
              <w:rPr>
                <w:rFonts w:asciiTheme="minorHAnsi" w:hAnsiTheme="minorHAnsi"/>
                <w:b/>
                <w:bCs/>
                <w:sz w:val="20"/>
                <w:szCs w:val="20"/>
              </w:rPr>
              <w:br/>
              <w:t>(szerelvény db)</w:t>
            </w:r>
          </w:p>
        </w:tc>
      </w:tr>
      <w:tr w:rsidR="00A40924" w:rsidRPr="00A40924" w14:paraId="1F3F2369" w14:textId="77777777" w:rsidTr="00BC7A9E">
        <w:trPr>
          <w:trHeight w:val="333"/>
          <w:jc w:val="center"/>
        </w:trPr>
        <w:tc>
          <w:tcPr>
            <w:tcW w:w="2086" w:type="dxa"/>
            <w:vAlign w:val="center"/>
          </w:tcPr>
          <w:p w14:paraId="06A80C2A" w14:textId="0A8CC02D" w:rsidR="00F56BB4" w:rsidRPr="00787AB7" w:rsidRDefault="009A1A77" w:rsidP="009B5FB2">
            <w:pPr>
              <w:rPr>
                <w:rFonts w:asciiTheme="minorHAnsi" w:eastAsiaTheme="minorHAnsi" w:hAnsiTheme="minorHAnsi"/>
                <w:sz w:val="18"/>
                <w:szCs w:val="18"/>
                <w:lang w:eastAsia="en-US"/>
              </w:rPr>
            </w:pPr>
            <w:r w:rsidRPr="00787AB7">
              <w:rPr>
                <w:rFonts w:asciiTheme="minorHAnsi" w:hAnsiTheme="minorHAnsi"/>
                <w:b/>
                <w:bCs/>
                <w:sz w:val="18"/>
                <w:szCs w:val="18"/>
              </w:rPr>
              <w:t>2016</w:t>
            </w:r>
            <w:r w:rsidR="00446CBF">
              <w:rPr>
                <w:rFonts w:asciiTheme="minorHAnsi" w:hAnsiTheme="minorHAnsi"/>
                <w:b/>
                <w:bCs/>
                <w:sz w:val="18"/>
                <w:szCs w:val="18"/>
              </w:rPr>
              <w:t>.</w:t>
            </w:r>
          </w:p>
        </w:tc>
        <w:tc>
          <w:tcPr>
            <w:tcW w:w="2459" w:type="dxa"/>
            <w:vAlign w:val="center"/>
          </w:tcPr>
          <w:p w14:paraId="77E74B12" w14:textId="77777777" w:rsidR="00F56BB4" w:rsidRPr="00787AB7" w:rsidRDefault="009A1A77" w:rsidP="00BC7A9E">
            <w:pPr>
              <w:jc w:val="center"/>
              <w:rPr>
                <w:rFonts w:asciiTheme="minorHAnsi" w:eastAsiaTheme="minorHAnsi" w:hAnsiTheme="minorHAnsi"/>
                <w:sz w:val="18"/>
                <w:szCs w:val="18"/>
                <w:lang w:eastAsia="en-US"/>
              </w:rPr>
            </w:pPr>
            <w:r w:rsidRPr="00787AB7">
              <w:rPr>
                <w:rFonts w:asciiTheme="minorHAnsi" w:hAnsiTheme="minorHAnsi"/>
                <w:sz w:val="18"/>
                <w:szCs w:val="18"/>
              </w:rPr>
              <w:t>3</w:t>
            </w:r>
          </w:p>
        </w:tc>
        <w:tc>
          <w:tcPr>
            <w:tcW w:w="2459" w:type="dxa"/>
            <w:vAlign w:val="center"/>
          </w:tcPr>
          <w:p w14:paraId="7F37EAFF" w14:textId="77777777" w:rsidR="00F56BB4" w:rsidRPr="00787AB7" w:rsidRDefault="009A1A77" w:rsidP="00BC7A9E">
            <w:pPr>
              <w:jc w:val="center"/>
              <w:rPr>
                <w:rFonts w:asciiTheme="minorHAnsi" w:eastAsiaTheme="minorHAnsi" w:hAnsiTheme="minorHAnsi"/>
                <w:sz w:val="18"/>
                <w:szCs w:val="18"/>
                <w:lang w:eastAsia="en-US"/>
              </w:rPr>
            </w:pPr>
            <w:r w:rsidRPr="00787AB7">
              <w:rPr>
                <w:rFonts w:asciiTheme="minorHAnsi" w:hAnsiTheme="minorHAnsi"/>
                <w:sz w:val="18"/>
                <w:szCs w:val="18"/>
              </w:rPr>
              <w:t>2</w:t>
            </w:r>
          </w:p>
        </w:tc>
      </w:tr>
      <w:tr w:rsidR="00A40924" w:rsidRPr="00A40924" w14:paraId="5CCBEBF8" w14:textId="77777777" w:rsidTr="00BC7A9E">
        <w:trPr>
          <w:trHeight w:val="333"/>
          <w:jc w:val="center"/>
        </w:trPr>
        <w:tc>
          <w:tcPr>
            <w:tcW w:w="2086" w:type="dxa"/>
            <w:vAlign w:val="center"/>
          </w:tcPr>
          <w:p w14:paraId="543E46D7" w14:textId="54B52E27" w:rsidR="00F56BB4" w:rsidRPr="00787AB7" w:rsidRDefault="009A1A77" w:rsidP="009B5FB2">
            <w:pPr>
              <w:rPr>
                <w:rFonts w:asciiTheme="minorHAnsi" w:eastAsiaTheme="minorHAnsi" w:hAnsiTheme="minorHAnsi"/>
                <w:sz w:val="18"/>
                <w:szCs w:val="18"/>
                <w:lang w:eastAsia="en-US"/>
              </w:rPr>
            </w:pPr>
            <w:r w:rsidRPr="00787AB7">
              <w:rPr>
                <w:rFonts w:asciiTheme="minorHAnsi" w:hAnsiTheme="minorHAnsi"/>
                <w:b/>
                <w:bCs/>
                <w:sz w:val="18"/>
                <w:szCs w:val="18"/>
              </w:rPr>
              <w:t>2017</w:t>
            </w:r>
            <w:r w:rsidR="00446CBF">
              <w:rPr>
                <w:rFonts w:asciiTheme="minorHAnsi" w:hAnsiTheme="minorHAnsi"/>
                <w:b/>
                <w:bCs/>
                <w:sz w:val="18"/>
                <w:szCs w:val="18"/>
              </w:rPr>
              <w:t>.</w:t>
            </w:r>
          </w:p>
        </w:tc>
        <w:tc>
          <w:tcPr>
            <w:tcW w:w="2459" w:type="dxa"/>
            <w:vAlign w:val="center"/>
          </w:tcPr>
          <w:p w14:paraId="74307BD2" w14:textId="77777777" w:rsidR="00F56BB4" w:rsidRPr="00787AB7" w:rsidRDefault="009A1A77" w:rsidP="00BC7A9E">
            <w:pPr>
              <w:jc w:val="center"/>
              <w:rPr>
                <w:rFonts w:asciiTheme="minorHAnsi" w:eastAsiaTheme="minorHAnsi" w:hAnsiTheme="minorHAnsi"/>
                <w:sz w:val="18"/>
                <w:szCs w:val="18"/>
                <w:lang w:eastAsia="en-US"/>
              </w:rPr>
            </w:pPr>
            <w:r w:rsidRPr="00787AB7">
              <w:rPr>
                <w:rFonts w:asciiTheme="minorHAnsi" w:hAnsiTheme="minorHAnsi"/>
                <w:sz w:val="18"/>
                <w:szCs w:val="18"/>
              </w:rPr>
              <w:t>22</w:t>
            </w:r>
          </w:p>
        </w:tc>
        <w:tc>
          <w:tcPr>
            <w:tcW w:w="2459" w:type="dxa"/>
            <w:vAlign w:val="center"/>
          </w:tcPr>
          <w:p w14:paraId="030B1FB4" w14:textId="77777777" w:rsidR="00F56BB4" w:rsidRPr="00787AB7" w:rsidRDefault="009A1A77" w:rsidP="00BC7A9E">
            <w:pPr>
              <w:jc w:val="center"/>
              <w:rPr>
                <w:rFonts w:asciiTheme="minorHAnsi" w:eastAsiaTheme="minorHAnsi" w:hAnsiTheme="minorHAnsi"/>
                <w:sz w:val="18"/>
                <w:szCs w:val="18"/>
                <w:lang w:eastAsia="en-US"/>
              </w:rPr>
            </w:pPr>
            <w:r w:rsidRPr="00787AB7">
              <w:rPr>
                <w:rFonts w:asciiTheme="minorHAnsi" w:hAnsiTheme="minorHAnsi"/>
                <w:sz w:val="18"/>
                <w:szCs w:val="18"/>
              </w:rPr>
              <w:t>19</w:t>
            </w:r>
          </w:p>
        </w:tc>
      </w:tr>
      <w:tr w:rsidR="00A40924" w:rsidRPr="00A40924" w14:paraId="10DAB230" w14:textId="77777777" w:rsidTr="00BC7A9E">
        <w:trPr>
          <w:trHeight w:val="333"/>
          <w:jc w:val="center"/>
        </w:trPr>
        <w:tc>
          <w:tcPr>
            <w:tcW w:w="2086" w:type="dxa"/>
            <w:vAlign w:val="center"/>
          </w:tcPr>
          <w:p w14:paraId="1628700D" w14:textId="45B863A9" w:rsidR="00F56BB4" w:rsidRPr="00787AB7" w:rsidRDefault="009A1A77" w:rsidP="009B5FB2">
            <w:pPr>
              <w:spacing w:line="228" w:lineRule="atLeast"/>
              <w:rPr>
                <w:rFonts w:asciiTheme="minorHAnsi" w:eastAsiaTheme="minorHAnsi" w:hAnsiTheme="minorHAnsi"/>
                <w:sz w:val="18"/>
                <w:szCs w:val="18"/>
                <w:lang w:eastAsia="en-US"/>
              </w:rPr>
            </w:pPr>
            <w:r w:rsidRPr="00787AB7">
              <w:rPr>
                <w:rFonts w:asciiTheme="minorHAnsi" w:hAnsiTheme="minorHAnsi"/>
                <w:b/>
                <w:bCs/>
                <w:sz w:val="18"/>
                <w:szCs w:val="18"/>
              </w:rPr>
              <w:t>2018</w:t>
            </w:r>
            <w:r w:rsidR="00446CBF">
              <w:rPr>
                <w:rFonts w:asciiTheme="minorHAnsi" w:hAnsiTheme="minorHAnsi"/>
                <w:b/>
                <w:bCs/>
                <w:sz w:val="18"/>
                <w:szCs w:val="18"/>
              </w:rPr>
              <w:t>.</w:t>
            </w:r>
          </w:p>
        </w:tc>
        <w:tc>
          <w:tcPr>
            <w:tcW w:w="2459" w:type="dxa"/>
            <w:vAlign w:val="center"/>
          </w:tcPr>
          <w:p w14:paraId="285F5CDE" w14:textId="77777777" w:rsidR="00F56BB4" w:rsidRPr="00787AB7" w:rsidRDefault="009A1A77" w:rsidP="00BC7A9E">
            <w:pPr>
              <w:spacing w:line="228" w:lineRule="atLeast"/>
              <w:jc w:val="center"/>
              <w:rPr>
                <w:rFonts w:asciiTheme="minorHAnsi" w:eastAsiaTheme="minorHAnsi" w:hAnsiTheme="minorHAnsi"/>
                <w:sz w:val="18"/>
                <w:szCs w:val="18"/>
                <w:lang w:eastAsia="en-US"/>
              </w:rPr>
            </w:pPr>
            <w:r w:rsidRPr="00787AB7">
              <w:rPr>
                <w:rFonts w:asciiTheme="minorHAnsi" w:hAnsiTheme="minorHAnsi"/>
                <w:sz w:val="18"/>
                <w:szCs w:val="18"/>
              </w:rPr>
              <w:t>12</w:t>
            </w:r>
          </w:p>
        </w:tc>
        <w:tc>
          <w:tcPr>
            <w:tcW w:w="2459" w:type="dxa"/>
            <w:vAlign w:val="center"/>
          </w:tcPr>
          <w:p w14:paraId="6D7A88B0" w14:textId="77777777" w:rsidR="00F56BB4" w:rsidRPr="00787AB7" w:rsidRDefault="009A1A77" w:rsidP="00BC7A9E">
            <w:pPr>
              <w:spacing w:line="228" w:lineRule="atLeast"/>
              <w:jc w:val="center"/>
              <w:rPr>
                <w:rFonts w:asciiTheme="minorHAnsi" w:eastAsiaTheme="minorHAnsi" w:hAnsiTheme="minorHAnsi"/>
                <w:sz w:val="18"/>
                <w:szCs w:val="18"/>
                <w:lang w:eastAsia="en-US"/>
              </w:rPr>
            </w:pPr>
            <w:r w:rsidRPr="00787AB7">
              <w:rPr>
                <w:rFonts w:asciiTheme="minorHAnsi" w:hAnsiTheme="minorHAnsi"/>
                <w:sz w:val="18"/>
                <w:szCs w:val="18"/>
              </w:rPr>
              <w:t>16</w:t>
            </w:r>
          </w:p>
        </w:tc>
      </w:tr>
      <w:tr w:rsidR="00A40924" w:rsidRPr="00A40924" w14:paraId="507A5161" w14:textId="77777777" w:rsidTr="00BC7A9E">
        <w:trPr>
          <w:trHeight w:val="333"/>
          <w:jc w:val="center"/>
        </w:trPr>
        <w:tc>
          <w:tcPr>
            <w:tcW w:w="2086" w:type="dxa"/>
            <w:vAlign w:val="center"/>
          </w:tcPr>
          <w:p w14:paraId="30F2A4CB" w14:textId="77777777" w:rsidR="00F56BB4" w:rsidRPr="00787AB7" w:rsidRDefault="009A1A77" w:rsidP="009B5FB2">
            <w:pPr>
              <w:rPr>
                <w:rFonts w:asciiTheme="minorHAnsi" w:eastAsiaTheme="minorHAnsi" w:hAnsiTheme="minorHAnsi"/>
                <w:sz w:val="18"/>
                <w:szCs w:val="18"/>
                <w:lang w:eastAsia="en-US"/>
              </w:rPr>
            </w:pPr>
            <w:r w:rsidRPr="00787AB7">
              <w:rPr>
                <w:rFonts w:asciiTheme="minorHAnsi" w:hAnsiTheme="minorHAnsi"/>
                <w:b/>
                <w:bCs/>
                <w:sz w:val="18"/>
                <w:szCs w:val="18"/>
              </w:rPr>
              <w:t>Összesen</w:t>
            </w:r>
          </w:p>
        </w:tc>
        <w:tc>
          <w:tcPr>
            <w:tcW w:w="2459" w:type="dxa"/>
            <w:vAlign w:val="center"/>
          </w:tcPr>
          <w:p w14:paraId="67A8D2EA" w14:textId="77777777" w:rsidR="00F56BB4" w:rsidRPr="00787AB7" w:rsidRDefault="009A1A77" w:rsidP="00BC7A9E">
            <w:pPr>
              <w:jc w:val="center"/>
              <w:rPr>
                <w:rFonts w:asciiTheme="minorHAnsi" w:eastAsiaTheme="minorHAnsi" w:hAnsiTheme="minorHAnsi"/>
                <w:sz w:val="18"/>
                <w:szCs w:val="18"/>
                <w:lang w:eastAsia="en-US"/>
              </w:rPr>
            </w:pPr>
            <w:r w:rsidRPr="00787AB7">
              <w:rPr>
                <w:rFonts w:asciiTheme="minorHAnsi" w:hAnsiTheme="minorHAnsi"/>
                <w:sz w:val="18"/>
                <w:szCs w:val="18"/>
              </w:rPr>
              <w:t>37</w:t>
            </w:r>
          </w:p>
        </w:tc>
        <w:tc>
          <w:tcPr>
            <w:tcW w:w="2459" w:type="dxa"/>
            <w:vAlign w:val="center"/>
          </w:tcPr>
          <w:p w14:paraId="52B04CAC" w14:textId="77777777" w:rsidR="00F56BB4" w:rsidRPr="00787AB7" w:rsidRDefault="009A1A77" w:rsidP="00BC7A9E">
            <w:pPr>
              <w:jc w:val="center"/>
              <w:rPr>
                <w:rFonts w:asciiTheme="minorHAnsi" w:eastAsiaTheme="minorHAnsi" w:hAnsiTheme="minorHAnsi"/>
                <w:sz w:val="18"/>
                <w:szCs w:val="18"/>
                <w:lang w:eastAsia="en-US"/>
              </w:rPr>
            </w:pPr>
            <w:r w:rsidRPr="00787AB7">
              <w:rPr>
                <w:rFonts w:asciiTheme="minorHAnsi" w:hAnsiTheme="minorHAnsi"/>
                <w:sz w:val="18"/>
                <w:szCs w:val="18"/>
              </w:rPr>
              <w:t>37</w:t>
            </w:r>
          </w:p>
        </w:tc>
      </w:tr>
    </w:tbl>
    <w:p w14:paraId="7F90C97B" w14:textId="77777777" w:rsidR="000E7386" w:rsidRPr="00787AB7" w:rsidRDefault="000E7386" w:rsidP="00AD64AD">
      <w:pPr>
        <w:jc w:val="both"/>
        <w:rPr>
          <w:rFonts w:asciiTheme="minorHAnsi" w:eastAsia="Calibri" w:hAnsiTheme="minorHAnsi"/>
        </w:rPr>
      </w:pPr>
      <w:bookmarkStart w:id="39" w:name="_Toc465246377"/>
    </w:p>
    <w:p w14:paraId="708E6C51" w14:textId="77777777" w:rsidR="001C74D7" w:rsidRDefault="009A1A77" w:rsidP="001C74D7">
      <w:pPr>
        <w:jc w:val="both"/>
        <w:rPr>
          <w:rFonts w:asciiTheme="minorHAnsi" w:eastAsia="Calibri" w:hAnsiTheme="minorHAnsi"/>
        </w:rPr>
      </w:pPr>
      <w:r w:rsidRPr="00787AB7">
        <w:rPr>
          <w:rFonts w:asciiTheme="minorHAnsi" w:eastAsia="Calibri" w:hAnsiTheme="minorHAnsi"/>
        </w:rPr>
        <w:t xml:space="preserve">Az utolsó jármű visszaszállítása és üzembe helyezése 2018. év közepén várható. A Metró Üzemigazgatóságon belül kialakításra került Metró Járműfelújítási Projekt Iroda támogatja a járműfelújításhoz kapcsolódó műszaki feladatok megvalósítását, illetve folyamatosan </w:t>
      </w:r>
      <w:r w:rsidRPr="00787AB7">
        <w:rPr>
          <w:rFonts w:asciiTheme="minorHAnsi" w:eastAsia="Calibri" w:hAnsiTheme="minorHAnsi"/>
        </w:rPr>
        <w:lastRenderedPageBreak/>
        <w:t>biztosítja az M3 metróvonal üzemvitelét a Szerződésben foglalt járműfelújítások végrehajtása alatt.</w:t>
      </w:r>
    </w:p>
    <w:p w14:paraId="22DE4A5A" w14:textId="77777777" w:rsidR="004566CA" w:rsidRPr="00787AB7" w:rsidRDefault="004566CA" w:rsidP="001C74D7">
      <w:pPr>
        <w:jc w:val="both"/>
        <w:rPr>
          <w:rFonts w:asciiTheme="minorHAnsi" w:eastAsia="Calibri" w:hAnsiTheme="minorHAnsi"/>
        </w:rPr>
      </w:pPr>
    </w:p>
    <w:p w14:paraId="15D78B8D" w14:textId="77777777" w:rsidR="00901200" w:rsidRPr="00362915" w:rsidRDefault="00EC220E" w:rsidP="001E0F17">
      <w:pPr>
        <w:pStyle w:val="Cmsor2"/>
      </w:pPr>
      <w:bookmarkStart w:id="40" w:name="_Toc512409618"/>
      <w:r w:rsidRPr="00362915">
        <w:t xml:space="preserve">I/c. </w:t>
      </w:r>
      <w:r w:rsidR="00901200" w:rsidRPr="00362915">
        <w:t>BKK tulajdonú járművek üzemeltetési költségei</w:t>
      </w:r>
      <w:bookmarkEnd w:id="39"/>
      <w:bookmarkEnd w:id="40"/>
    </w:p>
    <w:p w14:paraId="09115700" w14:textId="77777777" w:rsidR="00901200" w:rsidRPr="00787AB7" w:rsidRDefault="00901200" w:rsidP="00901200">
      <w:pPr>
        <w:jc w:val="both"/>
        <w:rPr>
          <w:rFonts w:asciiTheme="minorHAnsi" w:hAnsiTheme="minorHAnsi" w:cstheme="minorHAnsi"/>
        </w:rPr>
      </w:pPr>
    </w:p>
    <w:p w14:paraId="79434601" w14:textId="477B9A0D" w:rsidR="00DF161D" w:rsidRPr="00787AB7" w:rsidRDefault="009A1A77" w:rsidP="00DF161D">
      <w:pPr>
        <w:jc w:val="both"/>
        <w:rPr>
          <w:rFonts w:ascii="Calibri" w:eastAsia="Calibri" w:hAnsi="Calibri"/>
        </w:rPr>
      </w:pPr>
      <w:r w:rsidRPr="00787AB7">
        <w:rPr>
          <w:rFonts w:ascii="Calibri" w:eastAsia="Calibri" w:hAnsi="Calibri"/>
        </w:rPr>
        <w:t xml:space="preserve">A BKV Zrt. több ágazata is üzemeltet a Megrendelő által beszerzett járműveket. </w:t>
      </w:r>
      <w:r w:rsidRPr="00787AB7">
        <w:rPr>
          <w:rFonts w:ascii="Calibri" w:eastAsia="Calibri" w:hAnsi="Calibri"/>
        </w:rPr>
        <w:br/>
        <w:t>2016. év végére 35 db rövid és 12 db hosszú CAF villamos érkezett Társaságunkhoz üzemeltetésre. A járműgyártóval BKK Zrt. által kötött szállítási szerződés szerint a villamosok leszállítását követő 3 évben a járműszállítónak kell elvégeznie a villamosok karbantartását, amelyet a Megrendelő rendel meg tőle. 2015. év végén 20 db szóló és 16 db csuklós, alacsonypadlós trolibusz került beszerzésre a Solaris-Skoda Electric konzorciumtól a BKK Zrt. bonyolításában, megrendelésében. Ezen kívül, szintén a 2015. évben 16 db midi, alacsonypadlós KARSAN ATAK autóbusz is beszerzésre került.</w:t>
      </w:r>
    </w:p>
    <w:p w14:paraId="24E19E9C" w14:textId="77777777" w:rsidR="00DF161D" w:rsidRPr="00787AB7" w:rsidRDefault="00DF161D" w:rsidP="00DF161D">
      <w:pPr>
        <w:jc w:val="both"/>
        <w:rPr>
          <w:rFonts w:ascii="Calibri" w:hAnsi="Calibri" w:cs="Calibri"/>
        </w:rPr>
      </w:pPr>
    </w:p>
    <w:p w14:paraId="7E8E7F17" w14:textId="09EF5B60" w:rsidR="00DF161D" w:rsidRPr="00787AB7" w:rsidRDefault="009A1A77" w:rsidP="00DF161D">
      <w:pPr>
        <w:jc w:val="both"/>
        <w:rPr>
          <w:rFonts w:ascii="Calibri" w:hAnsi="Calibri" w:cs="Calibri"/>
        </w:rPr>
      </w:pPr>
      <w:r w:rsidRPr="00787AB7">
        <w:rPr>
          <w:rFonts w:ascii="Calibri" w:hAnsi="Calibri" w:cs="Calibri"/>
        </w:rPr>
        <w:t>A BKK Zrt. által beszerzett járművek</w:t>
      </w:r>
      <w:r w:rsidR="0005111C">
        <w:rPr>
          <w:rFonts w:ascii="Calibri" w:hAnsi="Calibri" w:cs="Calibri"/>
        </w:rPr>
        <w:t xml:space="preserve"> a</w:t>
      </w:r>
      <w:r w:rsidRPr="00787AB7">
        <w:rPr>
          <w:rFonts w:ascii="Calibri" w:hAnsi="Calibri" w:cs="Calibri"/>
        </w:rPr>
        <w:t xml:space="preserve"> hatósági engedélyek megszerzése után a BKK Zrt. tulajdonába, majd a BKV Zrt. üzemeltetésébe kerültek. Az eszközökkel összefüggésben a költségek indokolt </w:t>
      </w:r>
      <w:r w:rsidR="00446CBF" w:rsidRPr="00787AB7">
        <w:rPr>
          <w:rFonts w:ascii="Calibri" w:hAnsi="Calibri" w:cs="Calibri"/>
        </w:rPr>
        <w:t>költség</w:t>
      </w:r>
      <w:r w:rsidR="00446CBF">
        <w:rPr>
          <w:rFonts w:ascii="Calibri" w:hAnsi="Calibri" w:cs="Calibri"/>
        </w:rPr>
        <w:t>ként</w:t>
      </w:r>
      <w:r w:rsidRPr="00787AB7">
        <w:rPr>
          <w:rFonts w:ascii="Calibri" w:hAnsi="Calibri" w:cs="Calibri"/>
        </w:rPr>
        <w:t>, a hatályos Közszolgáltatási Szerződésnek megfelelően kerülnek elszámolásra.</w:t>
      </w:r>
    </w:p>
    <w:p w14:paraId="3BAE8CF1" w14:textId="77777777" w:rsidR="00DF161D" w:rsidRPr="00787AB7" w:rsidRDefault="00DF161D" w:rsidP="00DF161D">
      <w:pPr>
        <w:rPr>
          <w:rFonts w:ascii="Calibri" w:hAnsi="Calibri" w:cs="Calibri"/>
        </w:rPr>
      </w:pPr>
    </w:p>
    <w:p w14:paraId="3261CF7F" w14:textId="0F7AC4F4" w:rsidR="00DF161D" w:rsidRPr="00787AB7" w:rsidRDefault="009A1A77" w:rsidP="00DF161D">
      <w:pPr>
        <w:jc w:val="both"/>
        <w:rPr>
          <w:rFonts w:ascii="Calibri" w:hAnsi="Calibri" w:cs="Calibri"/>
        </w:rPr>
      </w:pPr>
      <w:r w:rsidRPr="00787AB7">
        <w:rPr>
          <w:rFonts w:ascii="Calibri" w:hAnsi="Calibri" w:cs="Calibri"/>
        </w:rPr>
        <w:t>A BKV Zrt. és CAF között aláírt karbantartási megállapodás értelmében a megelőző, preventív karbantartási folyamatokban a BKV Zrt. alvállalkozóként közreműködik. A preventív karbantartás 2017. éves bevétele 44 millió Ft. A szolgáltatások 2018. éves bevételi terve 45</w:t>
      </w:r>
      <w:r w:rsidR="001E0F17">
        <w:rPr>
          <w:rFonts w:ascii="Calibri" w:hAnsi="Calibri" w:cs="Calibri"/>
        </w:rPr>
        <w:t> </w:t>
      </w:r>
      <w:r w:rsidRPr="00787AB7">
        <w:rPr>
          <w:rFonts w:ascii="Calibri" w:hAnsi="Calibri" w:cs="Calibri"/>
        </w:rPr>
        <w:t>millió Ft.</w:t>
      </w:r>
    </w:p>
    <w:p w14:paraId="6D61FBB9" w14:textId="77777777" w:rsidR="00DF161D" w:rsidRPr="00787AB7" w:rsidRDefault="00DF161D" w:rsidP="00DF161D">
      <w:pPr>
        <w:jc w:val="both"/>
        <w:rPr>
          <w:rFonts w:ascii="Calibri" w:hAnsi="Calibri" w:cs="Calibri"/>
          <w:lang w:eastAsia="ru-RU"/>
        </w:rPr>
      </w:pPr>
    </w:p>
    <w:p w14:paraId="6302D813" w14:textId="3CCC0A42" w:rsidR="00DF161D" w:rsidRPr="00787AB7" w:rsidRDefault="009A1A77" w:rsidP="00DF161D">
      <w:pPr>
        <w:jc w:val="both"/>
        <w:rPr>
          <w:rFonts w:ascii="Calibri" w:hAnsi="Calibri" w:cs="Calibri"/>
        </w:rPr>
      </w:pPr>
      <w:r w:rsidRPr="00787AB7">
        <w:rPr>
          <w:rFonts w:ascii="Calibri" w:hAnsi="Calibri" w:cs="Calibri"/>
        </w:rPr>
        <w:t>A CAF járművekkel kapcsolatos üzemeltetési megállapodás szerint a BKV Zrt. feladatait képezik az új járművek, eszközök és létesítmények üzemeltetése és fenntartása mellett a közreműködés a megelőző karbantartások során (megállapodás alapján) és a karbantartások azon feladatai, melyek a Szállítási szerződés szerint nem a CAF hatáskörébe tartoznak</w:t>
      </w:r>
      <w:r w:rsidRPr="00787AB7">
        <w:rPr>
          <w:rFonts w:ascii="Calibri" w:hAnsi="Calibri" w:cs="Calibri"/>
        </w:rPr>
        <w:br/>
        <w:t xml:space="preserve">(BKK megrendelésre), továbbá az ezekhez szükséges kocsiszín, eszközök, berendezések, energia stb. biztosítása, valamint az érintett viszonylatokon az infrastruktúra, illetve a járművek sérüléses és rendkívüli javításai. A BKV Zrt. végzi a CAF tartalék alkatrészek raktározási, nyilvántartási és leltározási feladatait a BKK megrendelésére, valamint a teljes biztosítási, </w:t>
      </w:r>
      <w:r w:rsidR="0005111C">
        <w:rPr>
          <w:rFonts w:ascii="Calibri" w:hAnsi="Calibri" w:cs="Calibri"/>
        </w:rPr>
        <w:t xml:space="preserve">valamint a </w:t>
      </w:r>
      <w:r w:rsidRPr="00787AB7">
        <w:rPr>
          <w:rFonts w:ascii="Calibri" w:hAnsi="Calibri" w:cs="Calibri"/>
        </w:rPr>
        <w:t xml:space="preserve">káreseményeket érintő adminisztratív tevékenységeket is elvégzi. Mindemellett a szerződéssel kapcsolatosan ellenőrzési, nyilvántartási, adatszolgáltatási és kapcsolattartási kötelezettség terheli, illetve minden további feladatot elvégez, amit BKK megrendel. </w:t>
      </w:r>
    </w:p>
    <w:p w14:paraId="7F283215" w14:textId="77777777" w:rsidR="00DF161D" w:rsidRPr="00787AB7" w:rsidRDefault="00DF161D" w:rsidP="00DF161D">
      <w:pPr>
        <w:jc w:val="both"/>
        <w:rPr>
          <w:rFonts w:ascii="Calibri" w:hAnsi="Calibri" w:cs="Calibri"/>
        </w:rPr>
      </w:pPr>
    </w:p>
    <w:p w14:paraId="0DE9066C" w14:textId="77777777" w:rsidR="0005111C" w:rsidRPr="0005111C" w:rsidRDefault="0005111C" w:rsidP="0005111C">
      <w:pPr>
        <w:jc w:val="both"/>
        <w:rPr>
          <w:rFonts w:ascii="Calibri" w:hAnsi="Calibri" w:cs="Calibri"/>
        </w:rPr>
      </w:pPr>
      <w:r w:rsidRPr="0005111C">
        <w:rPr>
          <w:rFonts w:ascii="Calibri" w:hAnsi="Calibri" w:cs="Calibri"/>
        </w:rPr>
        <w:t>A CAF üzemeltetési és fenntartási költségek közül a vontatási energia költséget az energia terv, míg a személyi jellegű költségeket, azaz a járművezetői, karbantartói, és a raktáros munkavállalók költségeit a bérterv tartalmazza. A gazdálkodási költségkeret magában foglalja a CAF üzemeltetés költségeit (beleértve a kocsiszíni, műszaki infrastruktúra költségeket is), illetve az üzemeltetési megállapodásban rögzített fenntartási feladatok költségeit. A bevétel terv tartalmazza a megállapodások várható bevételeit.</w:t>
      </w:r>
    </w:p>
    <w:p w14:paraId="24A2EB57" w14:textId="77777777" w:rsidR="00DF161D" w:rsidRPr="00787AB7" w:rsidRDefault="00DF161D" w:rsidP="00DF161D">
      <w:pPr>
        <w:jc w:val="both"/>
        <w:rPr>
          <w:rFonts w:ascii="Calibri" w:hAnsi="Calibri" w:cs="Calibri"/>
        </w:rPr>
      </w:pPr>
    </w:p>
    <w:p w14:paraId="192B352F" w14:textId="77777777" w:rsidR="00DF161D" w:rsidRPr="00787AB7" w:rsidRDefault="009A1A77" w:rsidP="00DF161D">
      <w:pPr>
        <w:jc w:val="both"/>
        <w:rPr>
          <w:rFonts w:ascii="Calibri" w:hAnsi="Calibri" w:cs="Calibri"/>
        </w:rPr>
      </w:pPr>
      <w:r w:rsidRPr="00787AB7">
        <w:rPr>
          <w:rFonts w:ascii="Calibri" w:hAnsi="Calibri"/>
        </w:rPr>
        <w:t xml:space="preserve">A BKK és a Főváros pozitív döntése következtében megtörtént az opciós állomány egy részének lehívása, melynek eredményeként további 21 darab rövid és 5 darab hosszú járművel bővül az állomány. </w:t>
      </w:r>
    </w:p>
    <w:p w14:paraId="29A417FA" w14:textId="77777777" w:rsidR="00DF161D" w:rsidRPr="00787AB7" w:rsidRDefault="00DF161D" w:rsidP="00DF161D">
      <w:pPr>
        <w:jc w:val="both"/>
        <w:rPr>
          <w:rFonts w:ascii="Calibri" w:hAnsi="Calibri" w:cs="Calibri"/>
          <w:lang w:eastAsia="ru-RU"/>
        </w:rPr>
      </w:pPr>
    </w:p>
    <w:p w14:paraId="1738ABBD" w14:textId="055DDB2B" w:rsidR="00DF161D" w:rsidRPr="00787AB7" w:rsidRDefault="009A1A77" w:rsidP="00DF161D">
      <w:pPr>
        <w:jc w:val="both"/>
      </w:pPr>
      <w:r w:rsidRPr="00787AB7">
        <w:rPr>
          <w:rFonts w:ascii="Calibri" w:hAnsi="Calibri" w:cs="Calibri"/>
        </w:rPr>
        <w:t xml:space="preserve">A villamos ágazat mellett az autóbusz és trolibusz ágazat is üzemeltet a BKK által beszerzett járműveket. </w:t>
      </w:r>
      <w:r w:rsidRPr="00787AB7">
        <w:rPr>
          <w:rFonts w:ascii="Calibri" w:hAnsi="Calibri"/>
        </w:rPr>
        <w:t>Az autóbusz és trolibusz járművek vonatkozásában mára több mint egy éves üzemeltetési tapasztalttal rendelkezik a Társaság. A Karsan midibuszok közül</w:t>
      </w:r>
      <w:r w:rsidR="0005111C">
        <w:rPr>
          <w:rFonts w:ascii="Calibri" w:hAnsi="Calibri"/>
        </w:rPr>
        <w:t xml:space="preserve"> a</w:t>
      </w:r>
      <w:r w:rsidRPr="00787AB7">
        <w:rPr>
          <w:rFonts w:ascii="Calibri" w:hAnsi="Calibri"/>
        </w:rPr>
        <w:t xml:space="preserve"> 2017</w:t>
      </w:r>
      <w:r w:rsidR="0005111C">
        <w:rPr>
          <w:rFonts w:ascii="Calibri" w:hAnsi="Calibri"/>
        </w:rPr>
        <w:t>. év</w:t>
      </w:r>
      <w:r w:rsidRPr="00787AB7">
        <w:rPr>
          <w:rFonts w:ascii="Calibri" w:hAnsi="Calibri"/>
        </w:rPr>
        <w:t xml:space="preserve"> tavaszán egy jármű kiégett, ezért állományuk 15 darabra csökkent. Az elmúlt egy év során a gyártó felé bejelentett hibákból nyert tapasztalatok, úgymint jellemző anyag, alkatrész felhasználás, a 2018. évi Üzleti Tervben is figyelembe vételre kerültek.</w:t>
      </w:r>
    </w:p>
    <w:p w14:paraId="742123EF" w14:textId="77777777" w:rsidR="00DF161D" w:rsidRPr="00787AB7" w:rsidRDefault="00DF161D" w:rsidP="00DF161D">
      <w:pPr>
        <w:jc w:val="both"/>
        <w:rPr>
          <w:rFonts w:ascii="Calibri" w:hAnsi="Calibri"/>
        </w:rPr>
      </w:pPr>
    </w:p>
    <w:p w14:paraId="366C8375" w14:textId="77777777" w:rsidR="00DF161D" w:rsidRPr="00787AB7" w:rsidRDefault="009A1A77" w:rsidP="00DF161D">
      <w:pPr>
        <w:jc w:val="both"/>
        <w:rPr>
          <w:rFonts w:ascii="Calibri" w:hAnsi="Calibri"/>
        </w:rPr>
      </w:pPr>
      <w:r w:rsidRPr="00787AB7">
        <w:rPr>
          <w:rFonts w:ascii="Calibri" w:hAnsi="Calibri"/>
        </w:rPr>
        <w:t>A Karsan midibuszok lejáró garanciális idejéből adódóan több eddig jelentkező hiba saját forrásból történő javítására kell felkészülni (akkumulátor melegedés, katalitikus dobok regenerálási hibája, retarder munkahenger, stabilizátor szilent, motor és váltó tartó bakok idő előtti elhasználódása). A saját forrásból történő javítás mintegy 30 millió Ft többletköltség felmerülését indokolja.</w:t>
      </w:r>
    </w:p>
    <w:p w14:paraId="7BFBEE40" w14:textId="77777777" w:rsidR="00DF161D" w:rsidRPr="00787AB7" w:rsidRDefault="00DF161D" w:rsidP="00DF161D">
      <w:pPr>
        <w:jc w:val="both"/>
        <w:rPr>
          <w:rFonts w:ascii="Calibri" w:hAnsi="Calibri"/>
        </w:rPr>
      </w:pPr>
    </w:p>
    <w:p w14:paraId="0AF009C9" w14:textId="2D7099CE" w:rsidR="00DF161D" w:rsidRPr="00787AB7" w:rsidRDefault="009A1A77" w:rsidP="00DF161D">
      <w:pPr>
        <w:jc w:val="both"/>
        <w:rPr>
          <w:rFonts w:ascii="Calibri" w:hAnsi="Calibri"/>
        </w:rPr>
      </w:pPr>
      <w:r w:rsidRPr="00787AB7">
        <w:rPr>
          <w:rFonts w:ascii="Calibri" w:hAnsi="Calibri"/>
        </w:rPr>
        <w:t xml:space="preserve">2018. év folyamán az SST trolibuszok esetében </w:t>
      </w:r>
      <w:r w:rsidR="00EB52E3">
        <w:rPr>
          <w:rFonts w:ascii="Calibri" w:hAnsi="Calibri"/>
        </w:rPr>
        <w:t>szintén</w:t>
      </w:r>
      <w:r w:rsidR="00EB52E3" w:rsidRPr="00787AB7">
        <w:rPr>
          <w:rFonts w:ascii="Calibri" w:hAnsi="Calibri"/>
        </w:rPr>
        <w:t xml:space="preserve"> </w:t>
      </w:r>
      <w:r w:rsidRPr="00787AB7">
        <w:rPr>
          <w:rFonts w:ascii="Calibri" w:hAnsi="Calibri"/>
        </w:rPr>
        <w:t>a garanciális idő lejártából adódóan, korábban nem szükséges, magas ciklusú beavatkozások várhatóak, melyek egy része a futásteljesítményhez, egy része az üzemidőhöz kapcsolódik. Ezen szemlék során számos művelet, a hozzá tartozó javításokkal, 2018. előtt nem jelentkezett/nem jelentkezhetett. Mindez valószínűsíti, hogy növekvő</w:t>
      </w:r>
      <w:r w:rsidR="0005111C">
        <w:rPr>
          <w:rFonts w:ascii="Calibri" w:hAnsi="Calibri"/>
        </w:rPr>
        <w:t xml:space="preserve"> számú</w:t>
      </w:r>
      <w:r w:rsidRPr="00787AB7">
        <w:rPr>
          <w:rFonts w:ascii="Calibri" w:hAnsi="Calibri"/>
        </w:rPr>
        <w:t xml:space="preserve"> javítási művelet végrehajtása válik szükségessé az év során, melyek hatására a felhasználási értékek 30 millió Ft-tal való emelkedése prognosztizálható.</w:t>
      </w:r>
    </w:p>
    <w:p w14:paraId="35B4134D" w14:textId="77777777" w:rsidR="00DF161D" w:rsidRPr="00787AB7" w:rsidRDefault="00DF161D" w:rsidP="00DF161D">
      <w:pPr>
        <w:jc w:val="both"/>
        <w:rPr>
          <w:rFonts w:ascii="Calibri" w:hAnsi="Calibri"/>
        </w:rPr>
      </w:pPr>
    </w:p>
    <w:p w14:paraId="58553C0D" w14:textId="53C95072" w:rsidR="00DF161D" w:rsidRPr="00787AB7" w:rsidRDefault="009A1A77" w:rsidP="00DF161D">
      <w:pPr>
        <w:jc w:val="both"/>
        <w:rPr>
          <w:rFonts w:ascii="Calibri" w:hAnsi="Calibri"/>
        </w:rPr>
      </w:pPr>
      <w:r w:rsidRPr="00787AB7">
        <w:rPr>
          <w:rFonts w:ascii="Calibri" w:hAnsi="Calibri"/>
        </w:rPr>
        <w:t>A 2018. évi Üzleti Terv</w:t>
      </w:r>
      <w:r w:rsidR="0005111C">
        <w:rPr>
          <w:rFonts w:ascii="Calibri" w:hAnsi="Calibri"/>
        </w:rPr>
        <w:t>ben bemutatott</w:t>
      </w:r>
      <w:r w:rsidRPr="00787AB7">
        <w:rPr>
          <w:rFonts w:ascii="Calibri" w:hAnsi="Calibri"/>
        </w:rPr>
        <w:t xml:space="preserve"> adatok tartalmazzák a járművek tervezett üzemeltetési és fenntartási, valamint az üzemeltetéshez kapcsolható egyéb költségeket (pl. raktárkonténer bérlése, létesítmény-használat).</w:t>
      </w:r>
    </w:p>
    <w:p w14:paraId="58ED98B6" w14:textId="77777777" w:rsidR="00901200" w:rsidRPr="00787AB7" w:rsidRDefault="00901200" w:rsidP="005B29CD">
      <w:pPr>
        <w:rPr>
          <w:rFonts w:asciiTheme="minorHAnsi" w:hAnsiTheme="minorHAnsi" w:cstheme="minorHAnsi"/>
          <w:highlight w:val="yellow"/>
        </w:rPr>
      </w:pPr>
    </w:p>
    <w:p w14:paraId="2E085DBA" w14:textId="77777777" w:rsidR="00901200" w:rsidRPr="00787AB7" w:rsidRDefault="009A1A77" w:rsidP="00A513EE">
      <w:pPr>
        <w:spacing w:before="120"/>
        <w:ind w:left="7080" w:firstLine="708"/>
        <w:jc w:val="center"/>
        <w:rPr>
          <w:rFonts w:asciiTheme="minorHAnsi" w:hAnsiTheme="minorHAnsi" w:cstheme="minorHAnsi"/>
          <w:sz w:val="18"/>
          <w:szCs w:val="18"/>
        </w:rPr>
      </w:pPr>
      <w:r w:rsidRPr="00787AB7">
        <w:rPr>
          <w:rFonts w:asciiTheme="minorHAnsi" w:hAnsiTheme="minorHAnsi" w:cstheme="minorHAnsi"/>
          <w:sz w:val="18"/>
          <w:szCs w:val="18"/>
        </w:rPr>
        <w:t>(millió 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6"/>
        <w:gridCol w:w="1984"/>
        <w:gridCol w:w="1961"/>
        <w:gridCol w:w="16"/>
      </w:tblGrid>
      <w:tr w:rsidR="00625A56" w:rsidRPr="00625A56" w14:paraId="5FF56E9E" w14:textId="77777777" w:rsidTr="007908D3">
        <w:trPr>
          <w:gridAfter w:val="1"/>
          <w:wAfter w:w="16" w:type="dxa"/>
          <w:trHeight w:val="742"/>
          <w:jc w:val="center"/>
        </w:trPr>
        <w:tc>
          <w:tcPr>
            <w:tcW w:w="2694" w:type="dxa"/>
            <w:shd w:val="clear" w:color="auto" w:fill="2528A3"/>
            <w:vAlign w:val="center"/>
          </w:tcPr>
          <w:p w14:paraId="120079B9" w14:textId="77777777" w:rsidR="00DF161D" w:rsidRPr="00787AB7" w:rsidRDefault="009A1A77" w:rsidP="007908D3">
            <w:pPr>
              <w:jc w:val="center"/>
              <w:rPr>
                <w:rFonts w:ascii="Calibri" w:hAnsi="Calibri" w:cs="Calibri"/>
                <w:b/>
                <w:bCs/>
                <w:sz w:val="20"/>
                <w:szCs w:val="20"/>
              </w:rPr>
            </w:pPr>
            <w:r w:rsidRPr="00787AB7">
              <w:rPr>
                <w:rFonts w:ascii="Calibri" w:hAnsi="Calibri" w:cs="Calibri"/>
                <w:b/>
                <w:bCs/>
                <w:sz w:val="20"/>
                <w:szCs w:val="20"/>
              </w:rPr>
              <w:t>Megnevezés</w:t>
            </w:r>
          </w:p>
        </w:tc>
        <w:tc>
          <w:tcPr>
            <w:tcW w:w="2126" w:type="dxa"/>
            <w:shd w:val="clear" w:color="auto" w:fill="2528A3"/>
            <w:vAlign w:val="center"/>
          </w:tcPr>
          <w:p w14:paraId="374A56D2" w14:textId="77777777" w:rsidR="00DF161D" w:rsidRPr="00787AB7" w:rsidRDefault="009A1A77" w:rsidP="007908D3">
            <w:pPr>
              <w:jc w:val="center"/>
              <w:rPr>
                <w:rFonts w:ascii="Calibri" w:hAnsi="Calibri" w:cs="Calibri"/>
                <w:b/>
                <w:bCs/>
                <w:sz w:val="20"/>
                <w:szCs w:val="20"/>
              </w:rPr>
            </w:pPr>
            <w:r w:rsidRPr="00787AB7">
              <w:rPr>
                <w:rFonts w:ascii="Calibri" w:hAnsi="Calibri" w:cs="Calibri"/>
                <w:b/>
                <w:bCs/>
                <w:sz w:val="20"/>
                <w:szCs w:val="20"/>
              </w:rPr>
              <w:t>Solaris-Skoda Trollino trolibuszok</w:t>
            </w:r>
          </w:p>
        </w:tc>
        <w:tc>
          <w:tcPr>
            <w:tcW w:w="1984" w:type="dxa"/>
            <w:shd w:val="clear" w:color="auto" w:fill="2528A3"/>
            <w:vAlign w:val="center"/>
          </w:tcPr>
          <w:p w14:paraId="39F17B00" w14:textId="77777777" w:rsidR="00DF161D" w:rsidRPr="00787AB7" w:rsidRDefault="009A1A77" w:rsidP="007908D3">
            <w:pPr>
              <w:jc w:val="center"/>
              <w:rPr>
                <w:rFonts w:ascii="Calibri" w:hAnsi="Calibri" w:cs="Calibri"/>
                <w:b/>
                <w:bCs/>
                <w:sz w:val="20"/>
                <w:szCs w:val="20"/>
              </w:rPr>
            </w:pPr>
            <w:r w:rsidRPr="00787AB7">
              <w:rPr>
                <w:rFonts w:ascii="Calibri" w:hAnsi="Calibri" w:cs="Calibri"/>
                <w:b/>
                <w:bCs/>
                <w:sz w:val="20"/>
                <w:szCs w:val="20"/>
              </w:rPr>
              <w:t>Karsan</w:t>
            </w:r>
            <w:r w:rsidRPr="00787AB7">
              <w:rPr>
                <w:rFonts w:ascii="Calibri" w:hAnsi="Calibri" w:cs="Calibri"/>
                <w:b/>
                <w:bCs/>
                <w:sz w:val="20"/>
                <w:szCs w:val="20"/>
              </w:rPr>
              <w:br/>
              <w:t>autóbuszok</w:t>
            </w:r>
          </w:p>
        </w:tc>
        <w:tc>
          <w:tcPr>
            <w:tcW w:w="1961" w:type="dxa"/>
            <w:shd w:val="clear" w:color="auto" w:fill="2528A3"/>
            <w:vAlign w:val="center"/>
          </w:tcPr>
          <w:p w14:paraId="00087822" w14:textId="77777777" w:rsidR="00DF161D" w:rsidRPr="00787AB7" w:rsidRDefault="009A1A77" w:rsidP="007908D3">
            <w:pPr>
              <w:jc w:val="center"/>
              <w:rPr>
                <w:rFonts w:ascii="Calibri" w:hAnsi="Calibri" w:cs="Calibri"/>
                <w:b/>
                <w:bCs/>
                <w:sz w:val="20"/>
                <w:szCs w:val="20"/>
              </w:rPr>
            </w:pPr>
            <w:r w:rsidRPr="00787AB7">
              <w:rPr>
                <w:rFonts w:ascii="Calibri" w:hAnsi="Calibri" w:cs="Calibri"/>
                <w:b/>
                <w:bCs/>
                <w:sz w:val="20"/>
                <w:szCs w:val="20"/>
              </w:rPr>
              <w:t>CAF</w:t>
            </w:r>
            <w:r w:rsidRPr="00787AB7">
              <w:rPr>
                <w:rFonts w:ascii="Calibri" w:hAnsi="Calibri" w:cs="Calibri"/>
                <w:b/>
                <w:bCs/>
                <w:sz w:val="20"/>
                <w:szCs w:val="20"/>
              </w:rPr>
              <w:br/>
              <w:t>villamosok</w:t>
            </w:r>
          </w:p>
        </w:tc>
      </w:tr>
      <w:tr w:rsidR="0056690E" w:rsidRPr="0056690E" w14:paraId="28BD7772" w14:textId="77777777" w:rsidTr="007908D3">
        <w:trPr>
          <w:trHeight w:val="360"/>
          <w:jc w:val="center"/>
        </w:trPr>
        <w:tc>
          <w:tcPr>
            <w:tcW w:w="2694" w:type="dxa"/>
            <w:vAlign w:val="center"/>
          </w:tcPr>
          <w:p w14:paraId="65A17B10" w14:textId="77777777" w:rsidR="00DF161D" w:rsidRPr="00787AB7" w:rsidRDefault="009A1A77" w:rsidP="007908D3">
            <w:pPr>
              <w:rPr>
                <w:rFonts w:ascii="Calibri" w:hAnsi="Calibri" w:cs="Calibri"/>
                <w:b/>
                <w:sz w:val="18"/>
                <w:szCs w:val="18"/>
              </w:rPr>
            </w:pPr>
            <w:r w:rsidRPr="00787AB7">
              <w:rPr>
                <w:rFonts w:ascii="Calibri" w:hAnsi="Calibri" w:cs="Calibri"/>
                <w:b/>
                <w:sz w:val="18"/>
                <w:szCs w:val="18"/>
              </w:rPr>
              <w:t>Bevételek (kompenzációs díjjal)</w:t>
            </w:r>
          </w:p>
        </w:tc>
        <w:tc>
          <w:tcPr>
            <w:tcW w:w="2126" w:type="dxa"/>
            <w:shd w:val="clear" w:color="auto" w:fill="auto"/>
            <w:vAlign w:val="center"/>
          </w:tcPr>
          <w:p w14:paraId="7EFB1037" w14:textId="77777777" w:rsidR="00DF161D" w:rsidRPr="00787AB7" w:rsidRDefault="009A1A77" w:rsidP="007908D3">
            <w:pPr>
              <w:jc w:val="right"/>
              <w:rPr>
                <w:rFonts w:ascii="Calibri" w:hAnsi="Calibri"/>
                <w:b/>
                <w:sz w:val="18"/>
                <w:szCs w:val="18"/>
              </w:rPr>
            </w:pPr>
            <w:r w:rsidRPr="00787AB7">
              <w:rPr>
                <w:rFonts w:ascii="Calibri" w:hAnsi="Calibri"/>
                <w:b/>
                <w:sz w:val="18"/>
                <w:szCs w:val="18"/>
              </w:rPr>
              <w:t>880</w:t>
            </w:r>
          </w:p>
        </w:tc>
        <w:tc>
          <w:tcPr>
            <w:tcW w:w="1984" w:type="dxa"/>
            <w:shd w:val="clear" w:color="auto" w:fill="auto"/>
            <w:vAlign w:val="center"/>
          </w:tcPr>
          <w:p w14:paraId="00AA1468" w14:textId="77777777" w:rsidR="00DF161D" w:rsidRPr="00787AB7" w:rsidRDefault="009A1A77" w:rsidP="007908D3">
            <w:pPr>
              <w:jc w:val="right"/>
              <w:rPr>
                <w:rFonts w:ascii="Calibri" w:hAnsi="Calibri"/>
                <w:b/>
                <w:sz w:val="18"/>
                <w:szCs w:val="18"/>
              </w:rPr>
            </w:pPr>
            <w:r w:rsidRPr="00787AB7">
              <w:rPr>
                <w:rFonts w:ascii="Calibri" w:hAnsi="Calibri"/>
                <w:b/>
                <w:sz w:val="18"/>
                <w:szCs w:val="18"/>
              </w:rPr>
              <w:t>419</w:t>
            </w:r>
          </w:p>
        </w:tc>
        <w:tc>
          <w:tcPr>
            <w:tcW w:w="1977" w:type="dxa"/>
            <w:gridSpan w:val="2"/>
            <w:vAlign w:val="center"/>
          </w:tcPr>
          <w:p w14:paraId="17DD882A" w14:textId="77777777" w:rsidR="00DF161D" w:rsidRPr="00787AB7" w:rsidRDefault="009A1A77" w:rsidP="007908D3">
            <w:pPr>
              <w:jc w:val="right"/>
              <w:rPr>
                <w:rFonts w:ascii="Calibri" w:hAnsi="Calibri"/>
                <w:b/>
                <w:sz w:val="18"/>
                <w:szCs w:val="18"/>
              </w:rPr>
            </w:pPr>
            <w:r w:rsidRPr="00787AB7">
              <w:rPr>
                <w:rFonts w:ascii="Calibri" w:hAnsi="Calibri"/>
                <w:b/>
                <w:sz w:val="18"/>
                <w:szCs w:val="18"/>
              </w:rPr>
              <w:t>1 534</w:t>
            </w:r>
          </w:p>
        </w:tc>
      </w:tr>
      <w:tr w:rsidR="0056690E" w:rsidRPr="0056690E" w14:paraId="46738C54" w14:textId="77777777" w:rsidTr="007908D3">
        <w:trPr>
          <w:trHeight w:val="360"/>
          <w:jc w:val="center"/>
        </w:trPr>
        <w:tc>
          <w:tcPr>
            <w:tcW w:w="2694" w:type="dxa"/>
            <w:vAlign w:val="center"/>
          </w:tcPr>
          <w:p w14:paraId="079C1AA2" w14:textId="77777777" w:rsidR="00DF161D" w:rsidRPr="00787AB7" w:rsidRDefault="009A1A77" w:rsidP="007908D3">
            <w:pPr>
              <w:ind w:left="166"/>
              <w:rPr>
                <w:rFonts w:ascii="Calibri" w:hAnsi="Calibri" w:cs="Calibri"/>
                <w:i/>
                <w:sz w:val="18"/>
                <w:szCs w:val="18"/>
              </w:rPr>
            </w:pPr>
            <w:r w:rsidRPr="00787AB7">
              <w:rPr>
                <w:rFonts w:ascii="Calibri" w:hAnsi="Calibri" w:cs="Calibri"/>
                <w:i/>
                <w:sz w:val="18"/>
                <w:szCs w:val="18"/>
              </w:rPr>
              <w:t>Anyagköltség(energia nélkül)</w:t>
            </w:r>
          </w:p>
        </w:tc>
        <w:tc>
          <w:tcPr>
            <w:tcW w:w="2126" w:type="dxa"/>
            <w:shd w:val="clear" w:color="auto" w:fill="auto"/>
            <w:vAlign w:val="center"/>
          </w:tcPr>
          <w:p w14:paraId="0AB67C41"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55</w:t>
            </w:r>
          </w:p>
        </w:tc>
        <w:tc>
          <w:tcPr>
            <w:tcW w:w="1984" w:type="dxa"/>
            <w:shd w:val="clear" w:color="auto" w:fill="auto"/>
            <w:vAlign w:val="center"/>
          </w:tcPr>
          <w:p w14:paraId="15C978B5"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33</w:t>
            </w:r>
          </w:p>
        </w:tc>
        <w:tc>
          <w:tcPr>
            <w:tcW w:w="1977" w:type="dxa"/>
            <w:gridSpan w:val="2"/>
            <w:vAlign w:val="center"/>
          </w:tcPr>
          <w:p w14:paraId="6D288497"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2</w:t>
            </w:r>
          </w:p>
        </w:tc>
      </w:tr>
      <w:tr w:rsidR="0056690E" w:rsidRPr="0056690E" w14:paraId="2E6DC87F" w14:textId="77777777" w:rsidTr="007908D3">
        <w:trPr>
          <w:trHeight w:val="360"/>
          <w:jc w:val="center"/>
        </w:trPr>
        <w:tc>
          <w:tcPr>
            <w:tcW w:w="2694" w:type="dxa"/>
            <w:vAlign w:val="center"/>
          </w:tcPr>
          <w:p w14:paraId="59DB514C" w14:textId="77777777" w:rsidR="00DF161D" w:rsidRPr="00787AB7" w:rsidRDefault="009A1A77" w:rsidP="007908D3">
            <w:pPr>
              <w:ind w:left="166"/>
              <w:rPr>
                <w:rFonts w:ascii="Calibri" w:hAnsi="Calibri" w:cs="Calibri"/>
                <w:i/>
                <w:sz w:val="18"/>
                <w:szCs w:val="18"/>
              </w:rPr>
            </w:pPr>
            <w:r w:rsidRPr="00787AB7">
              <w:rPr>
                <w:rFonts w:ascii="Calibri" w:hAnsi="Calibri" w:cs="Calibri"/>
                <w:i/>
                <w:sz w:val="18"/>
                <w:szCs w:val="18"/>
              </w:rPr>
              <w:t>Üzemeltetési gázolaj</w:t>
            </w:r>
          </w:p>
        </w:tc>
        <w:tc>
          <w:tcPr>
            <w:tcW w:w="2126" w:type="dxa"/>
            <w:shd w:val="clear" w:color="auto" w:fill="auto"/>
            <w:vAlign w:val="center"/>
          </w:tcPr>
          <w:p w14:paraId="4DCAC832"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w:t>
            </w:r>
          </w:p>
        </w:tc>
        <w:tc>
          <w:tcPr>
            <w:tcW w:w="1984" w:type="dxa"/>
            <w:shd w:val="clear" w:color="auto" w:fill="auto"/>
            <w:vAlign w:val="center"/>
          </w:tcPr>
          <w:p w14:paraId="776EFC1B"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88</w:t>
            </w:r>
          </w:p>
        </w:tc>
        <w:tc>
          <w:tcPr>
            <w:tcW w:w="1977" w:type="dxa"/>
            <w:gridSpan w:val="2"/>
            <w:vAlign w:val="center"/>
          </w:tcPr>
          <w:p w14:paraId="77CA7EC2"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w:t>
            </w:r>
          </w:p>
        </w:tc>
      </w:tr>
      <w:tr w:rsidR="0056690E" w:rsidRPr="0056690E" w14:paraId="68C9B9AB" w14:textId="77777777" w:rsidTr="007908D3">
        <w:trPr>
          <w:trHeight w:val="360"/>
          <w:jc w:val="center"/>
        </w:trPr>
        <w:tc>
          <w:tcPr>
            <w:tcW w:w="2694" w:type="dxa"/>
            <w:vAlign w:val="center"/>
          </w:tcPr>
          <w:p w14:paraId="44B178E4" w14:textId="77777777" w:rsidR="00DF161D" w:rsidRPr="00787AB7" w:rsidRDefault="009A1A77" w:rsidP="007908D3">
            <w:pPr>
              <w:ind w:left="166"/>
              <w:rPr>
                <w:rFonts w:ascii="Calibri" w:hAnsi="Calibri" w:cs="Calibri"/>
                <w:i/>
                <w:sz w:val="18"/>
                <w:szCs w:val="18"/>
              </w:rPr>
            </w:pPr>
            <w:r w:rsidRPr="00787AB7">
              <w:rPr>
                <w:rFonts w:ascii="Calibri" w:hAnsi="Calibri" w:cs="Calibri"/>
                <w:i/>
                <w:sz w:val="18"/>
                <w:szCs w:val="18"/>
              </w:rPr>
              <w:t>Vontatási áram</w:t>
            </w:r>
          </w:p>
        </w:tc>
        <w:tc>
          <w:tcPr>
            <w:tcW w:w="2126" w:type="dxa"/>
            <w:shd w:val="clear" w:color="auto" w:fill="auto"/>
            <w:vAlign w:val="center"/>
          </w:tcPr>
          <w:p w14:paraId="6777AAFA"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160</w:t>
            </w:r>
          </w:p>
        </w:tc>
        <w:tc>
          <w:tcPr>
            <w:tcW w:w="1984" w:type="dxa"/>
            <w:shd w:val="clear" w:color="auto" w:fill="auto"/>
            <w:vAlign w:val="center"/>
          </w:tcPr>
          <w:p w14:paraId="74E72517"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w:t>
            </w:r>
          </w:p>
        </w:tc>
        <w:tc>
          <w:tcPr>
            <w:tcW w:w="1977" w:type="dxa"/>
            <w:gridSpan w:val="2"/>
            <w:vAlign w:val="center"/>
          </w:tcPr>
          <w:p w14:paraId="6286CF40"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499</w:t>
            </w:r>
          </w:p>
        </w:tc>
      </w:tr>
      <w:tr w:rsidR="0056690E" w:rsidRPr="0056690E" w14:paraId="4637076D" w14:textId="77777777" w:rsidTr="007908D3">
        <w:trPr>
          <w:trHeight w:val="360"/>
          <w:jc w:val="center"/>
        </w:trPr>
        <w:tc>
          <w:tcPr>
            <w:tcW w:w="2694" w:type="dxa"/>
            <w:vAlign w:val="center"/>
          </w:tcPr>
          <w:p w14:paraId="1DE4B2C9" w14:textId="77777777" w:rsidR="00DF161D" w:rsidRPr="00787AB7" w:rsidRDefault="009A1A77" w:rsidP="007908D3">
            <w:pPr>
              <w:ind w:left="166"/>
              <w:rPr>
                <w:rFonts w:ascii="Calibri" w:hAnsi="Calibri" w:cs="Calibri"/>
                <w:i/>
                <w:sz w:val="18"/>
                <w:szCs w:val="18"/>
              </w:rPr>
            </w:pPr>
            <w:r w:rsidRPr="00787AB7">
              <w:rPr>
                <w:rFonts w:ascii="Calibri" w:hAnsi="Calibri" w:cs="Calibri"/>
                <w:i/>
                <w:sz w:val="18"/>
                <w:szCs w:val="18"/>
              </w:rPr>
              <w:t>Igénybe vett szolgáltatások</w:t>
            </w:r>
          </w:p>
        </w:tc>
        <w:tc>
          <w:tcPr>
            <w:tcW w:w="2126" w:type="dxa"/>
            <w:shd w:val="clear" w:color="auto" w:fill="auto"/>
            <w:vAlign w:val="center"/>
          </w:tcPr>
          <w:p w14:paraId="69AB7E71"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15</w:t>
            </w:r>
          </w:p>
        </w:tc>
        <w:tc>
          <w:tcPr>
            <w:tcW w:w="1984" w:type="dxa"/>
            <w:shd w:val="clear" w:color="auto" w:fill="auto"/>
            <w:vAlign w:val="center"/>
          </w:tcPr>
          <w:p w14:paraId="731EA271"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15</w:t>
            </w:r>
          </w:p>
        </w:tc>
        <w:tc>
          <w:tcPr>
            <w:tcW w:w="1977" w:type="dxa"/>
            <w:gridSpan w:val="2"/>
            <w:vAlign w:val="center"/>
          </w:tcPr>
          <w:p w14:paraId="794AD0BE"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122</w:t>
            </w:r>
          </w:p>
        </w:tc>
      </w:tr>
      <w:tr w:rsidR="0056690E" w:rsidRPr="0056690E" w14:paraId="058CA951" w14:textId="77777777" w:rsidTr="007908D3">
        <w:trPr>
          <w:trHeight w:val="360"/>
          <w:jc w:val="center"/>
        </w:trPr>
        <w:tc>
          <w:tcPr>
            <w:tcW w:w="2694" w:type="dxa"/>
            <w:vAlign w:val="center"/>
          </w:tcPr>
          <w:p w14:paraId="4824CAEC" w14:textId="77777777" w:rsidR="00DF161D" w:rsidRPr="00787AB7" w:rsidRDefault="009A1A77" w:rsidP="007908D3">
            <w:pPr>
              <w:ind w:left="166"/>
              <w:rPr>
                <w:rFonts w:ascii="Calibri" w:hAnsi="Calibri" w:cs="Calibri"/>
                <w:i/>
                <w:sz w:val="18"/>
                <w:szCs w:val="18"/>
              </w:rPr>
            </w:pPr>
            <w:r w:rsidRPr="00787AB7">
              <w:rPr>
                <w:rFonts w:ascii="Calibri" w:hAnsi="Calibri" w:cs="Calibri"/>
                <w:i/>
                <w:sz w:val="18"/>
                <w:szCs w:val="18"/>
              </w:rPr>
              <w:t>Egyéb szolgáltatások</w:t>
            </w:r>
          </w:p>
        </w:tc>
        <w:tc>
          <w:tcPr>
            <w:tcW w:w="2126" w:type="dxa"/>
            <w:shd w:val="clear" w:color="auto" w:fill="auto"/>
            <w:vAlign w:val="center"/>
          </w:tcPr>
          <w:p w14:paraId="46898FE8"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10</w:t>
            </w:r>
          </w:p>
        </w:tc>
        <w:tc>
          <w:tcPr>
            <w:tcW w:w="1984" w:type="dxa"/>
            <w:shd w:val="clear" w:color="auto" w:fill="auto"/>
            <w:vAlign w:val="center"/>
          </w:tcPr>
          <w:p w14:paraId="26629EC2"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2</w:t>
            </w:r>
          </w:p>
        </w:tc>
        <w:tc>
          <w:tcPr>
            <w:tcW w:w="1977" w:type="dxa"/>
            <w:gridSpan w:val="2"/>
            <w:vAlign w:val="center"/>
          </w:tcPr>
          <w:p w14:paraId="30714C66" w14:textId="77777777" w:rsidR="00DF161D" w:rsidRPr="00787AB7" w:rsidRDefault="009A1A77" w:rsidP="007908D3">
            <w:pPr>
              <w:jc w:val="right"/>
              <w:rPr>
                <w:rFonts w:ascii="Calibri" w:hAnsi="Calibri"/>
                <w:i/>
                <w:sz w:val="18"/>
                <w:szCs w:val="18"/>
              </w:rPr>
            </w:pPr>
            <w:r w:rsidRPr="00787AB7">
              <w:rPr>
                <w:rFonts w:ascii="Calibri" w:hAnsi="Calibri"/>
                <w:i/>
                <w:sz w:val="18"/>
                <w:szCs w:val="18"/>
              </w:rPr>
              <w:t>3</w:t>
            </w:r>
          </w:p>
        </w:tc>
      </w:tr>
      <w:tr w:rsidR="0056690E" w:rsidRPr="0056690E" w14:paraId="509B7D1F" w14:textId="77777777" w:rsidTr="007908D3">
        <w:trPr>
          <w:trHeight w:val="360"/>
          <w:jc w:val="center"/>
        </w:trPr>
        <w:tc>
          <w:tcPr>
            <w:tcW w:w="2694" w:type="dxa"/>
            <w:vAlign w:val="center"/>
          </w:tcPr>
          <w:p w14:paraId="00484E1D" w14:textId="77777777" w:rsidR="00DF161D" w:rsidRPr="00787AB7" w:rsidRDefault="009A1A77" w:rsidP="007908D3">
            <w:pPr>
              <w:rPr>
                <w:rFonts w:ascii="Calibri" w:hAnsi="Calibri" w:cs="Calibri"/>
                <w:b/>
                <w:sz w:val="18"/>
                <w:szCs w:val="18"/>
              </w:rPr>
            </w:pPr>
            <w:r w:rsidRPr="00787AB7">
              <w:rPr>
                <w:rFonts w:ascii="Calibri" w:hAnsi="Calibri" w:cs="Calibri"/>
                <w:b/>
                <w:sz w:val="18"/>
                <w:szCs w:val="18"/>
              </w:rPr>
              <w:t>Anyagjellegű ráfordítások</w:t>
            </w:r>
          </w:p>
        </w:tc>
        <w:tc>
          <w:tcPr>
            <w:tcW w:w="2126" w:type="dxa"/>
            <w:shd w:val="clear" w:color="auto" w:fill="auto"/>
            <w:vAlign w:val="center"/>
          </w:tcPr>
          <w:p w14:paraId="70E95F29" w14:textId="77777777" w:rsidR="00DF161D" w:rsidRPr="00787AB7" w:rsidRDefault="009A1A77" w:rsidP="007908D3">
            <w:pPr>
              <w:jc w:val="right"/>
              <w:rPr>
                <w:rFonts w:ascii="Calibri" w:hAnsi="Calibri"/>
                <w:b/>
                <w:sz w:val="18"/>
                <w:szCs w:val="18"/>
              </w:rPr>
            </w:pPr>
            <w:r w:rsidRPr="00787AB7">
              <w:rPr>
                <w:rFonts w:ascii="Calibri" w:hAnsi="Calibri"/>
                <w:b/>
                <w:sz w:val="18"/>
                <w:szCs w:val="18"/>
              </w:rPr>
              <w:t>240</w:t>
            </w:r>
          </w:p>
        </w:tc>
        <w:tc>
          <w:tcPr>
            <w:tcW w:w="1984" w:type="dxa"/>
            <w:shd w:val="clear" w:color="auto" w:fill="auto"/>
            <w:vAlign w:val="center"/>
          </w:tcPr>
          <w:p w14:paraId="43F4A3AD" w14:textId="77777777" w:rsidR="00DF161D" w:rsidRPr="00787AB7" w:rsidRDefault="009A1A77" w:rsidP="007908D3">
            <w:pPr>
              <w:jc w:val="right"/>
              <w:rPr>
                <w:rFonts w:ascii="Calibri" w:hAnsi="Calibri"/>
                <w:b/>
                <w:sz w:val="18"/>
                <w:szCs w:val="18"/>
              </w:rPr>
            </w:pPr>
            <w:r w:rsidRPr="00787AB7">
              <w:rPr>
                <w:rFonts w:ascii="Calibri" w:hAnsi="Calibri"/>
                <w:b/>
                <w:sz w:val="18"/>
                <w:szCs w:val="18"/>
              </w:rPr>
              <w:t>138</w:t>
            </w:r>
          </w:p>
        </w:tc>
        <w:tc>
          <w:tcPr>
            <w:tcW w:w="1977" w:type="dxa"/>
            <w:gridSpan w:val="2"/>
            <w:vAlign w:val="center"/>
          </w:tcPr>
          <w:p w14:paraId="1B380EC6" w14:textId="77777777" w:rsidR="00DF161D" w:rsidRPr="00787AB7" w:rsidRDefault="009A1A77" w:rsidP="007908D3">
            <w:pPr>
              <w:jc w:val="right"/>
              <w:rPr>
                <w:rFonts w:ascii="Calibri" w:hAnsi="Calibri"/>
                <w:b/>
                <w:sz w:val="18"/>
                <w:szCs w:val="18"/>
              </w:rPr>
            </w:pPr>
            <w:r w:rsidRPr="00787AB7">
              <w:rPr>
                <w:rFonts w:ascii="Calibri" w:hAnsi="Calibri"/>
                <w:b/>
                <w:sz w:val="18"/>
                <w:szCs w:val="18"/>
              </w:rPr>
              <w:t>626</w:t>
            </w:r>
          </w:p>
        </w:tc>
      </w:tr>
      <w:tr w:rsidR="0056690E" w:rsidRPr="0056690E" w14:paraId="7D54F1A5" w14:textId="77777777" w:rsidTr="007908D3">
        <w:trPr>
          <w:trHeight w:val="360"/>
          <w:jc w:val="center"/>
        </w:trPr>
        <w:tc>
          <w:tcPr>
            <w:tcW w:w="2694" w:type="dxa"/>
            <w:vAlign w:val="center"/>
          </w:tcPr>
          <w:p w14:paraId="781BFB21" w14:textId="77777777" w:rsidR="00DF161D" w:rsidRPr="00787AB7" w:rsidRDefault="009A1A77" w:rsidP="007908D3">
            <w:pPr>
              <w:rPr>
                <w:rFonts w:ascii="Calibri" w:hAnsi="Calibri" w:cs="Calibri"/>
                <w:b/>
                <w:sz w:val="18"/>
                <w:szCs w:val="18"/>
              </w:rPr>
            </w:pPr>
            <w:r w:rsidRPr="00787AB7">
              <w:rPr>
                <w:rFonts w:ascii="Calibri" w:hAnsi="Calibri" w:cs="Calibri"/>
                <w:b/>
                <w:sz w:val="18"/>
                <w:szCs w:val="18"/>
              </w:rPr>
              <w:t>Személyi jellegű ráfordítások</w:t>
            </w:r>
          </w:p>
        </w:tc>
        <w:tc>
          <w:tcPr>
            <w:tcW w:w="2126" w:type="dxa"/>
            <w:shd w:val="clear" w:color="auto" w:fill="auto"/>
            <w:vAlign w:val="center"/>
          </w:tcPr>
          <w:p w14:paraId="647E1E44" w14:textId="77777777" w:rsidR="00DF161D" w:rsidRPr="00787AB7" w:rsidRDefault="009A1A77" w:rsidP="007908D3">
            <w:pPr>
              <w:jc w:val="right"/>
              <w:rPr>
                <w:rFonts w:ascii="Calibri" w:hAnsi="Calibri"/>
                <w:b/>
                <w:sz w:val="18"/>
                <w:szCs w:val="18"/>
              </w:rPr>
            </w:pPr>
            <w:r w:rsidRPr="00787AB7">
              <w:rPr>
                <w:rFonts w:ascii="Calibri" w:hAnsi="Calibri"/>
                <w:b/>
                <w:sz w:val="18"/>
                <w:szCs w:val="18"/>
              </w:rPr>
              <w:t>640</w:t>
            </w:r>
          </w:p>
        </w:tc>
        <w:tc>
          <w:tcPr>
            <w:tcW w:w="1984" w:type="dxa"/>
            <w:shd w:val="clear" w:color="auto" w:fill="auto"/>
            <w:vAlign w:val="center"/>
          </w:tcPr>
          <w:p w14:paraId="555C0B84" w14:textId="77777777" w:rsidR="00DF161D" w:rsidRPr="00787AB7" w:rsidRDefault="009A1A77" w:rsidP="007908D3">
            <w:pPr>
              <w:jc w:val="right"/>
              <w:rPr>
                <w:rFonts w:ascii="Calibri" w:hAnsi="Calibri"/>
                <w:b/>
                <w:sz w:val="18"/>
                <w:szCs w:val="18"/>
              </w:rPr>
            </w:pPr>
            <w:r w:rsidRPr="00787AB7">
              <w:rPr>
                <w:rFonts w:ascii="Calibri" w:hAnsi="Calibri"/>
                <w:b/>
                <w:sz w:val="18"/>
                <w:szCs w:val="18"/>
              </w:rPr>
              <w:t>281</w:t>
            </w:r>
          </w:p>
        </w:tc>
        <w:tc>
          <w:tcPr>
            <w:tcW w:w="1977" w:type="dxa"/>
            <w:gridSpan w:val="2"/>
            <w:vAlign w:val="center"/>
          </w:tcPr>
          <w:p w14:paraId="4732A79C" w14:textId="77777777" w:rsidR="00DF161D" w:rsidRPr="00787AB7" w:rsidRDefault="009A1A77" w:rsidP="007908D3">
            <w:pPr>
              <w:jc w:val="right"/>
              <w:rPr>
                <w:rFonts w:ascii="Calibri" w:hAnsi="Calibri"/>
                <w:b/>
                <w:sz w:val="18"/>
                <w:szCs w:val="18"/>
              </w:rPr>
            </w:pPr>
            <w:r w:rsidRPr="00787AB7">
              <w:rPr>
                <w:rFonts w:ascii="Calibri" w:hAnsi="Calibri"/>
                <w:b/>
                <w:sz w:val="18"/>
                <w:szCs w:val="18"/>
              </w:rPr>
              <w:t>908</w:t>
            </w:r>
          </w:p>
        </w:tc>
      </w:tr>
    </w:tbl>
    <w:p w14:paraId="3EC74F50" w14:textId="77777777" w:rsidR="00BC7A9E" w:rsidRPr="00787AB7" w:rsidRDefault="00BC7A9E" w:rsidP="00BC7A9E">
      <w:pPr>
        <w:jc w:val="both"/>
        <w:rPr>
          <w:rFonts w:asciiTheme="minorHAnsi" w:hAnsiTheme="minorHAnsi"/>
        </w:rPr>
      </w:pPr>
    </w:p>
    <w:p w14:paraId="7F3A7A03" w14:textId="77777777" w:rsidR="00BC7A9E" w:rsidRPr="00787AB7" w:rsidRDefault="00BC7A9E" w:rsidP="00BC7A9E">
      <w:pPr>
        <w:jc w:val="both"/>
        <w:rPr>
          <w:rFonts w:asciiTheme="minorHAnsi" w:hAnsiTheme="minorHAnsi"/>
        </w:rPr>
      </w:pPr>
    </w:p>
    <w:p w14:paraId="0167D003" w14:textId="77777777" w:rsidR="00A602D5" w:rsidRDefault="00A602D5">
      <w:pPr>
        <w:rPr>
          <w:rFonts w:asciiTheme="minorHAnsi" w:hAnsiTheme="minorHAnsi" w:cstheme="minorHAnsi"/>
          <w:b/>
          <w:u w:val="single"/>
        </w:rPr>
      </w:pPr>
      <w:r>
        <w:br w:type="page"/>
      </w:r>
    </w:p>
    <w:p w14:paraId="06A3AD94" w14:textId="77777777" w:rsidR="003609C4" w:rsidRPr="00362915" w:rsidRDefault="00127D83" w:rsidP="001E0F17">
      <w:pPr>
        <w:pStyle w:val="Cmsor2"/>
      </w:pPr>
      <w:bookmarkStart w:id="41" w:name="_Toc512409619"/>
      <w:r w:rsidRPr="00362915">
        <w:lastRenderedPageBreak/>
        <w:t>I/</w:t>
      </w:r>
      <w:r w:rsidR="00EC220E" w:rsidRPr="00362915">
        <w:t>d</w:t>
      </w:r>
      <w:r w:rsidRPr="00362915">
        <w:t xml:space="preserve">. </w:t>
      </w:r>
      <w:r w:rsidR="003609C4" w:rsidRPr="00362915">
        <w:t>A BKV Zrt. nem közszolgáltatási tevékenységeinek alakulása</w:t>
      </w:r>
      <w:bookmarkEnd w:id="41"/>
    </w:p>
    <w:p w14:paraId="5046B9DE" w14:textId="77777777" w:rsidR="003609C4" w:rsidRPr="00787AB7" w:rsidRDefault="003609C4" w:rsidP="003609C4">
      <w:pPr>
        <w:pStyle w:val="Lista3"/>
        <w:ind w:left="0" w:firstLine="0"/>
        <w:rPr>
          <w:rFonts w:asciiTheme="minorHAnsi" w:hAnsiTheme="minorHAnsi" w:cstheme="minorHAnsi"/>
        </w:rPr>
      </w:pPr>
    </w:p>
    <w:p w14:paraId="44555A57" w14:textId="77777777" w:rsidR="003609C4" w:rsidRPr="00787AB7" w:rsidRDefault="009A1A77" w:rsidP="000A201C">
      <w:pPr>
        <w:pStyle w:val="Cmsor3"/>
        <w:tabs>
          <w:tab w:val="clear" w:pos="2007"/>
        </w:tabs>
        <w:ind w:left="0" w:firstLine="0"/>
        <w:rPr>
          <w:rFonts w:asciiTheme="minorHAnsi" w:hAnsiTheme="minorHAnsi" w:cstheme="minorHAnsi"/>
        </w:rPr>
      </w:pPr>
      <w:bookmarkStart w:id="42" w:name="_Toc512409620"/>
      <w:r w:rsidRPr="00787AB7">
        <w:rPr>
          <w:rFonts w:asciiTheme="minorHAnsi" w:hAnsiTheme="minorHAnsi" w:cstheme="minorHAnsi"/>
        </w:rPr>
        <w:t>- Budavári Sikló</w:t>
      </w:r>
      <w:bookmarkEnd w:id="42"/>
    </w:p>
    <w:p w14:paraId="19778A48" w14:textId="77777777" w:rsidR="003609C4" w:rsidRPr="00787AB7" w:rsidRDefault="003609C4" w:rsidP="003609C4">
      <w:pPr>
        <w:pStyle w:val="Lista3"/>
        <w:ind w:left="0" w:firstLine="0"/>
        <w:rPr>
          <w:rFonts w:asciiTheme="minorHAnsi" w:hAnsiTheme="minorHAnsi" w:cstheme="minorHAnsi"/>
        </w:rPr>
      </w:pPr>
    </w:p>
    <w:p w14:paraId="1A00BB5C" w14:textId="77777777" w:rsidR="00A44FBC" w:rsidRPr="00787AB7" w:rsidRDefault="009A1A77" w:rsidP="00A44FBC">
      <w:pPr>
        <w:contextualSpacing/>
        <w:jc w:val="both"/>
        <w:rPr>
          <w:rFonts w:ascii="Calibri" w:hAnsi="Calibri" w:cs="Calibri"/>
        </w:rPr>
      </w:pPr>
      <w:r w:rsidRPr="00787AB7">
        <w:rPr>
          <w:rFonts w:ascii="Calibri" w:hAnsi="Calibri" w:cs="Calibri"/>
        </w:rPr>
        <w:t>A Budavári Sikló a BKV Zrt. nem közszolgáltatási tevékenységei közül a legsikeresebben működő ágazat. Az utasokat két, 24 személyes kocsi (Margit és Gellért) szállítja a</w:t>
      </w:r>
      <w:r w:rsidRPr="00787AB7">
        <w:rPr>
          <w:rFonts w:ascii="Calibri" w:hAnsi="Calibri" w:cs="Calibri"/>
        </w:rPr>
        <w:br/>
        <w:t>95 m hosszú, 30</w:t>
      </w:r>
      <w:r w:rsidRPr="00787AB7">
        <w:rPr>
          <w:rFonts w:ascii="Calibri" w:hAnsi="Calibri" w:cs="Calibri"/>
          <w:vertAlign w:val="superscript"/>
        </w:rPr>
        <w:t>o</w:t>
      </w:r>
      <w:r w:rsidRPr="00787AB7">
        <w:rPr>
          <w:rFonts w:ascii="Calibri" w:hAnsi="Calibri" w:cs="Calibri"/>
        </w:rPr>
        <w:t>-os dőlésszögű pályán.</w:t>
      </w:r>
    </w:p>
    <w:p w14:paraId="29206BAD" w14:textId="77777777" w:rsidR="00A44FBC" w:rsidRPr="00787AB7" w:rsidRDefault="00A44FBC" w:rsidP="00A44FBC">
      <w:pPr>
        <w:contextualSpacing/>
        <w:jc w:val="both"/>
        <w:rPr>
          <w:rFonts w:ascii="Calibri" w:hAnsi="Calibri" w:cs="Calibri"/>
        </w:rPr>
      </w:pPr>
    </w:p>
    <w:p w14:paraId="5BCF889D" w14:textId="3D8315B0" w:rsidR="00A44FBC" w:rsidRPr="00787AB7" w:rsidRDefault="009A1A77" w:rsidP="00A44FBC">
      <w:pPr>
        <w:contextualSpacing/>
        <w:jc w:val="both"/>
        <w:rPr>
          <w:rFonts w:ascii="Calibri" w:hAnsi="Calibri" w:cs="Calibri"/>
        </w:rPr>
      </w:pPr>
      <w:r w:rsidRPr="00787AB7">
        <w:rPr>
          <w:rFonts w:ascii="Calibri" w:hAnsi="Calibri" w:cs="Calibri"/>
        </w:rPr>
        <w:t xml:space="preserve">Éves szinten közel 800 ezer fő utas szállítását végzi a Budavári Sikló, </w:t>
      </w:r>
      <w:r w:rsidR="00937C59">
        <w:rPr>
          <w:rFonts w:ascii="Calibri" w:hAnsi="Calibri" w:cs="Calibri"/>
        </w:rPr>
        <w:t xml:space="preserve">mely tevékenységből </w:t>
      </w:r>
      <w:r w:rsidRPr="00787AB7">
        <w:rPr>
          <w:rFonts w:ascii="Calibri" w:hAnsi="Calibri" w:cs="Calibri"/>
        </w:rPr>
        <w:t>a 2017-es évben 898 millió Ft bevétel realizálódott</w:t>
      </w:r>
      <w:r w:rsidR="00937C59">
        <w:rPr>
          <w:rFonts w:ascii="Calibri" w:hAnsi="Calibri" w:cs="Calibri"/>
        </w:rPr>
        <w:t>.</w:t>
      </w:r>
      <w:r w:rsidRPr="00787AB7">
        <w:rPr>
          <w:rFonts w:ascii="Calibri" w:hAnsi="Calibri" w:cs="Calibri"/>
        </w:rPr>
        <w:t xml:space="preserve"> A tervek szerint</w:t>
      </w:r>
      <w:r w:rsidR="001E0F17">
        <w:rPr>
          <w:rFonts w:ascii="Calibri" w:hAnsi="Calibri" w:cs="Calibri"/>
        </w:rPr>
        <w:t xml:space="preserve"> </w:t>
      </w:r>
      <w:r w:rsidRPr="00787AB7">
        <w:rPr>
          <w:rFonts w:ascii="Calibri" w:hAnsi="Calibri" w:cs="Calibri"/>
        </w:rPr>
        <w:t>2018-ban az előző évek növekedési dinamikája nem várható, hanem kismértékű csökkenéssel 844 millió Ft bevételt hoz az ágazat.</w:t>
      </w:r>
    </w:p>
    <w:p w14:paraId="43B8D4CA" w14:textId="77777777" w:rsidR="00A44FBC" w:rsidRPr="00787AB7" w:rsidRDefault="00A44FBC" w:rsidP="00A44FBC">
      <w:pPr>
        <w:contextualSpacing/>
        <w:jc w:val="both"/>
        <w:rPr>
          <w:rFonts w:ascii="Calibri" w:hAnsi="Calibri" w:cs="Calibri"/>
        </w:rPr>
      </w:pPr>
    </w:p>
    <w:p w14:paraId="24C8167C" w14:textId="77777777" w:rsidR="00A44FBC" w:rsidRPr="00787AB7" w:rsidRDefault="009A1A77" w:rsidP="00A44FBC">
      <w:pPr>
        <w:contextualSpacing/>
        <w:jc w:val="both"/>
        <w:rPr>
          <w:rFonts w:ascii="Calibri" w:hAnsi="Calibri" w:cs="Calibri"/>
        </w:rPr>
      </w:pPr>
      <w:r w:rsidRPr="00787AB7">
        <w:rPr>
          <w:rFonts w:ascii="Calibri" w:hAnsi="Calibri" w:cs="Calibri"/>
        </w:rPr>
        <w:t>A 2018-as évre tervezett üzemi eredmény elérésére viszont számos tényező lehet hatással.</w:t>
      </w:r>
    </w:p>
    <w:p w14:paraId="2B13695E" w14:textId="77777777" w:rsidR="00A44FBC" w:rsidRPr="00787AB7" w:rsidRDefault="009A1A77" w:rsidP="00A44FBC">
      <w:pPr>
        <w:contextualSpacing/>
        <w:jc w:val="both"/>
        <w:rPr>
          <w:rFonts w:ascii="Calibri" w:hAnsi="Calibri" w:cs="Calibri"/>
        </w:rPr>
      </w:pPr>
      <w:r w:rsidRPr="00787AB7">
        <w:rPr>
          <w:rFonts w:ascii="Calibri" w:hAnsi="Calibri" w:cs="Calibri"/>
        </w:rPr>
        <w:t>A Társaság számára kockázatot jelent az a periódus, amikor a siklópálya felújításához szükséges vizsgálatok idejére időszakosan le kell állítani a szolgáltatást. Ennek keretein belül az utastér befedése és a pénztárbővítés munkálatainak idejére az utasforgalom szüneteltetése is elengedhetetlen, valamint a Szent György tér egységes rendezésével kapcsolatos fejlesztések előkészítése is befolyással lehet a forgalomra. A leállást a tavaszi vagy az őszi időszakban tervezi a Társaság.</w:t>
      </w:r>
    </w:p>
    <w:p w14:paraId="22BDF838" w14:textId="77777777" w:rsidR="00A44FBC" w:rsidRPr="00787AB7" w:rsidRDefault="00A44FBC" w:rsidP="00A44FBC">
      <w:pPr>
        <w:contextualSpacing/>
        <w:jc w:val="both"/>
        <w:rPr>
          <w:rFonts w:ascii="Calibri" w:hAnsi="Calibri" w:cs="Calibri"/>
        </w:rPr>
      </w:pPr>
    </w:p>
    <w:p w14:paraId="6CE8313E" w14:textId="77777777" w:rsidR="00A44FBC" w:rsidRPr="00787AB7" w:rsidRDefault="009A1A77" w:rsidP="00A44FBC">
      <w:pPr>
        <w:contextualSpacing/>
        <w:jc w:val="both"/>
        <w:rPr>
          <w:rFonts w:ascii="Calibri" w:hAnsi="Calibri" w:cs="Calibri"/>
        </w:rPr>
      </w:pPr>
      <w:r w:rsidRPr="00787AB7">
        <w:rPr>
          <w:rFonts w:ascii="Calibri" w:hAnsi="Calibri" w:cs="Calibri"/>
        </w:rPr>
        <w:t xml:space="preserve">A következő évek során az utas-kiszolgálás javítása, a Sikló beléptető-rendszer fejlesztése a cél, melyekhez további beruházások szükségesek. A gyorsabb utas-áramlás érdekében dupla kapuk kerülnének kialakításra, valamint a jelenlegi pénztárgépeket NAV-hoz bekötött nyomtatókkal váltanánk ki, melyek az utas-kiszolgálás idejét csökkentenék. </w:t>
      </w:r>
    </w:p>
    <w:p w14:paraId="22B5FA81" w14:textId="027B90AA" w:rsidR="008E7DFF" w:rsidRPr="00787AB7" w:rsidRDefault="009A1A77" w:rsidP="00A44FBC">
      <w:pPr>
        <w:contextualSpacing/>
        <w:jc w:val="both"/>
        <w:rPr>
          <w:rFonts w:ascii="Calibri" w:hAnsi="Calibri" w:cs="Calibri"/>
        </w:rPr>
      </w:pPr>
      <w:r w:rsidRPr="00787AB7">
        <w:rPr>
          <w:rFonts w:ascii="Calibri" w:hAnsi="Calibri" w:cs="Calibri"/>
        </w:rPr>
        <w:t xml:space="preserve">A tervek között szerepel az alsóállomás utastere mellett a peronok esővédő tetővel való befedése, továbbá az állomások elrendezésének korszerűsítése, melyek a jegyvásárlás és az utas-beengedés szétválasztásával csökkentik a várakozási időt. </w:t>
      </w:r>
      <w:r w:rsidR="0005111C" w:rsidRPr="0005111C">
        <w:rPr>
          <w:rFonts w:ascii="Calibri" w:hAnsi="Calibri" w:cs="Calibri"/>
        </w:rPr>
        <w:t>Mindezek mellett az elektronikus jegyelővételt lehetővé tevő feltételek előkészítése is folyamatban van.</w:t>
      </w:r>
      <w:r w:rsidR="0005111C" w:rsidRPr="0005111C">
        <w:rPr>
          <w:rFonts w:ascii="Calibri" w:hAnsi="Calibri" w:cs="Calibri"/>
        </w:rPr>
        <w:br/>
        <w:t xml:space="preserve">A felsorolt beruházások </w:t>
      </w:r>
      <w:r w:rsidR="00EB52E3">
        <w:rPr>
          <w:rFonts w:ascii="Calibri" w:hAnsi="Calibri" w:cs="Calibri"/>
        </w:rPr>
        <w:t xml:space="preserve">tervek szerint </w:t>
      </w:r>
      <w:r w:rsidR="0005111C" w:rsidRPr="0005111C">
        <w:rPr>
          <w:rFonts w:ascii="Calibri" w:hAnsi="Calibri" w:cs="Calibri"/>
        </w:rPr>
        <w:t>a 2018-as évben megkezdődnek, melyek közül néhány várhatóan 2019-re is áthúzódik.</w:t>
      </w:r>
    </w:p>
    <w:p w14:paraId="3A57FEC1" w14:textId="77777777" w:rsidR="00947F7F" w:rsidRPr="00787AB7" w:rsidRDefault="00947F7F" w:rsidP="003609C4">
      <w:pPr>
        <w:pStyle w:val="Lista3"/>
        <w:ind w:left="0" w:firstLine="0"/>
        <w:rPr>
          <w:rFonts w:asciiTheme="minorHAnsi" w:hAnsiTheme="minorHAnsi" w:cstheme="minorHAnsi"/>
        </w:rPr>
      </w:pPr>
    </w:p>
    <w:p w14:paraId="5CD50E6C" w14:textId="77777777" w:rsidR="003609C4" w:rsidRPr="00787AB7" w:rsidRDefault="009A1A77" w:rsidP="000A201C">
      <w:pPr>
        <w:pStyle w:val="Cmsor3"/>
        <w:tabs>
          <w:tab w:val="clear" w:pos="2007"/>
        </w:tabs>
        <w:ind w:left="0" w:firstLine="0"/>
        <w:rPr>
          <w:rFonts w:asciiTheme="minorHAnsi" w:hAnsiTheme="minorHAnsi" w:cstheme="minorHAnsi"/>
        </w:rPr>
      </w:pPr>
      <w:bookmarkStart w:id="43" w:name="_Toc512409621"/>
      <w:r w:rsidRPr="00787AB7">
        <w:rPr>
          <w:rFonts w:asciiTheme="minorHAnsi" w:hAnsiTheme="minorHAnsi" w:cstheme="minorHAnsi"/>
        </w:rPr>
        <w:t>- Zugligeti Libegő</w:t>
      </w:r>
      <w:bookmarkEnd w:id="43"/>
    </w:p>
    <w:p w14:paraId="74973D0B" w14:textId="77777777" w:rsidR="003609C4" w:rsidRPr="00787AB7" w:rsidRDefault="003609C4" w:rsidP="003609C4">
      <w:pPr>
        <w:jc w:val="both"/>
        <w:rPr>
          <w:rFonts w:ascii="Calibri" w:hAnsi="Calibri"/>
        </w:rPr>
      </w:pPr>
    </w:p>
    <w:p w14:paraId="690DB9D7" w14:textId="30BB5A78" w:rsidR="00A44FBC" w:rsidRPr="00787AB7" w:rsidRDefault="009A1A77" w:rsidP="00A44FBC">
      <w:pPr>
        <w:jc w:val="both"/>
        <w:rPr>
          <w:rFonts w:ascii="Calibri" w:hAnsi="Calibri"/>
        </w:rPr>
      </w:pPr>
      <w:r w:rsidRPr="00787AB7">
        <w:rPr>
          <w:rFonts w:ascii="Calibri" w:hAnsi="Calibri"/>
        </w:rPr>
        <w:t>A BKV Zrt. közszolgáltatáson kívüli tevékenységei között működik a Zugligeti Libegő, melynek drótkötél pályája 1040 m hosszú, a legyőzött szintkülönbség 262 m. Az utasokat összesen 102 db libegő szék szállítja 5,4 km/óra sebességgel. Éves szinten több mint 200 ezer fő utas szállítását végzi a Zugligeti Libegő. A 2017-es évben közel 196 millió Ft bevétel realizál</w:t>
      </w:r>
      <w:r w:rsidR="00937C59">
        <w:rPr>
          <w:rFonts w:ascii="Calibri" w:hAnsi="Calibri"/>
        </w:rPr>
        <w:t>ódot</w:t>
      </w:r>
      <w:r w:rsidRPr="00787AB7">
        <w:rPr>
          <w:rFonts w:ascii="Calibri" w:hAnsi="Calibri"/>
        </w:rPr>
        <w:t>t a tevékenységből, mely a tervek szerint 2018-ban nagyságrendileg azonos szinten marad.</w:t>
      </w:r>
    </w:p>
    <w:p w14:paraId="4E9F6E35" w14:textId="77777777" w:rsidR="00A44FBC" w:rsidRPr="00787AB7" w:rsidRDefault="00A44FBC" w:rsidP="00A44FBC">
      <w:pPr>
        <w:jc w:val="both"/>
        <w:rPr>
          <w:rFonts w:ascii="Calibri" w:hAnsi="Calibri"/>
        </w:rPr>
      </w:pPr>
    </w:p>
    <w:p w14:paraId="5553BFD1" w14:textId="77777777" w:rsidR="00A44FBC" w:rsidRPr="00787AB7" w:rsidRDefault="009A1A77" w:rsidP="00A44FBC">
      <w:pPr>
        <w:jc w:val="both"/>
        <w:rPr>
          <w:rFonts w:ascii="Calibri" w:hAnsi="Calibri"/>
          <w:b/>
          <w:bCs/>
        </w:rPr>
      </w:pPr>
      <w:r w:rsidRPr="00787AB7">
        <w:rPr>
          <w:rFonts w:ascii="Calibri" w:hAnsi="Calibri"/>
        </w:rPr>
        <w:t>A Libegő mindkét állomásán új cég üzemelteti a büféket, a velük kötött ingatlanbérleti szerződés alapján. A javuló szolgáltatás nagymértékben növelte az utaselégedettséget. Ezt tovább segítette, hogy a völgyállomási büfében elhelyeztünk egy hőpapír alapú jegynyomtatót és bevezettük a csoportos jegyet, amely a gazdaságos jegypapír-felhasználást segíti elő.</w:t>
      </w:r>
    </w:p>
    <w:p w14:paraId="08F2A998" w14:textId="77777777" w:rsidR="00A44FBC" w:rsidRPr="00787AB7" w:rsidRDefault="009A1A77" w:rsidP="00A44FBC">
      <w:pPr>
        <w:jc w:val="both"/>
        <w:rPr>
          <w:rFonts w:ascii="Calibri" w:hAnsi="Calibri"/>
        </w:rPr>
      </w:pPr>
      <w:r w:rsidRPr="00787AB7">
        <w:rPr>
          <w:rFonts w:ascii="Calibri" w:hAnsi="Calibri"/>
        </w:rPr>
        <w:t>A Libegő tevékenységhez kapcsolódóan is elindultak informatikai fejlesztések, melyek célja az interneten keresztüli, elektronikus jegy(elő)vásárlás megteremtése.</w:t>
      </w:r>
    </w:p>
    <w:p w14:paraId="6060D893" w14:textId="77777777" w:rsidR="00A44FBC" w:rsidRPr="00787AB7" w:rsidRDefault="00A44FBC" w:rsidP="00A44FBC">
      <w:pPr>
        <w:jc w:val="both"/>
        <w:rPr>
          <w:rFonts w:ascii="Calibri" w:hAnsi="Calibri"/>
        </w:rPr>
      </w:pPr>
    </w:p>
    <w:p w14:paraId="7E616D9E" w14:textId="3F4C7497" w:rsidR="00A44FBC" w:rsidRPr="00787AB7" w:rsidRDefault="009A1A77" w:rsidP="00A44FBC">
      <w:pPr>
        <w:jc w:val="both"/>
        <w:rPr>
          <w:rFonts w:ascii="Calibri" w:hAnsi="Calibri"/>
        </w:rPr>
      </w:pPr>
      <w:r w:rsidRPr="00787AB7">
        <w:rPr>
          <w:rFonts w:ascii="Calibri" w:hAnsi="Calibri"/>
        </w:rPr>
        <w:lastRenderedPageBreak/>
        <w:t xml:space="preserve">Az IK-630-as „kabrió” autóbusz Budavári Sikló – Zugligeti Libegő viszonylatban, „sétajáratként” történő üzemeltetésére vonatkozó </w:t>
      </w:r>
      <w:r w:rsidR="0005111C">
        <w:rPr>
          <w:rFonts w:ascii="Calibri" w:hAnsi="Calibri"/>
        </w:rPr>
        <w:t xml:space="preserve">előkészületek </w:t>
      </w:r>
      <w:r w:rsidRPr="00787AB7">
        <w:rPr>
          <w:rFonts w:ascii="Calibri" w:hAnsi="Calibri"/>
        </w:rPr>
        <w:t xml:space="preserve">folyamatban vannak annak érdekében, hogy a Libegő forgalmát növelhessük, főként a tavasztól őszig terjedő csúcsidőszakban, </w:t>
      </w:r>
      <w:r w:rsidR="00937C59">
        <w:rPr>
          <w:rFonts w:ascii="Calibri" w:hAnsi="Calibri"/>
        </w:rPr>
        <w:t>vagy</w:t>
      </w:r>
      <w:r w:rsidRPr="00787AB7">
        <w:rPr>
          <w:rFonts w:ascii="Calibri" w:hAnsi="Calibri"/>
        </w:rPr>
        <w:t xml:space="preserve"> </w:t>
      </w:r>
      <w:r w:rsidR="00937C59">
        <w:rPr>
          <w:rFonts w:ascii="Calibri" w:hAnsi="Calibri"/>
        </w:rPr>
        <w:t xml:space="preserve">akár </w:t>
      </w:r>
      <w:r w:rsidRPr="00787AB7">
        <w:rPr>
          <w:rFonts w:ascii="Calibri" w:hAnsi="Calibri"/>
        </w:rPr>
        <w:t>a kisebb forgalmú hétköznapokon</w:t>
      </w:r>
      <w:r w:rsidR="00937C59">
        <w:rPr>
          <w:rFonts w:ascii="Calibri" w:hAnsi="Calibri"/>
        </w:rPr>
        <w:t xml:space="preserve"> is</w:t>
      </w:r>
      <w:r w:rsidRPr="00787AB7">
        <w:rPr>
          <w:rFonts w:ascii="Calibri" w:hAnsi="Calibri"/>
        </w:rPr>
        <w:t>.</w:t>
      </w:r>
    </w:p>
    <w:p w14:paraId="7AB74E04" w14:textId="77777777" w:rsidR="003F1346" w:rsidRPr="00787AB7" w:rsidRDefault="003F1346" w:rsidP="00A44FBC">
      <w:pPr>
        <w:jc w:val="both"/>
        <w:rPr>
          <w:rFonts w:ascii="Calibri" w:hAnsi="Calibri"/>
          <w:b/>
          <w:bCs/>
        </w:rPr>
      </w:pPr>
    </w:p>
    <w:p w14:paraId="76EAA455" w14:textId="77777777" w:rsidR="00A44FBC" w:rsidRPr="00787AB7" w:rsidRDefault="009A1A77" w:rsidP="00A44FBC">
      <w:pPr>
        <w:jc w:val="both"/>
        <w:rPr>
          <w:rFonts w:ascii="Calibri" w:hAnsi="Calibri"/>
          <w:b/>
          <w:bCs/>
        </w:rPr>
      </w:pPr>
      <w:r w:rsidRPr="00787AB7">
        <w:rPr>
          <w:rFonts w:ascii="Calibri" w:hAnsi="Calibri"/>
          <w:b/>
          <w:bCs/>
        </w:rPr>
        <w:t xml:space="preserve">Az esetleges forgalomcsökkentő kockázatok: </w:t>
      </w:r>
    </w:p>
    <w:p w14:paraId="22AF3C41" w14:textId="77777777" w:rsidR="00A44FBC" w:rsidRPr="00787AB7" w:rsidRDefault="009A1A77" w:rsidP="00A44FBC">
      <w:pPr>
        <w:pStyle w:val="Listaszerbekezds"/>
        <w:numPr>
          <w:ilvl w:val="0"/>
          <w:numId w:val="40"/>
        </w:numPr>
        <w:jc w:val="both"/>
        <w:rPr>
          <w:rFonts w:ascii="Calibri" w:hAnsi="Calibri"/>
        </w:rPr>
      </w:pPr>
      <w:r w:rsidRPr="00787AB7">
        <w:rPr>
          <w:rFonts w:ascii="Calibri" w:hAnsi="Calibri"/>
        </w:rPr>
        <w:t>műszaki meghibásodások előfordulása,</w:t>
      </w:r>
    </w:p>
    <w:p w14:paraId="37A74854" w14:textId="77777777" w:rsidR="00A44FBC" w:rsidRPr="00787AB7" w:rsidRDefault="009A1A77" w:rsidP="00A44FBC">
      <w:pPr>
        <w:pStyle w:val="Listaszerbekezds"/>
        <w:numPr>
          <w:ilvl w:val="0"/>
          <w:numId w:val="40"/>
        </w:numPr>
        <w:jc w:val="both"/>
        <w:rPr>
          <w:rFonts w:ascii="Calibri" w:hAnsi="Calibri"/>
        </w:rPr>
      </w:pPr>
      <w:r w:rsidRPr="00787AB7">
        <w:rPr>
          <w:rFonts w:ascii="Calibri" w:hAnsi="Calibri"/>
        </w:rPr>
        <w:t>az időjárás kedvezőtlen alakulása,</w:t>
      </w:r>
    </w:p>
    <w:p w14:paraId="278E99A1" w14:textId="77777777" w:rsidR="00A44FBC" w:rsidRPr="00787AB7" w:rsidRDefault="009A1A77" w:rsidP="00A44FBC">
      <w:pPr>
        <w:pStyle w:val="Listaszerbekezds"/>
        <w:numPr>
          <w:ilvl w:val="0"/>
          <w:numId w:val="40"/>
        </w:numPr>
        <w:jc w:val="both"/>
        <w:rPr>
          <w:rFonts w:ascii="Calibri" w:hAnsi="Calibri"/>
        </w:rPr>
      </w:pPr>
      <w:r w:rsidRPr="00787AB7">
        <w:rPr>
          <w:rFonts w:ascii="Calibri" w:hAnsi="Calibri"/>
        </w:rPr>
        <w:t>valamint a Normafa és térsége fejlesztésével kapcsolatos beruházások is érinthetik a Zugligeti Libegőt.</w:t>
      </w:r>
    </w:p>
    <w:p w14:paraId="24A88A89" w14:textId="77777777" w:rsidR="00113478" w:rsidRPr="00787AB7" w:rsidRDefault="00113478" w:rsidP="00F91B5D">
      <w:pPr>
        <w:spacing w:after="200"/>
        <w:jc w:val="both"/>
        <w:rPr>
          <w:rFonts w:asciiTheme="minorHAnsi" w:eastAsia="Calibri" w:hAnsiTheme="minorHAnsi"/>
          <w:lang w:eastAsia="en-US"/>
        </w:rPr>
      </w:pPr>
    </w:p>
    <w:p w14:paraId="70D76376" w14:textId="77777777" w:rsidR="003304F7" w:rsidRPr="00787AB7" w:rsidRDefault="009A1A77" w:rsidP="003304F7">
      <w:pPr>
        <w:pStyle w:val="Cmsor3"/>
        <w:tabs>
          <w:tab w:val="clear" w:pos="2007"/>
        </w:tabs>
        <w:ind w:left="0" w:firstLine="0"/>
        <w:rPr>
          <w:rFonts w:asciiTheme="minorHAnsi" w:hAnsiTheme="minorHAnsi" w:cstheme="minorHAnsi"/>
        </w:rPr>
      </w:pPr>
      <w:bookmarkStart w:id="44" w:name="_Toc443317907"/>
      <w:bookmarkStart w:id="45" w:name="_Toc465246376"/>
      <w:bookmarkStart w:id="46" w:name="_Toc512409622"/>
      <w:r w:rsidRPr="00787AB7">
        <w:rPr>
          <w:rFonts w:asciiTheme="minorHAnsi" w:hAnsiTheme="minorHAnsi" w:cstheme="minorHAnsi"/>
        </w:rPr>
        <w:t>- Támogatások</w:t>
      </w:r>
      <w:bookmarkEnd w:id="44"/>
      <w:bookmarkEnd w:id="45"/>
      <w:bookmarkEnd w:id="46"/>
    </w:p>
    <w:p w14:paraId="120FA0D4" w14:textId="77777777" w:rsidR="003304F7" w:rsidRPr="0056690E" w:rsidRDefault="003304F7" w:rsidP="003304F7">
      <w:pPr>
        <w:jc w:val="both"/>
        <w:rPr>
          <w:rFonts w:asciiTheme="minorHAnsi" w:hAnsiTheme="minorHAnsi" w:cstheme="minorHAnsi"/>
          <w:color w:val="FF0000"/>
        </w:rPr>
      </w:pPr>
    </w:p>
    <w:p w14:paraId="7C999B56" w14:textId="77777777" w:rsidR="00693F71" w:rsidRPr="00787AB7" w:rsidRDefault="009A1A77" w:rsidP="00693F71">
      <w:pPr>
        <w:jc w:val="both"/>
        <w:rPr>
          <w:rFonts w:asciiTheme="minorHAnsi" w:hAnsiTheme="minorHAnsi" w:cstheme="minorHAnsi"/>
        </w:rPr>
      </w:pPr>
      <w:r w:rsidRPr="00787AB7">
        <w:rPr>
          <w:rFonts w:asciiTheme="minorHAnsi" w:hAnsiTheme="minorHAnsi" w:cstheme="minorHAnsi"/>
          <w:b/>
        </w:rPr>
        <w:t>A BKV Zrt.</w:t>
      </w:r>
      <w:r w:rsidRPr="00787AB7">
        <w:rPr>
          <w:rFonts w:asciiTheme="minorHAnsi" w:hAnsiTheme="minorHAnsi" w:cstheme="minorHAnsi"/>
        </w:rPr>
        <w:t xml:space="preserve">, követve a több évtizedes hagyományokat, a társadalmi célú felelősségvállalás keretében </w:t>
      </w:r>
      <w:r w:rsidRPr="00787AB7">
        <w:rPr>
          <w:rFonts w:asciiTheme="minorHAnsi" w:hAnsiTheme="minorHAnsi" w:cstheme="minorHAnsi"/>
          <w:b/>
        </w:rPr>
        <w:t>támogatást nyújt a BKV Előre SC-nek.</w:t>
      </w:r>
      <w:r w:rsidRPr="00787AB7">
        <w:rPr>
          <w:rFonts w:asciiTheme="minorHAnsi" w:hAnsiTheme="minorHAnsi" w:cstheme="minorHAnsi"/>
        </w:rPr>
        <w:t xml:space="preserve"> A 100 éves múltra visszatekintő Egyesület jelenleg 8 szabadidősport és 4 versenysport szakosztállyal működik. A sportlétesítmények üzemeltetését a BKV Zrt. 100 %-os tulajdonában lévő BKV Panoráma Kft. végezte 2013. és 2017. között, míg az Előre SC feladatai a sportélet szervezésével kapcsolatos tevékenységekre terjedtek ki. </w:t>
      </w:r>
    </w:p>
    <w:p w14:paraId="2BE92688" w14:textId="77777777" w:rsidR="00693F71" w:rsidRPr="00787AB7" w:rsidRDefault="00693F71" w:rsidP="00693F71">
      <w:pPr>
        <w:jc w:val="both"/>
        <w:rPr>
          <w:rFonts w:asciiTheme="minorHAnsi" w:hAnsiTheme="minorHAnsi" w:cstheme="minorHAnsi"/>
        </w:rPr>
      </w:pPr>
    </w:p>
    <w:p w14:paraId="2A7805A6" w14:textId="6DEB6C26" w:rsidR="006C36FA" w:rsidRPr="00787AB7" w:rsidRDefault="009A1A77" w:rsidP="00693F71">
      <w:pPr>
        <w:jc w:val="both"/>
        <w:rPr>
          <w:rFonts w:asciiTheme="minorHAnsi" w:hAnsiTheme="minorHAnsi" w:cstheme="minorHAnsi"/>
        </w:rPr>
      </w:pPr>
      <w:r w:rsidRPr="00787AB7">
        <w:rPr>
          <w:rFonts w:asciiTheme="minorHAnsi" w:hAnsiTheme="minorHAnsi" w:cstheme="minorHAnsi"/>
        </w:rPr>
        <w:t xml:space="preserve">A BKV Zrt. 2018. évi Üzleti Tervének összeállításakor folytak a tárgyalások a Társaság és a BKV Előre SC között, melynek eredményeként 2018-ban már az Egyesület üzemelteti a Sport utcai sportlétesítményt. Az átadáshoz alapfeltétel volt, hogy a felek olyan feltételekben állapodjanak meg, amelyek biztosítják, hogy a BKV Zrt. Sport utcai ingatlan hasznosításából származó bevételeinek és nyújtott támogatásainak egyenlege a Társaság szempontjából nem romlik. Az átadást követő finanszírozási rendszer kialakítása még folyamatban van, ezért a kialakított, jelenleg is alkalmazott működési modellt feltételezve a Társaság az Egyesület számára biztosított </w:t>
      </w:r>
      <w:r w:rsidRPr="00787AB7">
        <w:rPr>
          <w:rFonts w:asciiTheme="minorHAnsi" w:hAnsiTheme="minorHAnsi" w:cstheme="minorHAnsi"/>
          <w:b/>
        </w:rPr>
        <w:t>2018. évi támogatás keretösszegét 76 millió Ft-ban határozza meg, a 2017. évben nyújtott egyszeri 25,9 millió Ft-os támogatás kivezetésével</w:t>
      </w:r>
      <w:r w:rsidRPr="00787AB7">
        <w:rPr>
          <w:rFonts w:asciiTheme="minorHAnsi" w:hAnsiTheme="minorHAnsi" w:cstheme="minorHAnsi"/>
        </w:rPr>
        <w:t>. A támogatás tartalmazza a szabad felhasználású, a pályabérletre, a rezsi költségekre és a BKV 2013 Futball Kft. támogatására biztosított összeget.</w:t>
      </w:r>
    </w:p>
    <w:p w14:paraId="597D8DC4" w14:textId="77777777" w:rsidR="00693F71" w:rsidRPr="00787AB7" w:rsidRDefault="00693F71" w:rsidP="00693F71">
      <w:pPr>
        <w:jc w:val="both"/>
        <w:rPr>
          <w:rFonts w:asciiTheme="minorHAnsi" w:hAnsiTheme="minorHAnsi" w:cstheme="minorHAnsi"/>
          <w:b/>
        </w:rPr>
      </w:pPr>
    </w:p>
    <w:p w14:paraId="40B47796" w14:textId="77777777" w:rsidR="00693F71" w:rsidRPr="00787AB7" w:rsidRDefault="009A1A77" w:rsidP="00FE484B">
      <w:pPr>
        <w:pStyle w:val="Lista3"/>
        <w:ind w:left="0" w:firstLine="0"/>
        <w:jc w:val="both"/>
        <w:rPr>
          <w:rFonts w:asciiTheme="minorHAnsi" w:hAnsiTheme="minorHAnsi" w:cstheme="minorHAnsi"/>
        </w:rPr>
      </w:pPr>
      <w:r w:rsidRPr="00787AB7">
        <w:rPr>
          <w:rFonts w:asciiTheme="minorHAnsi" w:hAnsiTheme="minorHAnsi" w:cstheme="minorHAnsi"/>
        </w:rPr>
        <w:t xml:space="preserve">A </w:t>
      </w:r>
      <w:r w:rsidRPr="00787AB7">
        <w:rPr>
          <w:rFonts w:asciiTheme="minorHAnsi" w:hAnsiTheme="minorHAnsi" w:cstheme="minorHAnsi"/>
          <w:b/>
        </w:rPr>
        <w:t xml:space="preserve">BKV Technikai és Tömegsportklubok Egyesületének </w:t>
      </w:r>
      <w:r w:rsidRPr="00787AB7">
        <w:rPr>
          <w:rFonts w:asciiTheme="minorHAnsi" w:hAnsiTheme="minorHAnsi" w:cstheme="minorHAnsi"/>
        </w:rPr>
        <w:t>(BKV TTE)</w:t>
      </w:r>
      <w:r w:rsidRPr="00787AB7">
        <w:rPr>
          <w:rFonts w:asciiTheme="minorHAnsi" w:hAnsiTheme="minorHAnsi" w:cstheme="minorHAnsi"/>
          <w:b/>
        </w:rPr>
        <w:t xml:space="preserve">, </w:t>
      </w:r>
      <w:r w:rsidRPr="00787AB7">
        <w:rPr>
          <w:rFonts w:asciiTheme="minorHAnsi" w:hAnsiTheme="minorHAnsi" w:cstheme="minorHAnsi"/>
        </w:rPr>
        <w:t>valamint az</w:t>
      </w:r>
      <w:r w:rsidRPr="00787AB7">
        <w:rPr>
          <w:rFonts w:asciiTheme="minorHAnsi" w:hAnsiTheme="minorHAnsi" w:cstheme="minorHAnsi"/>
          <w:b/>
        </w:rPr>
        <w:t xml:space="preserve"> Idősek Napközi Otthonának </w:t>
      </w:r>
      <w:r w:rsidRPr="00787AB7">
        <w:rPr>
          <w:rFonts w:asciiTheme="minorHAnsi" w:hAnsiTheme="minorHAnsi" w:cstheme="minorHAnsi"/>
        </w:rPr>
        <w:t xml:space="preserve">(INO) támogatása bázis szinten került beállításra. A </w:t>
      </w:r>
      <w:r w:rsidRPr="00787AB7">
        <w:rPr>
          <w:rFonts w:asciiTheme="minorHAnsi" w:hAnsiTheme="minorHAnsi" w:cstheme="minorHAnsi"/>
          <w:b/>
        </w:rPr>
        <w:t>BKV TTE</w:t>
      </w:r>
      <w:r w:rsidRPr="00787AB7">
        <w:rPr>
          <w:rFonts w:asciiTheme="minorHAnsi" w:hAnsiTheme="minorHAnsi" w:cstheme="minorHAnsi"/>
        </w:rPr>
        <w:t xml:space="preserve"> részére</w:t>
      </w:r>
      <w:r w:rsidRPr="00787AB7">
        <w:rPr>
          <w:rFonts w:asciiTheme="minorHAnsi" w:hAnsiTheme="minorHAnsi" w:cstheme="minorHAnsi"/>
        </w:rPr>
        <w:br/>
      </w:r>
      <w:r w:rsidRPr="00787AB7">
        <w:rPr>
          <w:rFonts w:asciiTheme="minorHAnsi" w:hAnsiTheme="minorHAnsi" w:cstheme="minorHAnsi"/>
          <w:b/>
        </w:rPr>
        <w:t>6 millió Ft</w:t>
      </w:r>
      <w:r w:rsidRPr="00787AB7">
        <w:rPr>
          <w:rFonts w:asciiTheme="minorHAnsi" w:hAnsiTheme="minorHAnsi" w:cstheme="minorHAnsi"/>
        </w:rPr>
        <w:t xml:space="preserve">, míg az </w:t>
      </w:r>
      <w:r w:rsidRPr="00787AB7">
        <w:rPr>
          <w:rFonts w:asciiTheme="minorHAnsi" w:hAnsiTheme="minorHAnsi" w:cstheme="minorHAnsi"/>
          <w:b/>
        </w:rPr>
        <w:t>Idősek Napközi Otthona</w:t>
      </w:r>
      <w:r w:rsidRPr="00787AB7">
        <w:rPr>
          <w:rFonts w:asciiTheme="minorHAnsi" w:hAnsiTheme="minorHAnsi" w:cstheme="minorHAnsi"/>
        </w:rPr>
        <w:t xml:space="preserve"> részére </w:t>
      </w:r>
      <w:r w:rsidRPr="00787AB7">
        <w:rPr>
          <w:rFonts w:asciiTheme="minorHAnsi" w:hAnsiTheme="minorHAnsi" w:cstheme="minorHAnsi"/>
          <w:b/>
        </w:rPr>
        <w:t>1,5 millió Ft támogatást biztosít</w:t>
      </w:r>
      <w:r w:rsidRPr="00787AB7">
        <w:rPr>
          <w:rFonts w:asciiTheme="minorHAnsi" w:hAnsiTheme="minorHAnsi" w:cstheme="minorHAnsi"/>
        </w:rPr>
        <w:t xml:space="preserve"> </w:t>
      </w:r>
      <w:r w:rsidRPr="00787AB7">
        <w:rPr>
          <w:rFonts w:asciiTheme="minorHAnsi" w:hAnsiTheme="minorHAnsi" w:cstheme="minorHAnsi"/>
        </w:rPr>
        <w:br/>
        <w:t>a BKV Zrt. 2018-ban.</w:t>
      </w:r>
    </w:p>
    <w:p w14:paraId="665C9819" w14:textId="77777777" w:rsidR="000936B0" w:rsidRPr="00787AB7" w:rsidRDefault="000936B0" w:rsidP="00FE484B">
      <w:pPr>
        <w:pStyle w:val="Lista3"/>
        <w:ind w:left="0" w:firstLine="0"/>
        <w:jc w:val="both"/>
        <w:rPr>
          <w:rFonts w:asciiTheme="minorHAnsi" w:hAnsiTheme="minorHAnsi" w:cstheme="minorHAnsi"/>
        </w:rPr>
      </w:pPr>
    </w:p>
    <w:p w14:paraId="0943D26C" w14:textId="28D4CB66" w:rsidR="000936B0" w:rsidRPr="00787AB7" w:rsidRDefault="009A1A77" w:rsidP="00FE484B">
      <w:pPr>
        <w:jc w:val="both"/>
        <w:rPr>
          <w:rFonts w:ascii="Calibri" w:eastAsia="Calibri" w:hAnsi="Calibri"/>
          <w:lang w:eastAsia="en-US"/>
        </w:rPr>
      </w:pPr>
      <w:r w:rsidRPr="00787AB7">
        <w:rPr>
          <w:rFonts w:ascii="Calibri" w:eastAsia="Calibri" w:hAnsi="Calibri"/>
          <w:lang w:eastAsia="en-US"/>
        </w:rPr>
        <w:t xml:space="preserve">A </w:t>
      </w:r>
      <w:r w:rsidRPr="00787AB7">
        <w:rPr>
          <w:rFonts w:ascii="Calibri" w:eastAsia="Calibri" w:hAnsi="Calibri"/>
          <w:b/>
          <w:lang w:eastAsia="en-US"/>
        </w:rPr>
        <w:t>BKV Vasúti Járműjavító Szolgáltató Kft.</w:t>
      </w:r>
      <w:r w:rsidRPr="00787AB7">
        <w:rPr>
          <w:rFonts w:ascii="Calibri" w:eastAsia="Calibri" w:hAnsi="Calibri"/>
          <w:lang w:eastAsia="en-US"/>
        </w:rPr>
        <w:t xml:space="preserve"> tevékenységi körébe tartozik – többek között – a vályús sínes villamosvasúti ki</w:t>
      </w:r>
      <w:r w:rsidR="00DE79AB">
        <w:rPr>
          <w:rFonts w:ascii="Calibri" w:eastAsia="Calibri" w:hAnsi="Calibri"/>
          <w:lang w:eastAsia="en-US"/>
        </w:rPr>
        <w:t>t</w:t>
      </w:r>
      <w:r w:rsidRPr="00787AB7">
        <w:rPr>
          <w:rFonts w:ascii="Calibri" w:eastAsia="Calibri" w:hAnsi="Calibri"/>
          <w:lang w:eastAsia="en-US"/>
        </w:rPr>
        <w:t>érők és pályaalkatrészek gyártása.</w:t>
      </w:r>
    </w:p>
    <w:p w14:paraId="09EC3CD3" w14:textId="77777777" w:rsidR="00FE484B" w:rsidRPr="00787AB7" w:rsidRDefault="00FE484B" w:rsidP="00FE484B">
      <w:pPr>
        <w:jc w:val="both"/>
        <w:rPr>
          <w:rFonts w:ascii="Calibri" w:eastAsia="Calibri" w:hAnsi="Calibri"/>
          <w:lang w:eastAsia="en-US"/>
        </w:rPr>
      </w:pPr>
    </w:p>
    <w:p w14:paraId="46E617FC" w14:textId="77777777" w:rsidR="000936B0" w:rsidRPr="00787AB7" w:rsidRDefault="009A1A77" w:rsidP="00FE484B">
      <w:pPr>
        <w:jc w:val="both"/>
        <w:rPr>
          <w:rFonts w:ascii="Calibri" w:eastAsia="Calibri" w:hAnsi="Calibri"/>
          <w:lang w:eastAsia="en-US"/>
        </w:rPr>
      </w:pPr>
      <w:r w:rsidRPr="00787AB7">
        <w:rPr>
          <w:rFonts w:ascii="Calibri" w:eastAsia="Calibri" w:hAnsi="Calibri"/>
          <w:lang w:eastAsia="en-US"/>
        </w:rPr>
        <w:t>A BKV VJSZ Kft. a fő kitérő alkatrészek forgácsolási munkáit jelenleg 2 gépen végzi (</w:t>
      </w:r>
      <w:r w:rsidRPr="00787AB7">
        <w:rPr>
          <w:rFonts w:ascii="Calibri" w:hAnsi="Calibri"/>
          <w:bCs/>
          <w:lang w:eastAsia="en-US"/>
        </w:rPr>
        <w:t>TOS</w:t>
      </w:r>
      <w:r w:rsidRPr="00787AB7">
        <w:rPr>
          <w:rFonts w:ascii="Calibri" w:hAnsi="Calibri"/>
          <w:lang w:eastAsia="en-US"/>
        </w:rPr>
        <w:t xml:space="preserve"> </w:t>
      </w:r>
      <w:r w:rsidRPr="00787AB7">
        <w:rPr>
          <w:rFonts w:ascii="Calibri" w:hAnsi="Calibri"/>
          <w:bCs/>
          <w:lang w:eastAsia="en-US"/>
        </w:rPr>
        <w:t>FRT 16-60 portálmarógép és TOS</w:t>
      </w:r>
      <w:r w:rsidRPr="00787AB7">
        <w:rPr>
          <w:rFonts w:ascii="Calibri" w:hAnsi="Calibri"/>
          <w:lang w:eastAsia="en-US"/>
        </w:rPr>
        <w:t xml:space="preserve"> </w:t>
      </w:r>
      <w:r w:rsidRPr="00787AB7">
        <w:rPr>
          <w:rFonts w:ascii="Calibri" w:hAnsi="Calibri"/>
          <w:bCs/>
          <w:lang w:eastAsia="en-US"/>
        </w:rPr>
        <w:t xml:space="preserve">HD12/5/6000 hosszgyalu), melyek </w:t>
      </w:r>
      <w:r w:rsidRPr="00787AB7">
        <w:rPr>
          <w:rFonts w:ascii="Calibri" w:eastAsia="Calibri" w:hAnsi="Calibri"/>
          <w:lang w:eastAsia="en-US"/>
        </w:rPr>
        <w:t>nélkülözhetetlenek a kitérő és pályaalkatrészek gyártásához. Azonban a gépek több mint 40 évesek, különösen a portálmarógép technológiailag elavult konstrukció, üzemkészsége kritikus, folyamatos leállása ellehetetleníti a határidők vállalását és ebből következően a versenyképes vállalási árak képzését.</w:t>
      </w:r>
    </w:p>
    <w:p w14:paraId="0432F445" w14:textId="77777777" w:rsidR="00FE484B" w:rsidRPr="00787AB7" w:rsidRDefault="00FE484B" w:rsidP="00FE484B">
      <w:pPr>
        <w:jc w:val="both"/>
        <w:rPr>
          <w:rFonts w:ascii="Calibri" w:eastAsia="Calibri" w:hAnsi="Calibri"/>
          <w:lang w:eastAsia="en-US"/>
        </w:rPr>
      </w:pPr>
    </w:p>
    <w:p w14:paraId="31D1A6C0" w14:textId="7BA0EA42" w:rsidR="000936B0" w:rsidRPr="00787AB7" w:rsidRDefault="009A1A77" w:rsidP="00FE484B">
      <w:pPr>
        <w:jc w:val="both"/>
        <w:rPr>
          <w:rFonts w:ascii="Calibri" w:eastAsia="Calibri" w:hAnsi="Calibri"/>
          <w:lang w:eastAsia="en-US"/>
        </w:rPr>
      </w:pPr>
      <w:r w:rsidRPr="00787AB7">
        <w:rPr>
          <w:rFonts w:ascii="Calibri" w:eastAsia="Calibri" w:hAnsi="Calibri"/>
          <w:lang w:eastAsia="en-US"/>
        </w:rPr>
        <w:lastRenderedPageBreak/>
        <w:t>Az előzetes, BKV Zrt-vel egyeztetett tervek alapján a jövőbeli igények kiszolgálásához (jelentős megrendelési volumen-növekedés), a gyártási üzembiztonság megteremtéséhez és gyártási kapacitás növeléséhez egy új beszerzésű, 10 méter asztalhosszúsággal rendelkező CNC vezérlésű vízszintes fúró-marómű beszerzése lenne az optimális.</w:t>
      </w:r>
    </w:p>
    <w:p w14:paraId="52F6E99E" w14:textId="4AA717DB" w:rsidR="000936B0" w:rsidRPr="00787AB7" w:rsidRDefault="009A1A77" w:rsidP="00FE484B">
      <w:pPr>
        <w:jc w:val="both"/>
        <w:rPr>
          <w:rFonts w:ascii="Calibri" w:eastAsia="Calibri" w:hAnsi="Calibri"/>
          <w:lang w:eastAsia="en-US"/>
        </w:rPr>
      </w:pPr>
      <w:r w:rsidRPr="00787AB7">
        <w:rPr>
          <w:rFonts w:ascii="Calibri" w:eastAsia="Calibri" w:hAnsi="Calibri"/>
          <w:lang w:eastAsia="en-US"/>
        </w:rPr>
        <w:t xml:space="preserve">A BKV VJSZ Kft. beruházási forrásai a CNC vezérlésű marógép beszerzésével jelentősen lecsökkennek, ami veszélyezteti egyéb </w:t>
      </w:r>
      <w:r w:rsidR="00B302FD">
        <w:rPr>
          <w:rFonts w:ascii="Calibri" w:eastAsia="Calibri" w:hAnsi="Calibri"/>
          <w:lang w:eastAsia="en-US"/>
        </w:rPr>
        <w:t>műszakilag indokolt</w:t>
      </w:r>
      <w:r w:rsidR="00B302FD" w:rsidRPr="00787AB7">
        <w:rPr>
          <w:rFonts w:ascii="Calibri" w:eastAsia="Calibri" w:hAnsi="Calibri"/>
          <w:lang w:eastAsia="en-US"/>
        </w:rPr>
        <w:t xml:space="preserve"> beruházási</w:t>
      </w:r>
      <w:r w:rsidRPr="00787AB7">
        <w:rPr>
          <w:rFonts w:ascii="Calibri" w:eastAsia="Calibri" w:hAnsi="Calibri"/>
          <w:lang w:eastAsia="en-US"/>
        </w:rPr>
        <w:t xml:space="preserve"> feladatok elvégzését. A </w:t>
      </w:r>
      <w:r w:rsidRPr="00787AB7">
        <w:rPr>
          <w:rFonts w:ascii="Calibri" w:eastAsia="Calibri" w:hAnsi="Calibri"/>
          <w:b/>
          <w:lang w:eastAsia="en-US"/>
        </w:rPr>
        <w:t>BKV Zrt. ezért a 2018. év folyamán 200 millió Ft fejlesztési támogatást biztosít leányvállalata részére</w:t>
      </w:r>
      <w:r w:rsidRPr="00787AB7">
        <w:rPr>
          <w:rFonts w:ascii="Calibri" w:eastAsia="Calibri" w:hAnsi="Calibri"/>
          <w:lang w:eastAsia="en-US"/>
        </w:rPr>
        <w:t xml:space="preserve"> a termelés biztonságának fenntartása érdekében szükséges beruházások elvégzésére.</w:t>
      </w:r>
    </w:p>
    <w:p w14:paraId="656D3261" w14:textId="77777777" w:rsidR="00FE484B" w:rsidRPr="00787AB7" w:rsidRDefault="00FE484B" w:rsidP="00FE484B">
      <w:pPr>
        <w:pStyle w:val="Lista3"/>
        <w:ind w:left="0" w:firstLine="0"/>
        <w:jc w:val="both"/>
        <w:rPr>
          <w:rFonts w:asciiTheme="minorHAnsi" w:hAnsiTheme="minorHAnsi" w:cstheme="minorHAnsi"/>
          <w:b/>
        </w:rPr>
      </w:pPr>
    </w:p>
    <w:p w14:paraId="2932A73B" w14:textId="77777777" w:rsidR="00FC3465" w:rsidRPr="00787AB7" w:rsidRDefault="009A1A77" w:rsidP="00FE484B">
      <w:pPr>
        <w:pStyle w:val="Lista3"/>
        <w:ind w:left="0" w:firstLine="0"/>
        <w:jc w:val="both"/>
        <w:rPr>
          <w:rFonts w:asciiTheme="minorHAnsi" w:hAnsiTheme="minorHAnsi" w:cstheme="minorHAnsi"/>
          <w:b/>
        </w:rPr>
      </w:pPr>
      <w:r w:rsidRPr="00787AB7">
        <w:rPr>
          <w:rFonts w:asciiTheme="minorHAnsi" w:hAnsiTheme="minorHAnsi" w:cstheme="minorHAnsi"/>
          <w:b/>
        </w:rPr>
        <w:t>A BKV Zrt. által nyújtott, az egyéb ráfordítások között változatlanul megjelenő támogatások nem növelik a Társaság finanszírozási igényét, mivel azokat a közszolgáltatási tevékenységeken kívüli eredményének terhére biztosítja a kedvezményezettek részére.</w:t>
      </w:r>
    </w:p>
    <w:p w14:paraId="17463CCE" w14:textId="77777777" w:rsidR="00A22E03" w:rsidRPr="00F05D08" w:rsidRDefault="00A22E03" w:rsidP="00FE484B">
      <w:pPr>
        <w:pStyle w:val="Lista3"/>
        <w:ind w:left="0" w:firstLine="0"/>
        <w:jc w:val="both"/>
        <w:rPr>
          <w:rFonts w:asciiTheme="minorHAnsi" w:hAnsiTheme="minorHAnsi" w:cstheme="minorHAnsi"/>
          <w:b/>
        </w:rPr>
      </w:pPr>
    </w:p>
    <w:p w14:paraId="7C97716A" w14:textId="77777777" w:rsidR="00FC3465" w:rsidRPr="001E0F17" w:rsidRDefault="009A1A77" w:rsidP="001E0F17">
      <w:pPr>
        <w:pStyle w:val="Cmsor2"/>
      </w:pPr>
      <w:bookmarkStart w:id="47" w:name="_Toc512409623"/>
      <w:r w:rsidRPr="00787AB7">
        <w:t>I/e. Tevékenységek fedezete (gyűjtő)</w:t>
      </w:r>
      <w:bookmarkEnd w:id="47"/>
    </w:p>
    <w:p w14:paraId="58E6F3C1" w14:textId="77777777" w:rsidR="00FC2871" w:rsidRPr="00787AB7" w:rsidRDefault="00FC2871" w:rsidP="00FC2871">
      <w:pPr>
        <w:pStyle w:val="Lista3"/>
        <w:ind w:left="0" w:firstLine="0"/>
        <w:jc w:val="both"/>
        <w:rPr>
          <w:rFonts w:asciiTheme="minorHAnsi" w:hAnsiTheme="minorHAnsi" w:cstheme="minorHAnsi"/>
        </w:rPr>
      </w:pPr>
    </w:p>
    <w:p w14:paraId="2F2223E2" w14:textId="5AC37894" w:rsidR="004004D2" w:rsidRDefault="004004D2" w:rsidP="00FC2871">
      <w:pPr>
        <w:pStyle w:val="Lista3"/>
        <w:ind w:left="0" w:firstLine="0"/>
        <w:jc w:val="both"/>
        <w:rPr>
          <w:rFonts w:asciiTheme="minorHAnsi" w:hAnsiTheme="minorHAnsi" w:cstheme="minorHAnsi"/>
          <w:b/>
        </w:rPr>
      </w:pPr>
      <w:r w:rsidRPr="00787AB7">
        <w:rPr>
          <w:rFonts w:asciiTheme="minorHAnsi" w:hAnsiTheme="minorHAnsi" w:cstheme="minorHAnsi"/>
          <w:b/>
        </w:rPr>
        <w:t xml:space="preserve">A 2018. évi Üzleti Terv szerint az üzemi eredmény </w:t>
      </w:r>
      <w:r w:rsidR="003730CE" w:rsidRPr="00787AB7">
        <w:rPr>
          <w:rFonts w:asciiTheme="minorHAnsi" w:hAnsiTheme="minorHAnsi" w:cstheme="minorHAnsi"/>
          <w:b/>
        </w:rPr>
        <w:t>15 085</w:t>
      </w:r>
      <w:r w:rsidR="003A1FEC" w:rsidRPr="00787AB7">
        <w:rPr>
          <w:rFonts w:asciiTheme="minorHAnsi" w:hAnsiTheme="minorHAnsi" w:cstheme="minorHAnsi"/>
          <w:b/>
        </w:rPr>
        <w:t xml:space="preserve"> </w:t>
      </w:r>
      <w:r w:rsidRPr="00787AB7">
        <w:rPr>
          <w:rFonts w:asciiTheme="minorHAnsi" w:hAnsiTheme="minorHAnsi" w:cstheme="minorHAnsi"/>
          <w:b/>
        </w:rPr>
        <w:t xml:space="preserve">millió Ft veszteség, az adózás előtti eredmény </w:t>
      </w:r>
      <w:r w:rsidR="003730CE" w:rsidRPr="00787AB7">
        <w:rPr>
          <w:rFonts w:asciiTheme="minorHAnsi" w:hAnsiTheme="minorHAnsi" w:cstheme="minorHAnsi"/>
          <w:b/>
        </w:rPr>
        <w:t xml:space="preserve">15 073 </w:t>
      </w:r>
      <w:r w:rsidRPr="00787AB7">
        <w:rPr>
          <w:rFonts w:asciiTheme="minorHAnsi" w:hAnsiTheme="minorHAnsi" w:cstheme="minorHAnsi"/>
          <w:b/>
        </w:rPr>
        <w:t>millió Ft veszteség</w:t>
      </w:r>
      <w:r w:rsidR="00662404" w:rsidRPr="00787AB7">
        <w:rPr>
          <w:rFonts w:asciiTheme="minorHAnsi" w:hAnsiTheme="minorHAnsi" w:cstheme="minorHAnsi"/>
          <w:b/>
        </w:rPr>
        <w:t>.</w:t>
      </w:r>
    </w:p>
    <w:p w14:paraId="4BC756BD" w14:textId="77777777" w:rsidR="00D26F9A" w:rsidRPr="00787AB7" w:rsidRDefault="00D26F9A" w:rsidP="00FC2871">
      <w:pPr>
        <w:pStyle w:val="Lista3"/>
        <w:ind w:left="0" w:firstLine="0"/>
        <w:jc w:val="both"/>
        <w:rPr>
          <w:rFonts w:asciiTheme="minorHAnsi" w:hAnsiTheme="minorHAnsi" w:cstheme="minorHAnsi"/>
          <w:b/>
        </w:rPr>
      </w:pPr>
    </w:p>
    <w:p w14:paraId="39576EFF" w14:textId="0E3BC27B" w:rsidR="003A1FEC" w:rsidRPr="00787AB7" w:rsidRDefault="00206E91" w:rsidP="00AE2608">
      <w:pPr>
        <w:pStyle w:val="Lista3"/>
        <w:ind w:left="0" w:firstLine="0"/>
        <w:jc w:val="center"/>
        <w:rPr>
          <w:rFonts w:asciiTheme="minorHAnsi" w:hAnsiTheme="minorHAnsi" w:cstheme="minorHAnsi"/>
          <w:b/>
        </w:rPr>
      </w:pPr>
      <w:r>
        <w:rPr>
          <w:rFonts w:asciiTheme="minorHAnsi" w:hAnsiTheme="minorHAnsi" w:cstheme="minorHAnsi"/>
          <w:b/>
          <w:noProof/>
        </w:rPr>
        <w:drawing>
          <wp:inline distT="0" distB="0" distL="0" distR="0" wp14:anchorId="062D4AE5" wp14:editId="25B60392">
            <wp:extent cx="4544705" cy="2773830"/>
            <wp:effectExtent l="0" t="0" r="8255" b="762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1840" cy="2790392"/>
                    </a:xfrm>
                    <a:prstGeom prst="rect">
                      <a:avLst/>
                    </a:prstGeom>
                    <a:noFill/>
                  </pic:spPr>
                </pic:pic>
              </a:graphicData>
            </a:graphic>
          </wp:inline>
        </w:drawing>
      </w:r>
    </w:p>
    <w:p w14:paraId="6A49FA69" w14:textId="28212A05" w:rsidR="003A1FEC" w:rsidRPr="00527FE1" w:rsidRDefault="003A1FEC" w:rsidP="00FC2871">
      <w:pPr>
        <w:pStyle w:val="Lista3"/>
        <w:ind w:left="0" w:firstLine="0"/>
        <w:jc w:val="both"/>
        <w:rPr>
          <w:rFonts w:asciiTheme="minorHAnsi" w:hAnsiTheme="minorHAnsi" w:cstheme="minorHAnsi"/>
        </w:rPr>
      </w:pPr>
    </w:p>
    <w:p w14:paraId="089549D2" w14:textId="1F8E6EE0" w:rsidR="002663D1" w:rsidRDefault="00527FE1" w:rsidP="00FC2871">
      <w:pPr>
        <w:pStyle w:val="Lista3"/>
        <w:ind w:left="0" w:firstLine="0"/>
        <w:jc w:val="both"/>
        <w:rPr>
          <w:rFonts w:asciiTheme="minorHAnsi" w:hAnsiTheme="minorHAnsi" w:cstheme="minorHAnsi"/>
        </w:rPr>
      </w:pPr>
      <w:r w:rsidRPr="00527FE1">
        <w:rPr>
          <w:rFonts w:asciiTheme="minorHAnsi" w:hAnsiTheme="minorHAnsi" w:cstheme="minorHAnsi"/>
        </w:rPr>
        <w:t>A terv szinten megjelenő 15 073 millió Ft veszteség a működés fenntartását és stabilitását nem veszélyezteti</w:t>
      </w:r>
      <w:r>
        <w:rPr>
          <w:rFonts w:asciiTheme="minorHAnsi" w:hAnsiTheme="minorHAnsi" w:cstheme="minorHAnsi"/>
        </w:rPr>
        <w:t>,</w:t>
      </w:r>
      <w:r w:rsidR="008604D4">
        <w:rPr>
          <w:rFonts w:asciiTheme="minorHAnsi" w:hAnsiTheme="minorHAnsi" w:cstheme="minorHAnsi"/>
        </w:rPr>
        <w:t xml:space="preserve"> </w:t>
      </w:r>
      <w:r w:rsidR="008604D4" w:rsidRPr="00AE2608">
        <w:rPr>
          <w:rFonts w:asciiTheme="minorHAnsi" w:hAnsiTheme="minorHAnsi" w:cstheme="minorHAnsi"/>
          <w:b/>
        </w:rPr>
        <w:t>a</w:t>
      </w:r>
      <w:r w:rsidRPr="00AE2608">
        <w:rPr>
          <w:rFonts w:asciiTheme="minorHAnsi" w:hAnsiTheme="minorHAnsi" w:cstheme="minorHAnsi"/>
          <w:b/>
        </w:rPr>
        <w:t xml:space="preserve"> működési költségek fedezete</w:t>
      </w:r>
      <w:r w:rsidRPr="00527FE1">
        <w:rPr>
          <w:rFonts w:asciiTheme="minorHAnsi" w:hAnsiTheme="minorHAnsi" w:cstheme="minorHAnsi"/>
        </w:rPr>
        <w:t xml:space="preserve"> a tervek alapján </w:t>
      </w:r>
      <w:r w:rsidRPr="00AE2608">
        <w:rPr>
          <w:rFonts w:asciiTheme="minorHAnsi" w:hAnsiTheme="minorHAnsi" w:cstheme="minorHAnsi"/>
          <w:b/>
        </w:rPr>
        <w:t>rendelkezésre áll</w:t>
      </w:r>
      <w:r>
        <w:rPr>
          <w:rFonts w:asciiTheme="minorHAnsi" w:hAnsiTheme="minorHAnsi" w:cstheme="minorHAnsi"/>
        </w:rPr>
        <w:t>, a</w:t>
      </w:r>
      <w:r w:rsidRPr="00527FE1">
        <w:rPr>
          <w:rFonts w:asciiTheme="minorHAnsi" w:hAnsiTheme="minorHAnsi" w:cstheme="minorHAnsi"/>
        </w:rPr>
        <w:t xml:space="preserve"> veszteség </w:t>
      </w:r>
      <w:r>
        <w:rPr>
          <w:rFonts w:asciiTheme="minorHAnsi" w:hAnsiTheme="minorHAnsi" w:cstheme="minorHAnsi"/>
        </w:rPr>
        <w:t xml:space="preserve">forrása </w:t>
      </w:r>
      <w:r w:rsidRPr="00527FE1">
        <w:rPr>
          <w:rFonts w:asciiTheme="minorHAnsi" w:hAnsiTheme="minorHAnsi" w:cstheme="minorHAnsi"/>
        </w:rPr>
        <w:t>a nem finanszírozott értékcsökkenési leírás</w:t>
      </w:r>
      <w:r>
        <w:rPr>
          <w:rFonts w:asciiTheme="minorHAnsi" w:hAnsiTheme="minorHAnsi" w:cstheme="minorHAnsi"/>
        </w:rPr>
        <w:t>.</w:t>
      </w:r>
      <w:r w:rsidRPr="00527FE1">
        <w:rPr>
          <w:rFonts w:asciiTheme="minorHAnsi" w:hAnsiTheme="minorHAnsi" w:cstheme="minorHAnsi"/>
        </w:rPr>
        <w:t xml:space="preserve"> A Társaság stabil működési kereteit mutatja, hogy az adó- és kamatfizetés, valamint az értékcsökkenés nélkül számolt eredmény </w:t>
      </w:r>
      <w:r w:rsidR="00C51ED7">
        <w:rPr>
          <w:rFonts w:asciiTheme="minorHAnsi" w:hAnsiTheme="minorHAnsi" w:cstheme="minorHAnsi"/>
        </w:rPr>
        <w:t>eléri az 1 milliárd Ft-ot.</w:t>
      </w:r>
    </w:p>
    <w:p w14:paraId="5393A3EF" w14:textId="623DAC1E" w:rsidR="00527FE1" w:rsidRPr="00527FE1" w:rsidRDefault="00527FE1" w:rsidP="00FC2871">
      <w:pPr>
        <w:pStyle w:val="Lista3"/>
        <w:ind w:left="0" w:firstLine="0"/>
        <w:jc w:val="both"/>
        <w:rPr>
          <w:rFonts w:asciiTheme="minorHAnsi" w:hAnsiTheme="minorHAnsi" w:cstheme="minorHAnsi"/>
        </w:rPr>
      </w:pPr>
      <w:r w:rsidRPr="00527FE1">
        <w:rPr>
          <w:rFonts w:asciiTheme="minorHAnsi" w:hAnsiTheme="minorHAnsi" w:cstheme="minorHAnsi"/>
        </w:rPr>
        <w:t>A terv szinten megjelenő veszteség</w:t>
      </w:r>
      <w:r>
        <w:rPr>
          <w:rFonts w:asciiTheme="minorHAnsi" w:hAnsiTheme="minorHAnsi" w:cstheme="minorHAnsi"/>
        </w:rPr>
        <w:t xml:space="preserve"> a saját tőke értékét ugyan kedvezőtlenül befolyásolja, de ezzel egyidejűleg megjelentik a </w:t>
      </w:r>
      <w:r w:rsidRPr="00527FE1">
        <w:rPr>
          <w:rFonts w:asciiTheme="minorHAnsi" w:hAnsiTheme="minorHAnsi" w:cstheme="minorHAnsi"/>
        </w:rPr>
        <w:t>támogatásból megvalósuló beruházások következtében</w:t>
      </w:r>
      <w:r>
        <w:rPr>
          <w:rFonts w:asciiTheme="minorHAnsi" w:hAnsiTheme="minorHAnsi" w:cstheme="minorHAnsi"/>
        </w:rPr>
        <w:t xml:space="preserve"> a </w:t>
      </w:r>
      <w:r w:rsidRPr="00AE2608">
        <w:rPr>
          <w:rFonts w:asciiTheme="minorHAnsi" w:hAnsiTheme="minorHAnsi" w:cstheme="minorHAnsi"/>
          <w:b/>
        </w:rPr>
        <w:t>tőketartalék növekedése</w:t>
      </w:r>
      <w:r>
        <w:rPr>
          <w:rFonts w:asciiTheme="minorHAnsi" w:hAnsiTheme="minorHAnsi" w:cstheme="minorHAnsi"/>
        </w:rPr>
        <w:t xml:space="preserve"> is, </w:t>
      </w:r>
      <w:r w:rsidRPr="00527FE1">
        <w:rPr>
          <w:rFonts w:asciiTheme="minorHAnsi" w:hAnsiTheme="minorHAnsi" w:cstheme="minorHAnsi"/>
        </w:rPr>
        <w:t>mely</w:t>
      </w:r>
      <w:r>
        <w:rPr>
          <w:rFonts w:asciiTheme="minorHAnsi" w:hAnsiTheme="minorHAnsi" w:cstheme="minorHAnsi"/>
        </w:rPr>
        <w:t>n</w:t>
      </w:r>
      <w:r w:rsidRPr="00527FE1">
        <w:rPr>
          <w:rFonts w:asciiTheme="minorHAnsi" w:hAnsiTheme="minorHAnsi" w:cstheme="minorHAnsi"/>
        </w:rPr>
        <w:t>ek összege meghaladja az eredménytartalék csökkenésé</w:t>
      </w:r>
      <w:r>
        <w:rPr>
          <w:rFonts w:asciiTheme="minorHAnsi" w:hAnsiTheme="minorHAnsi" w:cstheme="minorHAnsi"/>
        </w:rPr>
        <w:t>t</w:t>
      </w:r>
      <w:r w:rsidRPr="00AE2608">
        <w:rPr>
          <w:rFonts w:asciiTheme="minorHAnsi" w:hAnsiTheme="minorHAnsi" w:cstheme="minorHAnsi"/>
          <w:b/>
        </w:rPr>
        <w:t>. A Társaság saját tőkéje összességében tehát nem csökken.</w:t>
      </w:r>
    </w:p>
    <w:p w14:paraId="260C0C81" w14:textId="77777777" w:rsidR="00527FE1" w:rsidRPr="00527FE1" w:rsidRDefault="00527FE1" w:rsidP="00FC2871">
      <w:pPr>
        <w:pStyle w:val="Lista3"/>
        <w:ind w:left="0" w:firstLine="0"/>
        <w:jc w:val="both"/>
        <w:rPr>
          <w:rFonts w:asciiTheme="minorHAnsi" w:hAnsiTheme="minorHAnsi" w:cstheme="minorHAnsi"/>
        </w:rPr>
      </w:pPr>
    </w:p>
    <w:p w14:paraId="4D791C44" w14:textId="77777777" w:rsidR="00E24E57" w:rsidRPr="00787AB7" w:rsidRDefault="009A1A77" w:rsidP="00106B84">
      <w:pPr>
        <w:pStyle w:val="Cmsor1"/>
        <w:pageBreakBefore/>
        <w:numPr>
          <w:ilvl w:val="0"/>
          <w:numId w:val="17"/>
        </w:numPr>
        <w:spacing w:before="360" w:after="360"/>
        <w:jc w:val="left"/>
        <w:rPr>
          <w:rStyle w:val="Stlus14ptFlkvrAlhzs"/>
          <w:rFonts w:asciiTheme="minorHAnsi" w:hAnsiTheme="minorHAnsi" w:cstheme="minorHAnsi"/>
          <w:bCs/>
          <w:i w:val="0"/>
          <w:u w:val="none"/>
        </w:rPr>
      </w:pPr>
      <w:bookmarkStart w:id="48" w:name="_Toc512409624"/>
      <w:r w:rsidRPr="00787AB7">
        <w:rPr>
          <w:rStyle w:val="Stlus14ptFlkvrAlhzs"/>
          <w:rFonts w:asciiTheme="minorHAnsi" w:hAnsiTheme="minorHAnsi" w:cstheme="minorHAnsi"/>
          <w:bCs/>
          <w:i w:val="0"/>
          <w:u w:val="none"/>
        </w:rPr>
        <w:lastRenderedPageBreak/>
        <w:t>Eredmény-célkitűzés</w:t>
      </w:r>
      <w:bookmarkEnd w:id="48"/>
    </w:p>
    <w:p w14:paraId="3A3E3B57" w14:textId="77777777" w:rsidR="00FC3465" w:rsidRPr="0056690E" w:rsidRDefault="00FC3465" w:rsidP="001E0F17">
      <w:pPr>
        <w:pStyle w:val="Cmsor2"/>
      </w:pPr>
      <w:bookmarkStart w:id="49" w:name="_Toc512409625"/>
      <w:r w:rsidRPr="0056690E">
        <w:t>II/1. Eredménykimutatás</w:t>
      </w:r>
      <w:r w:rsidR="00DA4CF8" w:rsidRPr="0056690E">
        <w:t xml:space="preserve"> részletezése</w:t>
      </w:r>
      <w:bookmarkEnd w:id="49"/>
    </w:p>
    <w:p w14:paraId="00773BE5" w14:textId="77777777" w:rsidR="003609C4" w:rsidRPr="00787AB7" w:rsidRDefault="003609C4" w:rsidP="003609C4">
      <w:pPr>
        <w:pStyle w:val="Lista3"/>
      </w:pPr>
    </w:p>
    <w:p w14:paraId="79417803" w14:textId="77777777" w:rsidR="003609C4" w:rsidRPr="00362915" w:rsidRDefault="003609C4" w:rsidP="001E0F17">
      <w:pPr>
        <w:pStyle w:val="Cmsor2"/>
      </w:pPr>
      <w:bookmarkStart w:id="50" w:name="_Toc443317911"/>
      <w:bookmarkStart w:id="51" w:name="_Toc465246384"/>
      <w:bookmarkStart w:id="52" w:name="_Toc512409626"/>
      <w:r w:rsidRPr="00362915">
        <w:t>Bevételek</w:t>
      </w:r>
      <w:bookmarkEnd w:id="50"/>
      <w:bookmarkEnd w:id="51"/>
      <w:bookmarkEnd w:id="52"/>
    </w:p>
    <w:p w14:paraId="5FA5F14B" w14:textId="77777777" w:rsidR="003609C4" w:rsidRPr="00787AB7" w:rsidRDefault="003609C4" w:rsidP="003609C4">
      <w:pPr>
        <w:pStyle w:val="Lista3"/>
        <w:ind w:left="0" w:firstLine="0"/>
        <w:rPr>
          <w:rFonts w:asciiTheme="minorHAnsi" w:hAnsiTheme="minorHAnsi" w:cstheme="minorHAnsi"/>
        </w:rPr>
      </w:pPr>
    </w:p>
    <w:p w14:paraId="7C26A654" w14:textId="77777777" w:rsidR="00163C27" w:rsidRPr="00787AB7" w:rsidRDefault="009A1A77" w:rsidP="00163C27">
      <w:pPr>
        <w:jc w:val="both"/>
        <w:rPr>
          <w:rFonts w:asciiTheme="minorHAnsi" w:hAnsiTheme="minorHAnsi" w:cstheme="minorHAnsi"/>
        </w:rPr>
      </w:pPr>
      <w:r w:rsidRPr="00787AB7">
        <w:rPr>
          <w:rFonts w:asciiTheme="minorHAnsi" w:hAnsiTheme="minorHAnsi" w:cstheme="minorHAnsi"/>
        </w:rPr>
        <w:t xml:space="preserve">A bevételek tervezésének alapját a 2012. május 1-én hatályba lépett Közszolgáltatási Szerződésben foglalt bevétellel nem fedezett indokolt költség alapú módszertan adja. </w:t>
      </w:r>
      <w:r w:rsidRPr="00787AB7">
        <w:rPr>
          <w:rFonts w:asciiTheme="minorHAnsi" w:hAnsiTheme="minorHAnsi" w:cstheme="minorHAnsi"/>
        </w:rPr>
        <w:br/>
        <w:t>A közszolgáltatási tevékenység ellentételezéseként a BKK Zrt. havi rendszerességgel folyósít kompenzációt a BKV Zrt. részére. A kompenzációs díj nyújt fedezetet a működési költségekre és a beruházásokra.</w:t>
      </w:r>
    </w:p>
    <w:p w14:paraId="71C7EDC8" w14:textId="77777777" w:rsidR="003609C4" w:rsidRPr="00787AB7" w:rsidRDefault="003609C4" w:rsidP="003609C4">
      <w:pPr>
        <w:jc w:val="both"/>
        <w:rPr>
          <w:rFonts w:asciiTheme="minorHAnsi" w:hAnsiTheme="minorHAnsi" w:cstheme="minorHAnsi"/>
        </w:rPr>
      </w:pPr>
    </w:p>
    <w:p w14:paraId="1DFA08DF" w14:textId="5E822769" w:rsidR="006F7126" w:rsidRPr="00787AB7" w:rsidRDefault="003609C4" w:rsidP="003609C4">
      <w:pPr>
        <w:jc w:val="both"/>
        <w:rPr>
          <w:rFonts w:asciiTheme="minorHAnsi" w:hAnsiTheme="minorHAnsi" w:cstheme="minorHAnsi"/>
        </w:rPr>
      </w:pPr>
      <w:r w:rsidRPr="00362915">
        <w:rPr>
          <w:rFonts w:asciiTheme="minorHAnsi" w:hAnsiTheme="minorHAnsi" w:cstheme="minorHAnsi"/>
        </w:rPr>
        <w:t>A szolgáltatási díj</w:t>
      </w:r>
      <w:r w:rsidR="001F3BC0" w:rsidRPr="00362915">
        <w:rPr>
          <w:rFonts w:asciiTheme="minorHAnsi" w:hAnsiTheme="minorHAnsi" w:cstheme="minorHAnsi"/>
        </w:rPr>
        <w:t>,</w:t>
      </w:r>
      <w:r w:rsidRPr="00362915">
        <w:rPr>
          <w:rFonts w:asciiTheme="minorHAnsi" w:hAnsiTheme="minorHAnsi" w:cstheme="minorHAnsi"/>
        </w:rPr>
        <w:t xml:space="preserve"> működés</w:t>
      </w:r>
      <w:r w:rsidR="00910B53" w:rsidRPr="00362915">
        <w:rPr>
          <w:rFonts w:asciiTheme="minorHAnsi" w:hAnsiTheme="minorHAnsi" w:cstheme="minorHAnsi"/>
        </w:rPr>
        <w:t xml:space="preserve">i ágon </w:t>
      </w:r>
      <w:r w:rsidR="001219B6" w:rsidRPr="00362915">
        <w:rPr>
          <w:rFonts w:asciiTheme="minorHAnsi" w:hAnsiTheme="minorHAnsi" w:cstheme="minorHAnsi"/>
        </w:rPr>
        <w:t>685 millió Ft érték</w:t>
      </w:r>
      <w:r w:rsidR="00362915">
        <w:rPr>
          <w:rFonts w:asciiTheme="minorHAnsi" w:hAnsiTheme="minorHAnsi" w:cstheme="minorHAnsi"/>
        </w:rPr>
        <w:t>b</w:t>
      </w:r>
      <w:r w:rsidR="001219B6" w:rsidRPr="00362915">
        <w:rPr>
          <w:rFonts w:asciiTheme="minorHAnsi" w:hAnsiTheme="minorHAnsi" w:cstheme="minorHAnsi"/>
        </w:rPr>
        <w:t xml:space="preserve">en </w:t>
      </w:r>
      <w:r w:rsidR="00F24288" w:rsidRPr="00362915">
        <w:rPr>
          <w:rFonts w:asciiTheme="minorHAnsi" w:hAnsiTheme="minorHAnsi" w:cstheme="minorHAnsi"/>
        </w:rPr>
        <w:t>tartalmaz forrást</w:t>
      </w:r>
      <w:r w:rsidR="00910B53" w:rsidRPr="00362915">
        <w:rPr>
          <w:rFonts w:asciiTheme="minorHAnsi" w:hAnsiTheme="minorHAnsi" w:cstheme="minorHAnsi"/>
        </w:rPr>
        <w:t xml:space="preserve"> a 2018</w:t>
      </w:r>
      <w:r w:rsidRPr="00362915">
        <w:rPr>
          <w:rFonts w:asciiTheme="minorHAnsi" w:hAnsiTheme="minorHAnsi" w:cstheme="minorHAnsi"/>
        </w:rPr>
        <w:t>. évre tervezett beruházás</w:t>
      </w:r>
      <w:r w:rsidR="00F24288" w:rsidRPr="00362915">
        <w:rPr>
          <w:rFonts w:asciiTheme="minorHAnsi" w:hAnsiTheme="minorHAnsi" w:cstheme="minorHAnsi"/>
        </w:rPr>
        <w:t>i feladatok végrehajtására.</w:t>
      </w:r>
      <w:r w:rsidR="009A1A77" w:rsidRPr="00787AB7">
        <w:rPr>
          <w:rFonts w:asciiTheme="minorHAnsi" w:hAnsiTheme="minorHAnsi" w:cstheme="minorHAnsi"/>
        </w:rPr>
        <w:t xml:space="preserve"> Az elmúlt évtized alulfinanszírozottságának következtében a beruházásokban, nagyprojektekben nem érintett eszközök már ma is kritikus műszaki állapotban vannak, amely állapotot a beruházási források elmaradása tovább ront. </w:t>
      </w:r>
    </w:p>
    <w:p w14:paraId="1C330631" w14:textId="77777777" w:rsidR="006F7126" w:rsidRPr="00787AB7" w:rsidRDefault="006F7126" w:rsidP="003609C4">
      <w:pPr>
        <w:jc w:val="both"/>
        <w:rPr>
          <w:rFonts w:asciiTheme="minorHAnsi" w:hAnsiTheme="minorHAnsi" w:cstheme="minorHAnsi"/>
        </w:rPr>
      </w:pPr>
    </w:p>
    <w:p w14:paraId="6C813B99" w14:textId="77983845" w:rsidR="00D05EF5" w:rsidRPr="00787AB7" w:rsidRDefault="009A1A77" w:rsidP="00D05EF5">
      <w:pPr>
        <w:jc w:val="both"/>
        <w:rPr>
          <w:rFonts w:asciiTheme="minorHAnsi" w:hAnsiTheme="minorHAnsi" w:cstheme="minorHAnsi"/>
        </w:rPr>
      </w:pPr>
      <w:r w:rsidRPr="00787AB7">
        <w:rPr>
          <w:rFonts w:asciiTheme="minorHAnsi" w:hAnsiTheme="minorHAnsi" w:cstheme="minorHAnsi"/>
        </w:rPr>
        <w:t xml:space="preserve">A </w:t>
      </w:r>
      <w:r w:rsidRPr="00787AB7">
        <w:rPr>
          <w:rFonts w:asciiTheme="minorHAnsi" w:hAnsiTheme="minorHAnsi" w:cstheme="minorHAnsi"/>
          <w:b/>
        </w:rPr>
        <w:t>szerződéses és egyéb szolgáltatás bevétele</w:t>
      </w:r>
      <w:r w:rsidRPr="00787AB7">
        <w:rPr>
          <w:rFonts w:asciiTheme="minorHAnsi" w:hAnsiTheme="minorHAnsi" w:cstheme="minorHAnsi"/>
        </w:rPr>
        <w:t xml:space="preserve"> tartalmazza a Sikló és Libegő, valamint a különjárati tevékenységekkel kapcsolatos bevételeket. Ezen bevételek 2018. évi tervezett értéke 1 097 millió Ft, mely 95 millió Ft-tal marad el a 2017. évi bevételektől. Mindhárom tevékenység esetében várható a bevételek csökkenése a 2018-as évben.</w:t>
      </w:r>
    </w:p>
    <w:p w14:paraId="34D84675" w14:textId="77777777" w:rsidR="003609C4" w:rsidRPr="00787AB7" w:rsidRDefault="003609C4" w:rsidP="003609C4">
      <w:pPr>
        <w:jc w:val="both"/>
        <w:rPr>
          <w:rFonts w:asciiTheme="minorHAnsi" w:hAnsiTheme="minorHAnsi" w:cstheme="minorHAnsi"/>
        </w:rPr>
      </w:pPr>
    </w:p>
    <w:p w14:paraId="33890120" w14:textId="7300E8E4" w:rsidR="007A0BFA" w:rsidRPr="007A0BFA" w:rsidRDefault="009A1A77" w:rsidP="005012D6">
      <w:pPr>
        <w:jc w:val="both"/>
        <w:rPr>
          <w:rFonts w:asciiTheme="minorHAnsi" w:hAnsiTheme="minorHAnsi" w:cstheme="minorHAnsi"/>
        </w:rPr>
      </w:pPr>
      <w:bookmarkStart w:id="53" w:name="OLE_LINK1"/>
      <w:bookmarkStart w:id="54" w:name="OLE_LINK2"/>
      <w:r w:rsidRPr="00787AB7">
        <w:rPr>
          <w:rFonts w:asciiTheme="minorHAnsi" w:hAnsiTheme="minorHAnsi" w:cstheme="minorHAnsi"/>
        </w:rPr>
        <w:t xml:space="preserve">Az </w:t>
      </w:r>
      <w:r w:rsidRPr="00787AB7">
        <w:rPr>
          <w:rFonts w:asciiTheme="minorHAnsi" w:hAnsiTheme="minorHAnsi" w:cstheme="minorHAnsi"/>
          <w:b/>
        </w:rPr>
        <w:t>egyéb tevékenységek bevételei</w:t>
      </w:r>
      <w:r w:rsidRPr="00787AB7">
        <w:rPr>
          <w:rFonts w:asciiTheme="minorHAnsi" w:hAnsiTheme="minorHAnsi" w:cstheme="minorHAnsi"/>
        </w:rPr>
        <w:t xml:space="preserve"> a 2018. évre </w:t>
      </w:r>
      <w:r w:rsidR="00CD7284">
        <w:rPr>
          <w:rFonts w:asciiTheme="minorHAnsi" w:hAnsiTheme="minorHAnsi" w:cstheme="minorHAnsi"/>
        </w:rPr>
        <w:t>16</w:t>
      </w:r>
      <w:r w:rsidR="00B20AA6" w:rsidRPr="00362915">
        <w:rPr>
          <w:rFonts w:asciiTheme="minorHAnsi" w:hAnsiTheme="minorHAnsi" w:cstheme="minorHAnsi"/>
        </w:rPr>
        <w:t xml:space="preserve"> millió Ft-os </w:t>
      </w:r>
      <w:r w:rsidR="00CD7284">
        <w:rPr>
          <w:rFonts w:asciiTheme="minorHAnsi" w:hAnsiTheme="minorHAnsi" w:cstheme="minorHAnsi"/>
        </w:rPr>
        <w:t>csökkenést</w:t>
      </w:r>
      <w:r w:rsidR="00B20AA6" w:rsidRPr="00362915">
        <w:rPr>
          <w:rFonts w:asciiTheme="minorHAnsi" w:hAnsiTheme="minorHAnsi" w:cstheme="minorHAnsi"/>
        </w:rPr>
        <w:t xml:space="preserve"> </w:t>
      </w:r>
      <w:r w:rsidRPr="00787AB7">
        <w:rPr>
          <w:rFonts w:asciiTheme="minorHAnsi" w:hAnsiTheme="minorHAnsi" w:cstheme="minorHAnsi"/>
        </w:rPr>
        <w:t>mutatnak</w:t>
      </w:r>
      <w:r w:rsidR="00B20AA6" w:rsidRPr="00362915">
        <w:rPr>
          <w:rFonts w:asciiTheme="minorHAnsi" w:hAnsiTheme="minorHAnsi" w:cstheme="minorHAnsi"/>
        </w:rPr>
        <w:t xml:space="preserve"> a bázishoz viszonyítva</w:t>
      </w:r>
      <w:r w:rsidRPr="00787AB7">
        <w:rPr>
          <w:rFonts w:asciiTheme="minorHAnsi" w:hAnsiTheme="minorHAnsi" w:cstheme="minorHAnsi"/>
        </w:rPr>
        <w:t>. A tárgyi eszközök bérleti díj</w:t>
      </w:r>
      <w:r w:rsidR="00DE79AB">
        <w:rPr>
          <w:rFonts w:asciiTheme="minorHAnsi" w:hAnsiTheme="minorHAnsi" w:cstheme="minorHAnsi"/>
        </w:rPr>
        <w:t xml:space="preserve">a 57 millió Ft-tal, a reklám bevételek </w:t>
      </w:r>
      <w:r w:rsidR="002663D1">
        <w:rPr>
          <w:rFonts w:asciiTheme="minorHAnsi" w:hAnsiTheme="minorHAnsi" w:cstheme="minorHAnsi"/>
        </w:rPr>
        <w:br/>
      </w:r>
      <w:r w:rsidR="00DE79AB">
        <w:rPr>
          <w:rFonts w:asciiTheme="minorHAnsi" w:hAnsiTheme="minorHAnsi" w:cstheme="minorHAnsi"/>
        </w:rPr>
        <w:t xml:space="preserve">11 millió Ft-tal csökkennek, első sorban </w:t>
      </w:r>
      <w:r w:rsidRPr="00787AB7">
        <w:rPr>
          <w:rFonts w:asciiTheme="minorHAnsi" w:hAnsiTheme="minorHAnsi" w:cstheme="minorHAnsi"/>
        </w:rPr>
        <w:t>az M3 rekonstrukció</w:t>
      </w:r>
      <w:r w:rsidR="00DE79AB">
        <w:rPr>
          <w:rFonts w:asciiTheme="minorHAnsi" w:hAnsiTheme="minorHAnsi" w:cstheme="minorHAnsi"/>
        </w:rPr>
        <w:t xml:space="preserve"> miatt</w:t>
      </w:r>
      <w:r w:rsidRPr="00787AB7">
        <w:rPr>
          <w:rFonts w:asciiTheme="minorHAnsi" w:hAnsiTheme="minorHAnsi" w:cstheme="minorHAnsi"/>
        </w:rPr>
        <w:t xml:space="preserve"> a 2017. évi bevételekhez képest</w:t>
      </w:r>
      <w:r w:rsidR="00B20AA6" w:rsidRPr="00362915">
        <w:rPr>
          <w:rFonts w:asciiTheme="minorHAnsi" w:hAnsiTheme="minorHAnsi" w:cstheme="minorHAnsi"/>
        </w:rPr>
        <w:t xml:space="preserve">, azonban </w:t>
      </w:r>
      <w:r w:rsidR="00B20AA6">
        <w:rPr>
          <w:rFonts w:asciiTheme="minorHAnsi" w:hAnsiTheme="minorHAnsi" w:cstheme="minorHAnsi"/>
        </w:rPr>
        <w:t>az</w:t>
      </w:r>
      <w:r w:rsidRPr="00787AB7">
        <w:rPr>
          <w:rFonts w:asciiTheme="minorHAnsi" w:hAnsiTheme="minorHAnsi" w:cstheme="minorHAnsi"/>
        </w:rPr>
        <w:t xml:space="preserve"> M3 infrastruktúra felújítás miatt hulladékértékesítésből </w:t>
      </w:r>
      <w:r w:rsidR="005F2ACB" w:rsidRPr="005F2ACB">
        <w:rPr>
          <w:rFonts w:asciiTheme="minorHAnsi" w:hAnsiTheme="minorHAnsi" w:cstheme="minorHAnsi"/>
        </w:rPr>
        <w:t>m</w:t>
      </w:r>
      <w:r w:rsidR="00B20AA6">
        <w:rPr>
          <w:rFonts w:asciiTheme="minorHAnsi" w:hAnsiTheme="minorHAnsi" w:cstheme="minorHAnsi"/>
        </w:rPr>
        <w:t>egközelí</w:t>
      </w:r>
      <w:r w:rsidR="005F2ACB" w:rsidRPr="00E0024B">
        <w:rPr>
          <w:rFonts w:asciiTheme="minorHAnsi" w:hAnsiTheme="minorHAnsi" w:cstheme="minorHAnsi"/>
        </w:rPr>
        <w:t xml:space="preserve">tőleg </w:t>
      </w:r>
      <w:r w:rsidRPr="00787AB7">
        <w:rPr>
          <w:rFonts w:asciiTheme="minorHAnsi" w:hAnsiTheme="minorHAnsi" w:cstheme="minorHAnsi"/>
        </w:rPr>
        <w:t>100 millió Ft bevételi többlet várható, ezen felül megjelen</w:t>
      </w:r>
      <w:r w:rsidR="00362915">
        <w:rPr>
          <w:rFonts w:asciiTheme="minorHAnsi" w:hAnsiTheme="minorHAnsi" w:cstheme="minorHAnsi"/>
        </w:rPr>
        <w:t>ik</w:t>
      </w:r>
      <w:r w:rsidRPr="00787AB7">
        <w:rPr>
          <w:rFonts w:asciiTheme="minorHAnsi" w:hAnsiTheme="minorHAnsi" w:cstheme="minorHAnsi"/>
        </w:rPr>
        <w:t xml:space="preserve"> a kivitelezőktől származó közreműködői bevétel</w:t>
      </w:r>
      <w:r w:rsidR="00362915">
        <w:rPr>
          <w:rFonts w:asciiTheme="minorHAnsi" w:hAnsiTheme="minorHAnsi" w:cstheme="minorHAnsi"/>
        </w:rPr>
        <w:t xml:space="preserve"> is, mintegy 45 millió Ft értékben.</w:t>
      </w:r>
      <w:r w:rsidRPr="00787AB7">
        <w:rPr>
          <w:rFonts w:asciiTheme="minorHAnsi" w:hAnsiTheme="minorHAnsi" w:cstheme="minorHAnsi"/>
        </w:rPr>
        <w:t xml:space="preserve"> A Társaság a külső fél részére történő gázolaj értékesítés </w:t>
      </w:r>
      <w:r w:rsidR="001231B3">
        <w:rPr>
          <w:rFonts w:asciiTheme="minorHAnsi" w:hAnsiTheme="minorHAnsi" w:cstheme="minorHAnsi"/>
        </w:rPr>
        <w:t>közel</w:t>
      </w:r>
      <w:r w:rsidRPr="00787AB7">
        <w:rPr>
          <w:rFonts w:asciiTheme="minorHAnsi" w:hAnsiTheme="minorHAnsi" w:cstheme="minorHAnsi"/>
        </w:rPr>
        <w:t xml:space="preserve"> 70 millió Ft-os emelkedésével számol, új partner megjelenése miatt.</w:t>
      </w:r>
      <w:r w:rsidR="007A0BFA">
        <w:rPr>
          <w:rFonts w:asciiTheme="minorHAnsi" w:hAnsiTheme="minorHAnsi" w:cstheme="minorHAnsi"/>
        </w:rPr>
        <w:t xml:space="preserve"> Az Üzleti Terv tartalmazza a BKV Zrt. műhelyeiben összeszerelt csuklós autóbuszok után kapott bevételt 177 millió Ft értékben.</w:t>
      </w:r>
      <w:r w:rsidRPr="00787AB7">
        <w:rPr>
          <w:rFonts w:asciiTheme="minorHAnsi" w:hAnsiTheme="minorHAnsi" w:cstheme="minorHAnsi"/>
        </w:rPr>
        <w:t xml:space="preserve"> </w:t>
      </w:r>
    </w:p>
    <w:p w14:paraId="671E45E3" w14:textId="77777777" w:rsidR="007A0BFA" w:rsidRDefault="007A0BFA" w:rsidP="005012D6">
      <w:pPr>
        <w:jc w:val="both"/>
        <w:rPr>
          <w:rFonts w:asciiTheme="minorHAnsi" w:hAnsiTheme="minorHAnsi" w:cstheme="minorHAnsi"/>
        </w:rPr>
      </w:pPr>
    </w:p>
    <w:p w14:paraId="6813C34E" w14:textId="29FCED09" w:rsidR="00D05EF5" w:rsidRPr="00787AB7" w:rsidRDefault="009A1A77" w:rsidP="005012D6">
      <w:pPr>
        <w:jc w:val="both"/>
        <w:rPr>
          <w:rFonts w:asciiTheme="minorHAnsi" w:hAnsiTheme="minorHAnsi" w:cstheme="minorHAnsi"/>
        </w:rPr>
      </w:pPr>
      <w:r w:rsidRPr="00787AB7">
        <w:rPr>
          <w:rFonts w:asciiTheme="minorHAnsi" w:hAnsiTheme="minorHAnsi" w:cstheme="minorHAnsi"/>
        </w:rPr>
        <w:t>Az új munkásszálló üzemeltetési modell bevezetése és a munkavállalók megtartása érdekében létrehozott ösztönző program miatt a vállalati lakóházak, üdülők, munkásszállók bevételei várhatóan 8 millió Ft-tal csökkenn</w:t>
      </w:r>
      <w:r w:rsidR="001231B3">
        <w:rPr>
          <w:rFonts w:asciiTheme="minorHAnsi" w:hAnsiTheme="minorHAnsi" w:cstheme="minorHAnsi"/>
        </w:rPr>
        <w:t>ek</w:t>
      </w:r>
      <w:r w:rsidR="00362915">
        <w:rPr>
          <w:rFonts w:asciiTheme="minorHAnsi" w:hAnsiTheme="minorHAnsi" w:cstheme="minorHAnsi"/>
        </w:rPr>
        <w:t>,</w:t>
      </w:r>
      <w:r w:rsidRPr="00787AB7">
        <w:rPr>
          <w:rFonts w:asciiTheme="minorHAnsi" w:hAnsiTheme="minorHAnsi" w:cstheme="minorHAnsi"/>
        </w:rPr>
        <w:t xml:space="preserve"> </w:t>
      </w:r>
      <w:r w:rsidR="00362915">
        <w:rPr>
          <w:rFonts w:asciiTheme="minorHAnsi" w:hAnsiTheme="minorHAnsi" w:cstheme="minorHAnsi"/>
        </w:rPr>
        <w:t>valamint</w:t>
      </w:r>
      <w:r w:rsidRPr="00787AB7">
        <w:rPr>
          <w:rFonts w:asciiTheme="minorHAnsi" w:hAnsiTheme="minorHAnsi" w:cstheme="minorHAnsi"/>
        </w:rPr>
        <w:t xml:space="preserve"> a 2017. évben felmerülő egyszeri bevételek is kivezetésre kerül</w:t>
      </w:r>
      <w:r w:rsidR="0014469D">
        <w:rPr>
          <w:rFonts w:asciiTheme="minorHAnsi" w:hAnsiTheme="minorHAnsi" w:cstheme="minorHAnsi"/>
        </w:rPr>
        <w:t>t</w:t>
      </w:r>
      <w:r w:rsidRPr="00787AB7">
        <w:rPr>
          <w:rFonts w:asciiTheme="minorHAnsi" w:hAnsiTheme="minorHAnsi" w:cstheme="minorHAnsi"/>
        </w:rPr>
        <w:t>ek. A fentieken kívül csökkenést okoz</w:t>
      </w:r>
      <w:r w:rsidR="0014469D">
        <w:rPr>
          <w:rFonts w:asciiTheme="minorHAnsi" w:hAnsiTheme="minorHAnsi" w:cstheme="minorHAnsi"/>
        </w:rPr>
        <w:t>, hogy</w:t>
      </w:r>
      <w:r w:rsidRPr="00787AB7">
        <w:rPr>
          <w:rFonts w:asciiTheme="minorHAnsi" w:hAnsiTheme="minorHAnsi" w:cstheme="minorHAnsi"/>
        </w:rPr>
        <w:t xml:space="preserve"> az M3 járműrekonstrukcióval kapcsolatos költségek továbbszámlázásának összege a szállítási ütem miatt </w:t>
      </w:r>
      <w:r w:rsidR="0014469D">
        <w:rPr>
          <w:rFonts w:asciiTheme="minorHAnsi" w:hAnsiTheme="minorHAnsi" w:cstheme="minorHAnsi"/>
        </w:rPr>
        <w:t>elmarad a 2017. évi értéktől</w:t>
      </w:r>
      <w:r w:rsidRPr="00787AB7">
        <w:rPr>
          <w:rFonts w:asciiTheme="minorHAnsi" w:hAnsiTheme="minorHAnsi" w:cstheme="minorHAnsi"/>
        </w:rPr>
        <w:t xml:space="preserve">. </w:t>
      </w:r>
    </w:p>
    <w:p w14:paraId="59386824" w14:textId="77777777" w:rsidR="003609C4" w:rsidRPr="00787AB7" w:rsidRDefault="003609C4" w:rsidP="003609C4">
      <w:pPr>
        <w:autoSpaceDE w:val="0"/>
        <w:autoSpaceDN w:val="0"/>
        <w:adjustRightInd w:val="0"/>
        <w:jc w:val="both"/>
        <w:rPr>
          <w:rFonts w:asciiTheme="minorHAnsi" w:hAnsiTheme="minorHAnsi" w:cstheme="minorHAnsi"/>
        </w:rPr>
      </w:pPr>
    </w:p>
    <w:bookmarkEnd w:id="53"/>
    <w:bookmarkEnd w:id="54"/>
    <w:p w14:paraId="640020FE" w14:textId="5BE4C33F" w:rsidR="0014469D" w:rsidRDefault="009A1A77" w:rsidP="00D05EF5">
      <w:pPr>
        <w:autoSpaceDE w:val="0"/>
        <w:autoSpaceDN w:val="0"/>
        <w:adjustRightInd w:val="0"/>
        <w:jc w:val="both"/>
        <w:rPr>
          <w:rFonts w:asciiTheme="minorHAnsi" w:hAnsiTheme="minorHAnsi" w:cstheme="minorHAnsi"/>
        </w:rPr>
      </w:pPr>
      <w:r w:rsidRPr="00787AB7">
        <w:rPr>
          <w:rFonts w:asciiTheme="minorHAnsi" w:hAnsiTheme="minorHAnsi" w:cstheme="minorHAnsi"/>
        </w:rPr>
        <w:t xml:space="preserve">Az </w:t>
      </w:r>
      <w:r w:rsidRPr="00787AB7">
        <w:rPr>
          <w:rFonts w:asciiTheme="minorHAnsi" w:hAnsiTheme="minorHAnsi" w:cstheme="minorHAnsi"/>
          <w:b/>
        </w:rPr>
        <w:t xml:space="preserve">egyéb bevételek </w:t>
      </w:r>
      <w:r w:rsidRPr="00787AB7">
        <w:rPr>
          <w:rFonts w:asciiTheme="minorHAnsi" w:hAnsiTheme="minorHAnsi" w:cstheme="minorHAnsi"/>
        </w:rPr>
        <w:t>201</w:t>
      </w:r>
      <w:r w:rsidR="00C71093" w:rsidRPr="004438BF">
        <w:rPr>
          <w:rFonts w:asciiTheme="minorHAnsi" w:hAnsiTheme="minorHAnsi" w:cstheme="minorHAnsi"/>
        </w:rPr>
        <w:t>8. évre</w:t>
      </w:r>
      <w:r w:rsidRPr="00787AB7">
        <w:rPr>
          <w:rFonts w:asciiTheme="minorHAnsi" w:hAnsiTheme="minorHAnsi" w:cstheme="minorHAnsi"/>
        </w:rPr>
        <w:t xml:space="preserve"> tervezett értéke 1</w:t>
      </w:r>
      <w:r w:rsidR="00DE79AB">
        <w:rPr>
          <w:rFonts w:asciiTheme="minorHAnsi" w:hAnsiTheme="minorHAnsi" w:cstheme="minorHAnsi"/>
        </w:rPr>
        <w:t> 66</w:t>
      </w:r>
      <w:r w:rsidR="00C71093" w:rsidRPr="00C71093">
        <w:rPr>
          <w:rFonts w:asciiTheme="minorHAnsi" w:hAnsiTheme="minorHAnsi" w:cstheme="minorHAnsi"/>
        </w:rPr>
        <w:t>4</w:t>
      </w:r>
      <w:r w:rsidR="00DE79AB">
        <w:rPr>
          <w:rFonts w:asciiTheme="minorHAnsi" w:hAnsiTheme="minorHAnsi" w:cstheme="minorHAnsi"/>
        </w:rPr>
        <w:t xml:space="preserve"> </w:t>
      </w:r>
      <w:r w:rsidR="00C71093" w:rsidRPr="00C71093">
        <w:rPr>
          <w:rFonts w:asciiTheme="minorHAnsi" w:hAnsiTheme="minorHAnsi" w:cstheme="minorHAnsi"/>
        </w:rPr>
        <w:t xml:space="preserve">millió Ft-tal marad el a bázistól. Az eltérésben kiemelt szerepet játszik, hogy </w:t>
      </w:r>
      <w:r w:rsidR="00C71093">
        <w:rPr>
          <w:rFonts w:asciiTheme="minorHAnsi" w:hAnsiTheme="minorHAnsi" w:cstheme="minorHAnsi"/>
        </w:rPr>
        <w:t>a</w:t>
      </w:r>
      <w:r w:rsidRPr="00787AB7">
        <w:rPr>
          <w:rFonts w:asciiTheme="minorHAnsi" w:hAnsiTheme="minorHAnsi" w:cstheme="minorHAnsi"/>
        </w:rPr>
        <w:t xml:space="preserve"> </w:t>
      </w:r>
      <w:r w:rsidR="00C71093" w:rsidRPr="004069C4">
        <w:rPr>
          <w:rFonts w:asciiTheme="minorHAnsi" w:hAnsiTheme="minorHAnsi" w:cstheme="minorHAnsi"/>
        </w:rPr>
        <w:t>DBR projekt során létrejött eszközök átadásával kapcsolatos bevétel</w:t>
      </w:r>
      <w:r w:rsidR="00C71093">
        <w:rPr>
          <w:rFonts w:asciiTheme="minorHAnsi" w:hAnsiTheme="minorHAnsi" w:cstheme="minorHAnsi"/>
        </w:rPr>
        <w:t xml:space="preserve">lel nem számol a Társaság, tekintettel arra, hogy a még folyamatban lévő átadási eljárás lezárásának időpontja bizonytalan. Ugyanakkor itt </w:t>
      </w:r>
      <w:r w:rsidRPr="00787AB7">
        <w:rPr>
          <w:rFonts w:asciiTheme="minorHAnsi" w:hAnsiTheme="minorHAnsi" w:cstheme="minorHAnsi"/>
        </w:rPr>
        <w:t>jelen</w:t>
      </w:r>
      <w:r w:rsidR="0014469D" w:rsidRPr="00E257E7">
        <w:rPr>
          <w:rFonts w:asciiTheme="minorHAnsi" w:hAnsiTheme="minorHAnsi" w:cstheme="minorHAnsi"/>
        </w:rPr>
        <w:t xml:space="preserve">ik meg a tárgyi eszköz értékesítés 1 371 millió Ft-tal, </w:t>
      </w:r>
      <w:r w:rsidR="00C71093">
        <w:rPr>
          <w:rFonts w:asciiTheme="minorHAnsi" w:hAnsiTheme="minorHAnsi" w:cstheme="minorHAnsi"/>
        </w:rPr>
        <w:t>mely jellemzően</w:t>
      </w:r>
      <w:r w:rsidR="0014469D" w:rsidRPr="0014469D">
        <w:rPr>
          <w:rFonts w:asciiTheme="minorHAnsi" w:hAnsiTheme="minorHAnsi" w:cstheme="minorHAnsi"/>
        </w:rPr>
        <w:t xml:space="preserve"> a Stadionok irodaház </w:t>
      </w:r>
      <w:r w:rsidR="004438BF">
        <w:rPr>
          <w:rFonts w:asciiTheme="minorHAnsi" w:hAnsiTheme="minorHAnsi" w:cstheme="minorHAnsi"/>
        </w:rPr>
        <w:t xml:space="preserve">2018. évi </w:t>
      </w:r>
      <w:r w:rsidR="0014469D" w:rsidRPr="0014469D">
        <w:rPr>
          <w:rFonts w:asciiTheme="minorHAnsi" w:hAnsiTheme="minorHAnsi" w:cstheme="minorHAnsi"/>
        </w:rPr>
        <w:t>értékesítés</w:t>
      </w:r>
      <w:r w:rsidR="00C71093">
        <w:rPr>
          <w:rFonts w:asciiTheme="minorHAnsi" w:hAnsiTheme="minorHAnsi" w:cstheme="minorHAnsi"/>
        </w:rPr>
        <w:t>é</w:t>
      </w:r>
      <w:r w:rsidR="004438BF">
        <w:rPr>
          <w:rFonts w:asciiTheme="minorHAnsi" w:hAnsiTheme="minorHAnsi" w:cstheme="minorHAnsi"/>
        </w:rPr>
        <w:t xml:space="preserve">t </w:t>
      </w:r>
      <w:r w:rsidR="004438BF">
        <w:rPr>
          <w:rFonts w:asciiTheme="minorHAnsi" w:hAnsiTheme="minorHAnsi" w:cstheme="minorHAnsi"/>
        </w:rPr>
        <w:lastRenderedPageBreak/>
        <w:t xml:space="preserve">tartalmazza. Ezen felül </w:t>
      </w:r>
      <w:r w:rsidR="0014469D" w:rsidRPr="0014469D">
        <w:rPr>
          <w:rFonts w:asciiTheme="minorHAnsi" w:hAnsiTheme="minorHAnsi" w:cstheme="minorHAnsi"/>
        </w:rPr>
        <w:t>összesen 60 millió Ft-os pótdíj bevétel emelkedéssel számolunk, illetve</w:t>
      </w:r>
      <w:r w:rsidR="0014469D">
        <w:rPr>
          <w:rFonts w:asciiTheme="minorHAnsi" w:hAnsiTheme="minorHAnsi" w:cstheme="minorHAnsi"/>
        </w:rPr>
        <w:t xml:space="preserve"> </w:t>
      </w:r>
      <w:r w:rsidR="0014469D" w:rsidRPr="0014469D">
        <w:rPr>
          <w:rFonts w:asciiTheme="minorHAnsi" w:hAnsiTheme="minorHAnsi" w:cstheme="minorHAnsi"/>
        </w:rPr>
        <w:t>196 millió Ft céltartalék felhasználását tartalmazza a terv.</w:t>
      </w:r>
    </w:p>
    <w:p w14:paraId="0302FCD5" w14:textId="35A1B48C" w:rsidR="00D05EF5" w:rsidRPr="00787AB7" w:rsidRDefault="00D05EF5" w:rsidP="00D05EF5">
      <w:pPr>
        <w:autoSpaceDE w:val="0"/>
        <w:autoSpaceDN w:val="0"/>
        <w:adjustRightInd w:val="0"/>
        <w:jc w:val="both"/>
        <w:rPr>
          <w:rFonts w:asciiTheme="minorHAnsi" w:hAnsiTheme="minorHAnsi" w:cstheme="minorHAnsi"/>
        </w:rPr>
      </w:pPr>
    </w:p>
    <w:p w14:paraId="24AA25D6" w14:textId="77777777" w:rsidR="003609C4" w:rsidRPr="00F546AF" w:rsidRDefault="003609C4" w:rsidP="003609C4">
      <w:pPr>
        <w:autoSpaceDE w:val="0"/>
        <w:autoSpaceDN w:val="0"/>
        <w:adjustRightInd w:val="0"/>
        <w:jc w:val="both"/>
        <w:rPr>
          <w:rFonts w:asciiTheme="minorHAnsi" w:hAnsiTheme="minorHAnsi" w:cstheme="minorHAnsi"/>
        </w:rPr>
      </w:pPr>
    </w:p>
    <w:p w14:paraId="2E7A4DE6" w14:textId="6147DEB8" w:rsidR="00D05EF5" w:rsidRPr="00F546AF" w:rsidRDefault="00D05EF5" w:rsidP="00D05EF5">
      <w:pPr>
        <w:autoSpaceDE w:val="0"/>
        <w:autoSpaceDN w:val="0"/>
        <w:adjustRightInd w:val="0"/>
        <w:jc w:val="both"/>
        <w:rPr>
          <w:rFonts w:asciiTheme="minorHAnsi" w:hAnsiTheme="minorHAnsi" w:cstheme="minorHAnsi"/>
        </w:rPr>
      </w:pPr>
      <w:r w:rsidRPr="00F546AF">
        <w:rPr>
          <w:rFonts w:asciiTheme="minorHAnsi" w:hAnsiTheme="minorHAnsi" w:cstheme="minorHAnsi"/>
        </w:rPr>
        <w:t xml:space="preserve">Az </w:t>
      </w:r>
      <w:r w:rsidRPr="00F546AF">
        <w:rPr>
          <w:rFonts w:asciiTheme="minorHAnsi" w:hAnsiTheme="minorHAnsi" w:cstheme="minorHAnsi"/>
          <w:b/>
        </w:rPr>
        <w:t xml:space="preserve">aktivált saját teljesítmények </w:t>
      </w:r>
      <w:r w:rsidRPr="00F546AF">
        <w:rPr>
          <w:rFonts w:asciiTheme="minorHAnsi" w:hAnsiTheme="minorHAnsi" w:cstheme="minorHAnsi"/>
        </w:rPr>
        <w:t>között jelen</w:t>
      </w:r>
      <w:r w:rsidR="007B4FBB" w:rsidRPr="00F546AF">
        <w:rPr>
          <w:rFonts w:asciiTheme="minorHAnsi" w:hAnsiTheme="minorHAnsi" w:cstheme="minorHAnsi"/>
        </w:rPr>
        <w:t>ne</w:t>
      </w:r>
      <w:r w:rsidRPr="00F546AF">
        <w:rPr>
          <w:rFonts w:asciiTheme="minorHAnsi" w:hAnsiTheme="minorHAnsi" w:cstheme="minorHAnsi"/>
        </w:rPr>
        <w:t xml:space="preserve">k meg </w:t>
      </w:r>
      <w:r w:rsidR="00ED4D9D" w:rsidRPr="00F546AF">
        <w:rPr>
          <w:rFonts w:asciiTheme="minorHAnsi" w:hAnsiTheme="minorHAnsi" w:cstheme="minorHAnsi"/>
        </w:rPr>
        <w:t>a saját hatáskörben végzett</w:t>
      </w:r>
      <w:r w:rsidR="00ED4D9D" w:rsidRPr="00F546AF" w:rsidDel="00ED4D9D">
        <w:rPr>
          <w:rFonts w:asciiTheme="minorHAnsi" w:hAnsiTheme="minorHAnsi" w:cstheme="minorHAnsi"/>
        </w:rPr>
        <w:t xml:space="preserve"> </w:t>
      </w:r>
      <w:r w:rsidRPr="00F546AF">
        <w:rPr>
          <w:rFonts w:asciiTheme="minorHAnsi" w:hAnsiTheme="minorHAnsi" w:cstheme="minorHAnsi"/>
        </w:rPr>
        <w:t xml:space="preserve">feladatok, ilyen például az AVR berendezések </w:t>
      </w:r>
      <w:r w:rsidR="005C4D51" w:rsidRPr="00F546AF">
        <w:rPr>
          <w:rFonts w:asciiTheme="minorHAnsi" w:hAnsiTheme="minorHAnsi" w:cstheme="minorHAnsi"/>
        </w:rPr>
        <w:t>vissza</w:t>
      </w:r>
      <w:r w:rsidRPr="00F546AF">
        <w:rPr>
          <w:rFonts w:asciiTheme="minorHAnsi" w:hAnsiTheme="minorHAnsi" w:cstheme="minorHAnsi"/>
        </w:rPr>
        <w:t>telepítése, a kitérő cserék és egyéb pálya felújítás</w:t>
      </w:r>
      <w:r w:rsidR="00ED4D9D" w:rsidRPr="00F546AF">
        <w:rPr>
          <w:rFonts w:asciiTheme="minorHAnsi" w:hAnsiTheme="minorHAnsi" w:cstheme="minorHAnsi"/>
        </w:rPr>
        <w:t>ok</w:t>
      </w:r>
      <w:r w:rsidRPr="00F546AF">
        <w:rPr>
          <w:rFonts w:asciiTheme="minorHAnsi" w:hAnsiTheme="minorHAnsi" w:cstheme="minorHAnsi"/>
        </w:rPr>
        <w:t xml:space="preserve">, a jelző és biztosítóberendezéseken </w:t>
      </w:r>
      <w:r w:rsidR="00ED4D9D" w:rsidRPr="00F546AF">
        <w:rPr>
          <w:rFonts w:asciiTheme="minorHAnsi" w:hAnsiTheme="minorHAnsi" w:cstheme="minorHAnsi"/>
        </w:rPr>
        <w:t xml:space="preserve">a </w:t>
      </w:r>
      <w:r w:rsidRPr="00F546AF">
        <w:rPr>
          <w:rFonts w:asciiTheme="minorHAnsi" w:hAnsiTheme="minorHAnsi" w:cstheme="minorHAnsi"/>
        </w:rPr>
        <w:t>kamerarendszer telepítés ütemezett folytatása</w:t>
      </w:r>
      <w:r w:rsidR="006D3FBE">
        <w:rPr>
          <w:rFonts w:asciiTheme="minorHAnsi" w:hAnsiTheme="minorHAnsi" w:cstheme="minorHAnsi"/>
        </w:rPr>
        <w:t>, valamint a</w:t>
      </w:r>
      <w:r w:rsidR="00B302FD">
        <w:rPr>
          <w:rFonts w:asciiTheme="minorHAnsi" w:hAnsiTheme="minorHAnsi" w:cstheme="minorHAnsi"/>
        </w:rPr>
        <w:t>z</w:t>
      </w:r>
      <w:r w:rsidR="006D3FBE">
        <w:rPr>
          <w:rFonts w:asciiTheme="minorHAnsi" w:hAnsiTheme="minorHAnsi" w:cstheme="minorHAnsi"/>
        </w:rPr>
        <w:t xml:space="preserve"> M3 infrastruktúra felújítási projektszervezet költségei is. A saját hatáskörben végzett beruházások csökkennek, miközben a</w:t>
      </w:r>
      <w:r w:rsidR="00B302FD">
        <w:rPr>
          <w:rFonts w:asciiTheme="minorHAnsi" w:hAnsiTheme="minorHAnsi" w:cstheme="minorHAnsi"/>
        </w:rPr>
        <w:t>z</w:t>
      </w:r>
      <w:r w:rsidR="006D3FBE">
        <w:rPr>
          <w:rFonts w:asciiTheme="minorHAnsi" w:hAnsiTheme="minorHAnsi" w:cstheme="minorHAnsi"/>
        </w:rPr>
        <w:t xml:space="preserve"> M3 projektszervezet működési költségei emelkednek, így összességében az aktivált saját teljesítmények értéke csak kis mértékben emelkedik</w:t>
      </w:r>
      <w:r w:rsidRPr="00F546AF">
        <w:rPr>
          <w:rFonts w:asciiTheme="minorHAnsi" w:hAnsiTheme="minorHAnsi" w:cstheme="minorHAnsi"/>
        </w:rPr>
        <w:t>.</w:t>
      </w:r>
      <w:r w:rsidR="00E257E7">
        <w:rPr>
          <w:rFonts w:asciiTheme="minorHAnsi" w:hAnsiTheme="minorHAnsi" w:cstheme="minorHAnsi"/>
        </w:rPr>
        <w:t xml:space="preserve"> </w:t>
      </w:r>
    </w:p>
    <w:p w14:paraId="250B4227" w14:textId="77777777" w:rsidR="003609C4" w:rsidRPr="00F546AF" w:rsidRDefault="003609C4" w:rsidP="003609C4">
      <w:pPr>
        <w:autoSpaceDE w:val="0"/>
        <w:autoSpaceDN w:val="0"/>
        <w:adjustRightInd w:val="0"/>
        <w:jc w:val="both"/>
        <w:rPr>
          <w:rFonts w:asciiTheme="minorHAnsi" w:hAnsiTheme="minorHAnsi" w:cstheme="minorHAnsi"/>
          <w:highlight w:val="yellow"/>
        </w:rPr>
      </w:pPr>
    </w:p>
    <w:p w14:paraId="3BF5A497" w14:textId="7B67D66B" w:rsidR="00D05EF5" w:rsidRPr="00F546AF" w:rsidRDefault="00D05EF5" w:rsidP="00D05EF5">
      <w:pPr>
        <w:autoSpaceDE w:val="0"/>
        <w:autoSpaceDN w:val="0"/>
        <w:adjustRightInd w:val="0"/>
        <w:jc w:val="both"/>
        <w:rPr>
          <w:rFonts w:asciiTheme="minorHAnsi" w:hAnsiTheme="minorHAnsi" w:cstheme="minorHAnsi"/>
        </w:rPr>
      </w:pPr>
      <w:r w:rsidRPr="00F546AF">
        <w:rPr>
          <w:rFonts w:asciiTheme="minorHAnsi" w:hAnsiTheme="minorHAnsi" w:cstheme="minorHAnsi"/>
        </w:rPr>
        <w:t xml:space="preserve">A </w:t>
      </w:r>
      <w:r w:rsidRPr="00F546AF">
        <w:rPr>
          <w:rFonts w:asciiTheme="minorHAnsi" w:hAnsiTheme="minorHAnsi" w:cstheme="minorHAnsi"/>
          <w:b/>
        </w:rPr>
        <w:t xml:space="preserve">pénzügyi műveletek bevétele </w:t>
      </w:r>
      <w:r w:rsidRPr="00F546AF">
        <w:rPr>
          <w:rFonts w:asciiTheme="minorHAnsi" w:hAnsiTheme="minorHAnsi" w:cstheme="minorHAnsi"/>
        </w:rPr>
        <w:t xml:space="preserve">soron </w:t>
      </w:r>
      <w:r w:rsidR="00275CEE" w:rsidRPr="00F546AF">
        <w:rPr>
          <w:rFonts w:asciiTheme="minorHAnsi" w:hAnsiTheme="minorHAnsi" w:cstheme="minorHAnsi"/>
        </w:rPr>
        <w:t>összesen 12</w:t>
      </w:r>
      <w:r w:rsidRPr="00F546AF">
        <w:rPr>
          <w:rFonts w:asciiTheme="minorHAnsi" w:hAnsiTheme="minorHAnsi" w:cstheme="minorHAnsi"/>
        </w:rPr>
        <w:t xml:space="preserve"> millió Ft-ot tervez a Társaság</w:t>
      </w:r>
      <w:r w:rsidR="00275CEE" w:rsidRPr="00F546AF">
        <w:rPr>
          <w:rFonts w:asciiTheme="minorHAnsi" w:hAnsiTheme="minorHAnsi" w:cstheme="minorHAnsi"/>
        </w:rPr>
        <w:t>, szemben a 2017</w:t>
      </w:r>
      <w:r w:rsidR="006D3FBE">
        <w:rPr>
          <w:rFonts w:asciiTheme="minorHAnsi" w:hAnsiTheme="minorHAnsi" w:cstheme="minorHAnsi"/>
        </w:rPr>
        <w:t xml:space="preserve">. évi </w:t>
      </w:r>
      <w:r w:rsidR="00661AD7" w:rsidRPr="00F546AF">
        <w:rPr>
          <w:rFonts w:asciiTheme="minorHAnsi" w:hAnsiTheme="minorHAnsi" w:cstheme="minorHAnsi"/>
        </w:rPr>
        <w:t>4</w:t>
      </w:r>
      <w:r w:rsidR="00E04032" w:rsidRPr="00F546AF">
        <w:rPr>
          <w:rFonts w:asciiTheme="minorHAnsi" w:hAnsiTheme="minorHAnsi" w:cstheme="minorHAnsi"/>
        </w:rPr>
        <w:t>9</w:t>
      </w:r>
      <w:r w:rsidR="00275CEE" w:rsidRPr="00F546AF">
        <w:rPr>
          <w:rFonts w:asciiTheme="minorHAnsi" w:hAnsiTheme="minorHAnsi" w:cstheme="minorHAnsi"/>
        </w:rPr>
        <w:t xml:space="preserve"> millió Ft-tal</w:t>
      </w:r>
      <w:r w:rsidR="006D3FBE">
        <w:rPr>
          <w:rFonts w:asciiTheme="minorHAnsi" w:hAnsiTheme="minorHAnsi" w:cstheme="minorHAnsi"/>
        </w:rPr>
        <w:t>, mivel a</w:t>
      </w:r>
      <w:r w:rsidRPr="00F546AF">
        <w:rPr>
          <w:rFonts w:asciiTheme="minorHAnsi" w:hAnsiTheme="minorHAnsi" w:cstheme="minorHAnsi"/>
        </w:rPr>
        <w:t xml:space="preserve"> jelenlegi pénzpiaci környezetben tapasztalható alacsony kamat</w:t>
      </w:r>
      <w:r w:rsidR="00C230DA" w:rsidRPr="00F546AF">
        <w:rPr>
          <w:rFonts w:asciiTheme="minorHAnsi" w:hAnsiTheme="minorHAnsi" w:cstheme="minorHAnsi"/>
        </w:rPr>
        <w:t>szint</w:t>
      </w:r>
      <w:r w:rsidRPr="00F546AF">
        <w:rPr>
          <w:rFonts w:asciiTheme="minorHAnsi" w:hAnsiTheme="minorHAnsi" w:cstheme="minorHAnsi"/>
        </w:rPr>
        <w:t xml:space="preserve">ből adódóan </w:t>
      </w:r>
      <w:r w:rsidR="00C230DA" w:rsidRPr="00F546AF">
        <w:rPr>
          <w:rFonts w:asciiTheme="minorHAnsi" w:hAnsiTheme="minorHAnsi" w:cstheme="minorHAnsi"/>
        </w:rPr>
        <w:t>mérsékelt</w:t>
      </w:r>
      <w:r w:rsidRPr="00F546AF">
        <w:rPr>
          <w:rFonts w:asciiTheme="minorHAnsi" w:hAnsiTheme="minorHAnsi" w:cstheme="minorHAnsi"/>
        </w:rPr>
        <w:t xml:space="preserve"> k</w:t>
      </w:r>
      <w:r w:rsidR="005B29CD" w:rsidRPr="00F546AF">
        <w:rPr>
          <w:rFonts w:asciiTheme="minorHAnsi" w:hAnsiTheme="minorHAnsi" w:cstheme="minorHAnsi"/>
        </w:rPr>
        <w:t>amatbevételekkel számolhatunk</w:t>
      </w:r>
      <w:r w:rsidR="00C230DA" w:rsidRPr="00F546AF">
        <w:rPr>
          <w:rFonts w:asciiTheme="minorHAnsi" w:hAnsiTheme="minorHAnsi" w:cstheme="minorHAnsi"/>
        </w:rPr>
        <w:t xml:space="preserve"> </w:t>
      </w:r>
      <w:r w:rsidR="005B29CD" w:rsidRPr="00F546AF">
        <w:rPr>
          <w:rFonts w:asciiTheme="minorHAnsi" w:hAnsiTheme="minorHAnsi" w:cstheme="minorHAnsi"/>
        </w:rPr>
        <w:t>a</w:t>
      </w:r>
      <w:r w:rsidR="006D3FBE">
        <w:rPr>
          <w:rFonts w:asciiTheme="minorHAnsi" w:hAnsiTheme="minorHAnsi" w:cstheme="minorHAnsi"/>
        </w:rPr>
        <w:t xml:space="preserve"> </w:t>
      </w:r>
      <w:r w:rsidRPr="00F546AF">
        <w:rPr>
          <w:rFonts w:asciiTheme="minorHAnsi" w:hAnsiTheme="minorHAnsi" w:cstheme="minorHAnsi"/>
        </w:rPr>
        <w:t>2018. évben.</w:t>
      </w:r>
    </w:p>
    <w:p w14:paraId="59B80733" w14:textId="77777777" w:rsidR="003609C4" w:rsidRPr="00F546AF" w:rsidRDefault="003609C4" w:rsidP="003609C4">
      <w:pPr>
        <w:autoSpaceDE w:val="0"/>
        <w:autoSpaceDN w:val="0"/>
        <w:adjustRightInd w:val="0"/>
        <w:jc w:val="both"/>
        <w:rPr>
          <w:rFonts w:asciiTheme="minorHAnsi" w:hAnsiTheme="minorHAnsi" w:cstheme="minorHAnsi"/>
        </w:rPr>
      </w:pPr>
    </w:p>
    <w:p w14:paraId="03F92146" w14:textId="77777777" w:rsidR="003609C4" w:rsidRPr="00E257E7" w:rsidRDefault="003609C4" w:rsidP="001E0F17">
      <w:pPr>
        <w:pStyle w:val="Cmsor2"/>
      </w:pPr>
      <w:bookmarkStart w:id="55" w:name="_Toc443317912"/>
      <w:bookmarkStart w:id="56" w:name="_Toc465246385"/>
      <w:bookmarkStart w:id="57" w:name="_Toc512409627"/>
      <w:r w:rsidRPr="00E257E7">
        <w:t>Ráfordítások</w:t>
      </w:r>
      <w:bookmarkEnd w:id="55"/>
      <w:bookmarkEnd w:id="56"/>
      <w:bookmarkEnd w:id="57"/>
    </w:p>
    <w:p w14:paraId="077E2392" w14:textId="77777777" w:rsidR="003609C4" w:rsidRPr="00F546AF" w:rsidRDefault="003609C4" w:rsidP="003609C4">
      <w:pPr>
        <w:pStyle w:val="Lista3"/>
        <w:ind w:left="0" w:firstLine="0"/>
        <w:rPr>
          <w:rFonts w:asciiTheme="minorHAnsi" w:hAnsiTheme="minorHAnsi" w:cstheme="minorHAnsi"/>
        </w:rPr>
      </w:pPr>
    </w:p>
    <w:p w14:paraId="0D2740CE" w14:textId="7C48CC21" w:rsidR="00F75184" w:rsidRDefault="002B48D6" w:rsidP="003609C4">
      <w:pPr>
        <w:jc w:val="both"/>
        <w:rPr>
          <w:rFonts w:asciiTheme="minorHAnsi" w:hAnsiTheme="minorHAnsi" w:cstheme="minorHAnsi"/>
          <w:lang w:eastAsia="en-US"/>
        </w:rPr>
      </w:pPr>
      <w:r w:rsidRPr="00F546AF">
        <w:rPr>
          <w:rFonts w:asciiTheme="minorHAnsi" w:hAnsiTheme="minorHAnsi" w:cstheme="minorHAnsi"/>
        </w:rPr>
        <w:t>A 2018</w:t>
      </w:r>
      <w:r w:rsidR="003609C4" w:rsidRPr="00F546AF">
        <w:rPr>
          <w:rFonts w:asciiTheme="minorHAnsi" w:hAnsiTheme="minorHAnsi" w:cstheme="minorHAnsi"/>
        </w:rPr>
        <w:t>. évi Üzl</w:t>
      </w:r>
      <w:r w:rsidRPr="00F546AF">
        <w:rPr>
          <w:rFonts w:asciiTheme="minorHAnsi" w:hAnsiTheme="minorHAnsi" w:cstheme="minorHAnsi"/>
        </w:rPr>
        <w:t>eti Terv figyelembe veszi a 2017</w:t>
      </w:r>
      <w:r w:rsidR="003609C4" w:rsidRPr="00F546AF">
        <w:rPr>
          <w:rFonts w:asciiTheme="minorHAnsi" w:hAnsiTheme="minorHAnsi" w:cstheme="minorHAnsi"/>
        </w:rPr>
        <w:t xml:space="preserve">. évi </w:t>
      </w:r>
      <w:r w:rsidR="00F75184" w:rsidRPr="00F546AF">
        <w:rPr>
          <w:rFonts w:asciiTheme="minorHAnsi" w:hAnsiTheme="minorHAnsi" w:cstheme="minorHAnsi"/>
        </w:rPr>
        <w:t xml:space="preserve">tény </w:t>
      </w:r>
      <w:r w:rsidR="003609C4" w:rsidRPr="00F546AF">
        <w:rPr>
          <w:rFonts w:asciiTheme="minorHAnsi" w:hAnsiTheme="minorHAnsi" w:cstheme="minorHAnsi"/>
        </w:rPr>
        <w:t>adatokat, a tervezett teljesítmény-</w:t>
      </w:r>
      <w:r w:rsidR="009A1A77" w:rsidRPr="00787AB7">
        <w:rPr>
          <w:rFonts w:asciiTheme="minorHAnsi" w:hAnsiTheme="minorHAnsi" w:cstheme="minorHAnsi"/>
        </w:rPr>
        <w:t>változás hatásait, valamint korlátozottan a szakterületek által 2018. évre jelzett igényeket.</w:t>
      </w:r>
      <w:r w:rsidR="009A1A77" w:rsidRPr="00787AB7">
        <w:rPr>
          <w:rFonts w:asciiTheme="minorHAnsi" w:hAnsiTheme="minorHAnsi" w:cstheme="minorHAnsi"/>
          <w:lang w:eastAsia="en-US"/>
        </w:rPr>
        <w:t xml:space="preserve"> </w:t>
      </w:r>
    </w:p>
    <w:p w14:paraId="35EDCB1F" w14:textId="77777777" w:rsidR="003609C4" w:rsidRPr="00787AB7" w:rsidRDefault="009A1A77" w:rsidP="003609C4">
      <w:pPr>
        <w:jc w:val="both"/>
        <w:rPr>
          <w:rFonts w:asciiTheme="minorHAnsi" w:hAnsiTheme="minorHAnsi" w:cstheme="minorHAnsi"/>
        </w:rPr>
      </w:pPr>
      <w:r w:rsidRPr="00787AB7">
        <w:rPr>
          <w:rFonts w:asciiTheme="minorHAnsi" w:hAnsiTheme="minorHAnsi" w:cstheme="minorHAnsi"/>
        </w:rPr>
        <w:t>A BKV Zrt. anyagjellegű ráfordításainak fő sorai a teljesítmény-változások és többlet tevékenységek eredményeként az alábbiak szerint alakulnak:</w:t>
      </w:r>
    </w:p>
    <w:p w14:paraId="7E962525" w14:textId="77777777" w:rsidR="003609C4" w:rsidRPr="00F546AF" w:rsidRDefault="003609C4" w:rsidP="003609C4">
      <w:pPr>
        <w:jc w:val="both"/>
        <w:rPr>
          <w:rFonts w:asciiTheme="minorHAnsi" w:hAnsiTheme="minorHAnsi" w:cstheme="minorHAnsi"/>
        </w:rPr>
      </w:pPr>
    </w:p>
    <w:p w14:paraId="611C082E" w14:textId="77777777" w:rsidR="003609C4" w:rsidRPr="00787AB7" w:rsidRDefault="009A1A77" w:rsidP="006B3186">
      <w:pPr>
        <w:ind w:left="7788"/>
        <w:jc w:val="center"/>
        <w:rPr>
          <w:rFonts w:asciiTheme="minorHAnsi" w:hAnsiTheme="minorHAnsi" w:cstheme="minorHAnsi"/>
          <w:sz w:val="18"/>
          <w:szCs w:val="18"/>
        </w:rPr>
      </w:pPr>
      <w:r w:rsidRPr="00787AB7">
        <w:rPr>
          <w:rFonts w:asciiTheme="minorHAnsi" w:hAnsiTheme="minorHAnsi" w:cstheme="minorHAnsi"/>
          <w:sz w:val="18"/>
          <w:szCs w:val="18"/>
        </w:rPr>
        <w:t xml:space="preserve">     (millió 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1858"/>
        <w:gridCol w:w="1722"/>
        <w:gridCol w:w="1701"/>
      </w:tblGrid>
      <w:tr w:rsidR="0056690E" w:rsidRPr="0056690E" w14:paraId="03191CE0" w14:textId="77777777" w:rsidTr="006B3186">
        <w:trPr>
          <w:trHeight w:val="742"/>
          <w:jc w:val="center"/>
        </w:trPr>
        <w:tc>
          <w:tcPr>
            <w:tcW w:w="3449" w:type="dxa"/>
            <w:shd w:val="clear" w:color="auto" w:fill="2528A3"/>
            <w:vAlign w:val="center"/>
          </w:tcPr>
          <w:p w14:paraId="0B72C3C7" w14:textId="77777777" w:rsidR="002B48D6" w:rsidRPr="00787AB7" w:rsidRDefault="009A1A77" w:rsidP="00D05EF5">
            <w:pPr>
              <w:rPr>
                <w:rFonts w:ascii="Calibri" w:hAnsi="Calibri"/>
                <w:b/>
                <w:sz w:val="20"/>
                <w:szCs w:val="20"/>
              </w:rPr>
            </w:pPr>
            <w:r w:rsidRPr="00787AB7">
              <w:rPr>
                <w:rFonts w:ascii="Calibri" w:hAnsi="Calibri"/>
                <w:b/>
                <w:sz w:val="20"/>
                <w:szCs w:val="20"/>
              </w:rPr>
              <w:t>Megnevezés</w:t>
            </w:r>
          </w:p>
        </w:tc>
        <w:tc>
          <w:tcPr>
            <w:tcW w:w="1858" w:type="dxa"/>
            <w:shd w:val="clear" w:color="auto" w:fill="2528A3"/>
            <w:vAlign w:val="center"/>
          </w:tcPr>
          <w:p w14:paraId="4CCD4E75" w14:textId="0FCC13D0" w:rsidR="002B48D6" w:rsidRPr="00787AB7" w:rsidRDefault="009A1A77" w:rsidP="00F75184">
            <w:pPr>
              <w:jc w:val="center"/>
              <w:rPr>
                <w:rFonts w:ascii="Calibri" w:hAnsi="Calibri"/>
                <w:b/>
                <w:sz w:val="20"/>
                <w:szCs w:val="20"/>
              </w:rPr>
            </w:pPr>
            <w:r w:rsidRPr="00787AB7">
              <w:rPr>
                <w:rFonts w:ascii="Calibri" w:hAnsi="Calibri"/>
                <w:b/>
                <w:sz w:val="20"/>
                <w:szCs w:val="20"/>
              </w:rPr>
              <w:t>2017. évi tény</w:t>
            </w:r>
          </w:p>
        </w:tc>
        <w:tc>
          <w:tcPr>
            <w:tcW w:w="1722" w:type="dxa"/>
            <w:shd w:val="clear" w:color="auto" w:fill="2528A3"/>
            <w:vAlign w:val="center"/>
          </w:tcPr>
          <w:p w14:paraId="7B47BBF0" w14:textId="77777777" w:rsidR="002B48D6" w:rsidRPr="00787AB7" w:rsidRDefault="009A1A77" w:rsidP="00D05EF5">
            <w:pPr>
              <w:jc w:val="center"/>
              <w:rPr>
                <w:rFonts w:ascii="Calibri" w:hAnsi="Calibri" w:cs="Calibri"/>
                <w:b/>
                <w:bCs/>
                <w:sz w:val="20"/>
                <w:szCs w:val="20"/>
              </w:rPr>
            </w:pPr>
            <w:r w:rsidRPr="00787AB7">
              <w:rPr>
                <w:rFonts w:ascii="Calibri" w:hAnsi="Calibri" w:cs="Calibri"/>
                <w:b/>
                <w:bCs/>
                <w:sz w:val="20"/>
                <w:szCs w:val="20"/>
              </w:rPr>
              <w:t>2018. évi</w:t>
            </w:r>
            <w:r w:rsidRPr="00787AB7">
              <w:rPr>
                <w:rFonts w:ascii="Calibri" w:hAnsi="Calibri" w:cs="Calibri"/>
                <w:b/>
                <w:bCs/>
                <w:sz w:val="20"/>
                <w:szCs w:val="20"/>
              </w:rPr>
              <w:br/>
              <w:t>Üzleti Terv</w:t>
            </w:r>
          </w:p>
        </w:tc>
        <w:tc>
          <w:tcPr>
            <w:tcW w:w="1701" w:type="dxa"/>
            <w:shd w:val="clear" w:color="auto" w:fill="2528A3"/>
            <w:vAlign w:val="center"/>
          </w:tcPr>
          <w:p w14:paraId="0A01D370" w14:textId="77777777" w:rsidR="002B48D6" w:rsidRPr="00787AB7" w:rsidRDefault="009A1A77" w:rsidP="00D05EF5">
            <w:pPr>
              <w:jc w:val="center"/>
              <w:rPr>
                <w:rFonts w:ascii="Calibri" w:hAnsi="Calibri" w:cs="Calibri"/>
                <w:b/>
                <w:bCs/>
                <w:sz w:val="20"/>
                <w:szCs w:val="20"/>
              </w:rPr>
            </w:pPr>
            <w:r w:rsidRPr="00787AB7">
              <w:rPr>
                <w:rFonts w:ascii="Calibri" w:hAnsi="Calibri" w:cs="Calibri"/>
                <w:b/>
                <w:bCs/>
                <w:sz w:val="20"/>
                <w:szCs w:val="20"/>
              </w:rPr>
              <w:t>Változás</w:t>
            </w:r>
          </w:p>
        </w:tc>
      </w:tr>
      <w:tr w:rsidR="00CD7284" w:rsidRPr="0056690E" w14:paraId="3EE3632E" w14:textId="77777777" w:rsidTr="00C208EC">
        <w:trPr>
          <w:trHeight w:val="360"/>
          <w:jc w:val="center"/>
        </w:trPr>
        <w:tc>
          <w:tcPr>
            <w:tcW w:w="3449" w:type="dxa"/>
            <w:shd w:val="clear" w:color="auto" w:fill="auto"/>
            <w:vAlign w:val="center"/>
          </w:tcPr>
          <w:p w14:paraId="75755ECA" w14:textId="77777777" w:rsidR="00CD7284" w:rsidRPr="00787AB7" w:rsidRDefault="00CD7284" w:rsidP="0076173F">
            <w:pPr>
              <w:rPr>
                <w:rFonts w:asciiTheme="minorHAnsi" w:hAnsiTheme="minorHAnsi" w:cstheme="minorHAnsi"/>
                <w:bCs/>
                <w:sz w:val="18"/>
                <w:szCs w:val="18"/>
              </w:rPr>
            </w:pPr>
            <w:r w:rsidRPr="00787AB7">
              <w:rPr>
                <w:rFonts w:asciiTheme="minorHAnsi" w:hAnsiTheme="minorHAnsi" w:cstheme="minorHAnsi"/>
                <w:sz w:val="18"/>
                <w:szCs w:val="18"/>
              </w:rPr>
              <w:t>Anyagköltség (energia nélkül)</w:t>
            </w:r>
          </w:p>
        </w:tc>
        <w:tc>
          <w:tcPr>
            <w:tcW w:w="1858" w:type="dxa"/>
            <w:vAlign w:val="center"/>
          </w:tcPr>
          <w:p w14:paraId="32C26C0A" w14:textId="2320D5C6" w:rsidR="00CD7284" w:rsidRPr="00787AB7" w:rsidRDefault="00CD7284" w:rsidP="00F75184">
            <w:pPr>
              <w:jc w:val="right"/>
              <w:rPr>
                <w:rFonts w:ascii="Calibri" w:hAnsi="Calibri"/>
                <w:sz w:val="18"/>
                <w:szCs w:val="18"/>
              </w:rPr>
            </w:pPr>
            <w:r w:rsidRPr="00787AB7">
              <w:rPr>
                <w:rFonts w:ascii="Calibri" w:hAnsi="Calibri"/>
                <w:sz w:val="18"/>
                <w:szCs w:val="18"/>
              </w:rPr>
              <w:t>11 023</w:t>
            </w:r>
          </w:p>
        </w:tc>
        <w:tc>
          <w:tcPr>
            <w:tcW w:w="1722" w:type="dxa"/>
            <w:vAlign w:val="center"/>
          </w:tcPr>
          <w:p w14:paraId="67B78164" w14:textId="7CD1869D" w:rsidR="00CD7284" w:rsidRPr="00787AB7" w:rsidRDefault="00CD7284" w:rsidP="0076173F">
            <w:pPr>
              <w:jc w:val="right"/>
              <w:rPr>
                <w:rFonts w:ascii="Calibri" w:hAnsi="Calibri"/>
                <w:sz w:val="18"/>
                <w:szCs w:val="18"/>
              </w:rPr>
            </w:pPr>
            <w:r w:rsidRPr="00787AB7">
              <w:rPr>
                <w:rFonts w:ascii="Calibri" w:hAnsi="Calibri"/>
                <w:sz w:val="18"/>
                <w:szCs w:val="18"/>
              </w:rPr>
              <w:t>11 348</w:t>
            </w:r>
          </w:p>
        </w:tc>
        <w:tc>
          <w:tcPr>
            <w:tcW w:w="1701" w:type="dxa"/>
            <w:vAlign w:val="center"/>
          </w:tcPr>
          <w:p w14:paraId="05EBB74B" w14:textId="0A995C28" w:rsidR="00CD7284" w:rsidRPr="00787AB7" w:rsidRDefault="00CD7284" w:rsidP="0076173F">
            <w:pPr>
              <w:jc w:val="right"/>
              <w:rPr>
                <w:rFonts w:ascii="Calibri" w:hAnsi="Calibri"/>
                <w:sz w:val="18"/>
                <w:szCs w:val="18"/>
              </w:rPr>
            </w:pPr>
            <w:r w:rsidRPr="00787AB7">
              <w:rPr>
                <w:rFonts w:ascii="Calibri" w:hAnsi="Calibri"/>
                <w:sz w:val="18"/>
                <w:szCs w:val="18"/>
              </w:rPr>
              <w:t>325</w:t>
            </w:r>
          </w:p>
        </w:tc>
      </w:tr>
      <w:tr w:rsidR="00CD7284" w:rsidRPr="0056690E" w14:paraId="0C3C7FAF" w14:textId="77777777" w:rsidTr="00C208EC">
        <w:trPr>
          <w:trHeight w:val="360"/>
          <w:jc w:val="center"/>
        </w:trPr>
        <w:tc>
          <w:tcPr>
            <w:tcW w:w="3449" w:type="dxa"/>
            <w:shd w:val="clear" w:color="auto" w:fill="auto"/>
            <w:vAlign w:val="center"/>
          </w:tcPr>
          <w:p w14:paraId="3460B8A0" w14:textId="77777777" w:rsidR="00CD7284" w:rsidRPr="00787AB7" w:rsidRDefault="00CD7284" w:rsidP="0076173F">
            <w:pPr>
              <w:rPr>
                <w:rFonts w:asciiTheme="minorHAnsi" w:hAnsiTheme="minorHAnsi" w:cstheme="minorHAnsi"/>
                <w:bCs/>
                <w:sz w:val="18"/>
                <w:szCs w:val="18"/>
              </w:rPr>
            </w:pPr>
            <w:r w:rsidRPr="00787AB7">
              <w:rPr>
                <w:rFonts w:asciiTheme="minorHAnsi" w:hAnsiTheme="minorHAnsi" w:cstheme="minorHAnsi"/>
                <w:sz w:val="18"/>
                <w:szCs w:val="18"/>
              </w:rPr>
              <w:t>Üzemeltetési gáz és gázolaj</w:t>
            </w:r>
          </w:p>
        </w:tc>
        <w:tc>
          <w:tcPr>
            <w:tcW w:w="1858" w:type="dxa"/>
            <w:vAlign w:val="center"/>
          </w:tcPr>
          <w:p w14:paraId="7D978E97" w14:textId="38712221" w:rsidR="00CD7284" w:rsidRPr="00787AB7" w:rsidRDefault="00CD7284" w:rsidP="00F75184">
            <w:pPr>
              <w:jc w:val="right"/>
              <w:rPr>
                <w:rFonts w:ascii="Calibri" w:hAnsi="Calibri"/>
                <w:sz w:val="18"/>
                <w:szCs w:val="18"/>
              </w:rPr>
            </w:pPr>
            <w:r w:rsidRPr="00787AB7">
              <w:rPr>
                <w:rFonts w:ascii="Calibri" w:hAnsi="Calibri"/>
                <w:sz w:val="18"/>
                <w:szCs w:val="18"/>
              </w:rPr>
              <w:t>6 850</w:t>
            </w:r>
          </w:p>
        </w:tc>
        <w:tc>
          <w:tcPr>
            <w:tcW w:w="1722" w:type="dxa"/>
            <w:vAlign w:val="center"/>
          </w:tcPr>
          <w:p w14:paraId="3A462719" w14:textId="67371D49" w:rsidR="00CD7284" w:rsidRPr="00787AB7" w:rsidRDefault="00CD7284" w:rsidP="0076173F">
            <w:pPr>
              <w:jc w:val="right"/>
              <w:rPr>
                <w:rFonts w:ascii="Calibri" w:hAnsi="Calibri"/>
                <w:sz w:val="18"/>
                <w:szCs w:val="18"/>
              </w:rPr>
            </w:pPr>
            <w:r w:rsidRPr="00787AB7">
              <w:rPr>
                <w:rFonts w:ascii="Calibri" w:hAnsi="Calibri"/>
                <w:sz w:val="18"/>
                <w:szCs w:val="18"/>
              </w:rPr>
              <w:t>8 014</w:t>
            </w:r>
          </w:p>
        </w:tc>
        <w:tc>
          <w:tcPr>
            <w:tcW w:w="1701" w:type="dxa"/>
            <w:vAlign w:val="center"/>
          </w:tcPr>
          <w:p w14:paraId="3056C7D2" w14:textId="58DF9CCA" w:rsidR="00CD7284" w:rsidRPr="00787AB7" w:rsidRDefault="00CD7284">
            <w:pPr>
              <w:jc w:val="right"/>
              <w:rPr>
                <w:rFonts w:ascii="Calibri" w:hAnsi="Calibri"/>
                <w:sz w:val="18"/>
                <w:szCs w:val="18"/>
              </w:rPr>
            </w:pPr>
            <w:r w:rsidRPr="00787AB7">
              <w:rPr>
                <w:rFonts w:ascii="Calibri" w:hAnsi="Calibri"/>
                <w:sz w:val="18"/>
                <w:szCs w:val="18"/>
              </w:rPr>
              <w:t>1 164</w:t>
            </w:r>
          </w:p>
        </w:tc>
      </w:tr>
      <w:tr w:rsidR="00CD7284" w:rsidRPr="0056690E" w14:paraId="3D4EF279" w14:textId="77777777" w:rsidTr="00C208EC">
        <w:trPr>
          <w:trHeight w:val="360"/>
          <w:jc w:val="center"/>
        </w:trPr>
        <w:tc>
          <w:tcPr>
            <w:tcW w:w="3449" w:type="dxa"/>
            <w:shd w:val="clear" w:color="auto" w:fill="auto"/>
            <w:vAlign w:val="center"/>
          </w:tcPr>
          <w:p w14:paraId="07FB1F7D" w14:textId="77777777" w:rsidR="00CD7284" w:rsidRPr="00787AB7" w:rsidRDefault="00CD7284" w:rsidP="0076173F">
            <w:pPr>
              <w:rPr>
                <w:rFonts w:asciiTheme="minorHAnsi" w:hAnsiTheme="minorHAnsi" w:cstheme="minorHAnsi"/>
                <w:bCs/>
                <w:sz w:val="18"/>
                <w:szCs w:val="18"/>
              </w:rPr>
            </w:pPr>
            <w:r w:rsidRPr="00787AB7">
              <w:rPr>
                <w:rFonts w:asciiTheme="minorHAnsi" w:hAnsiTheme="minorHAnsi" w:cstheme="minorHAnsi"/>
                <w:sz w:val="18"/>
                <w:szCs w:val="18"/>
              </w:rPr>
              <w:t>Vontatási áram</w:t>
            </w:r>
          </w:p>
        </w:tc>
        <w:tc>
          <w:tcPr>
            <w:tcW w:w="1858" w:type="dxa"/>
            <w:vAlign w:val="center"/>
          </w:tcPr>
          <w:p w14:paraId="47F3B9C1" w14:textId="158EE1A1" w:rsidR="00CD7284" w:rsidRPr="00787AB7" w:rsidRDefault="00CD7284" w:rsidP="00F75184">
            <w:pPr>
              <w:jc w:val="right"/>
              <w:rPr>
                <w:rFonts w:ascii="Calibri" w:hAnsi="Calibri"/>
                <w:sz w:val="18"/>
                <w:szCs w:val="18"/>
              </w:rPr>
            </w:pPr>
            <w:r w:rsidRPr="00787AB7">
              <w:rPr>
                <w:rFonts w:ascii="Calibri" w:hAnsi="Calibri"/>
                <w:sz w:val="18"/>
                <w:szCs w:val="18"/>
              </w:rPr>
              <w:t>5 517</w:t>
            </w:r>
          </w:p>
        </w:tc>
        <w:tc>
          <w:tcPr>
            <w:tcW w:w="1722" w:type="dxa"/>
            <w:vAlign w:val="center"/>
          </w:tcPr>
          <w:p w14:paraId="6C29F58E" w14:textId="257294B6" w:rsidR="00CD7284" w:rsidRPr="00787AB7" w:rsidRDefault="00CD7284" w:rsidP="0076173F">
            <w:pPr>
              <w:jc w:val="right"/>
              <w:rPr>
                <w:rFonts w:ascii="Calibri" w:hAnsi="Calibri"/>
                <w:sz w:val="18"/>
                <w:szCs w:val="18"/>
              </w:rPr>
            </w:pPr>
            <w:r w:rsidRPr="00787AB7">
              <w:rPr>
                <w:rFonts w:ascii="Calibri" w:hAnsi="Calibri"/>
                <w:sz w:val="18"/>
                <w:szCs w:val="18"/>
              </w:rPr>
              <w:t>5 458</w:t>
            </w:r>
          </w:p>
        </w:tc>
        <w:tc>
          <w:tcPr>
            <w:tcW w:w="1701" w:type="dxa"/>
            <w:vAlign w:val="center"/>
          </w:tcPr>
          <w:p w14:paraId="20BE3DA0" w14:textId="56D86857" w:rsidR="00CD7284" w:rsidRPr="00787AB7" w:rsidRDefault="00CD7284">
            <w:pPr>
              <w:jc w:val="right"/>
              <w:rPr>
                <w:rFonts w:ascii="Calibri" w:hAnsi="Calibri"/>
                <w:sz w:val="18"/>
                <w:szCs w:val="18"/>
              </w:rPr>
            </w:pPr>
            <w:r w:rsidRPr="00787AB7">
              <w:rPr>
                <w:rFonts w:ascii="Calibri" w:hAnsi="Calibri"/>
                <w:sz w:val="18"/>
                <w:szCs w:val="18"/>
              </w:rPr>
              <w:t>-59</w:t>
            </w:r>
          </w:p>
        </w:tc>
      </w:tr>
      <w:tr w:rsidR="00CD7284" w:rsidRPr="0056690E" w14:paraId="3036F2C6" w14:textId="77777777" w:rsidTr="00C208EC">
        <w:trPr>
          <w:trHeight w:val="360"/>
          <w:jc w:val="center"/>
        </w:trPr>
        <w:tc>
          <w:tcPr>
            <w:tcW w:w="3449" w:type="dxa"/>
            <w:shd w:val="clear" w:color="auto" w:fill="auto"/>
            <w:vAlign w:val="center"/>
          </w:tcPr>
          <w:p w14:paraId="18B8F383" w14:textId="77777777" w:rsidR="00CD7284" w:rsidRPr="00787AB7" w:rsidRDefault="00CD7284" w:rsidP="0076173F">
            <w:pPr>
              <w:rPr>
                <w:rFonts w:asciiTheme="minorHAnsi" w:hAnsiTheme="minorHAnsi" w:cstheme="minorHAnsi"/>
                <w:bCs/>
                <w:sz w:val="18"/>
                <w:szCs w:val="18"/>
              </w:rPr>
            </w:pPr>
            <w:r w:rsidRPr="00787AB7">
              <w:rPr>
                <w:rFonts w:asciiTheme="minorHAnsi" w:hAnsiTheme="minorHAnsi" w:cstheme="minorHAnsi"/>
                <w:sz w:val="18"/>
                <w:szCs w:val="18"/>
              </w:rPr>
              <w:t>Egyéb energia</w:t>
            </w:r>
          </w:p>
        </w:tc>
        <w:tc>
          <w:tcPr>
            <w:tcW w:w="1858" w:type="dxa"/>
            <w:vAlign w:val="center"/>
          </w:tcPr>
          <w:p w14:paraId="0A629D1E" w14:textId="4727B290" w:rsidR="00CD7284" w:rsidRPr="00787AB7" w:rsidRDefault="00CD7284" w:rsidP="00F75184">
            <w:pPr>
              <w:jc w:val="right"/>
              <w:rPr>
                <w:rFonts w:ascii="Calibri" w:hAnsi="Calibri"/>
                <w:sz w:val="18"/>
                <w:szCs w:val="18"/>
              </w:rPr>
            </w:pPr>
            <w:r w:rsidRPr="00787AB7">
              <w:rPr>
                <w:rFonts w:ascii="Calibri" w:hAnsi="Calibri"/>
                <w:sz w:val="18"/>
                <w:szCs w:val="18"/>
              </w:rPr>
              <w:t>2 567</w:t>
            </w:r>
          </w:p>
        </w:tc>
        <w:tc>
          <w:tcPr>
            <w:tcW w:w="1722" w:type="dxa"/>
            <w:vAlign w:val="center"/>
          </w:tcPr>
          <w:p w14:paraId="0432480B" w14:textId="58FA19CC" w:rsidR="00CD7284" w:rsidRPr="00787AB7" w:rsidRDefault="00CD7284" w:rsidP="0076173F">
            <w:pPr>
              <w:jc w:val="right"/>
              <w:rPr>
                <w:rFonts w:ascii="Calibri" w:hAnsi="Calibri"/>
                <w:sz w:val="18"/>
                <w:szCs w:val="18"/>
              </w:rPr>
            </w:pPr>
            <w:r w:rsidRPr="00787AB7">
              <w:rPr>
                <w:rFonts w:ascii="Calibri" w:hAnsi="Calibri"/>
                <w:sz w:val="18"/>
                <w:szCs w:val="18"/>
              </w:rPr>
              <w:t>2 726</w:t>
            </w:r>
          </w:p>
        </w:tc>
        <w:tc>
          <w:tcPr>
            <w:tcW w:w="1701" w:type="dxa"/>
            <w:vAlign w:val="center"/>
          </w:tcPr>
          <w:p w14:paraId="18026DB2" w14:textId="182C6818" w:rsidR="00CD7284" w:rsidRPr="00787AB7" w:rsidRDefault="00CD7284">
            <w:pPr>
              <w:jc w:val="right"/>
              <w:rPr>
                <w:rFonts w:ascii="Calibri" w:hAnsi="Calibri"/>
                <w:sz w:val="18"/>
                <w:szCs w:val="18"/>
              </w:rPr>
            </w:pPr>
            <w:r w:rsidRPr="00787AB7">
              <w:rPr>
                <w:rFonts w:ascii="Calibri" w:hAnsi="Calibri"/>
                <w:sz w:val="18"/>
                <w:szCs w:val="18"/>
              </w:rPr>
              <w:t>160</w:t>
            </w:r>
          </w:p>
        </w:tc>
      </w:tr>
      <w:tr w:rsidR="00CD7284" w:rsidRPr="0056690E" w14:paraId="4FBAD449" w14:textId="77777777" w:rsidTr="00C208EC">
        <w:trPr>
          <w:trHeight w:val="360"/>
          <w:jc w:val="center"/>
        </w:trPr>
        <w:tc>
          <w:tcPr>
            <w:tcW w:w="3449" w:type="dxa"/>
            <w:shd w:val="clear" w:color="auto" w:fill="auto"/>
            <w:vAlign w:val="center"/>
          </w:tcPr>
          <w:p w14:paraId="470C56BE" w14:textId="77777777" w:rsidR="00CD7284" w:rsidRPr="00787AB7" w:rsidRDefault="00CD7284" w:rsidP="0076173F">
            <w:pPr>
              <w:rPr>
                <w:rFonts w:asciiTheme="minorHAnsi" w:hAnsiTheme="minorHAnsi" w:cstheme="minorHAnsi"/>
                <w:bCs/>
                <w:sz w:val="18"/>
                <w:szCs w:val="18"/>
              </w:rPr>
            </w:pPr>
            <w:r w:rsidRPr="00787AB7">
              <w:rPr>
                <w:rFonts w:asciiTheme="minorHAnsi" w:hAnsiTheme="minorHAnsi" w:cstheme="minorHAnsi"/>
                <w:sz w:val="18"/>
                <w:szCs w:val="18"/>
              </w:rPr>
              <w:t>Igénybe vett szolgáltatások</w:t>
            </w:r>
          </w:p>
        </w:tc>
        <w:tc>
          <w:tcPr>
            <w:tcW w:w="1858" w:type="dxa"/>
            <w:vAlign w:val="center"/>
          </w:tcPr>
          <w:p w14:paraId="3F68956F" w14:textId="7AA210D2" w:rsidR="00CD7284" w:rsidRPr="00787AB7" w:rsidRDefault="00CD7284" w:rsidP="00F75184">
            <w:pPr>
              <w:jc w:val="right"/>
              <w:rPr>
                <w:rFonts w:ascii="Calibri" w:hAnsi="Calibri"/>
                <w:sz w:val="18"/>
                <w:szCs w:val="18"/>
              </w:rPr>
            </w:pPr>
            <w:r w:rsidRPr="00787AB7">
              <w:rPr>
                <w:rFonts w:ascii="Calibri" w:hAnsi="Calibri"/>
                <w:sz w:val="18"/>
                <w:szCs w:val="18"/>
              </w:rPr>
              <w:t>23 270</w:t>
            </w:r>
          </w:p>
        </w:tc>
        <w:tc>
          <w:tcPr>
            <w:tcW w:w="1722" w:type="dxa"/>
            <w:vAlign w:val="center"/>
          </w:tcPr>
          <w:p w14:paraId="2A399812" w14:textId="218BECB5" w:rsidR="00CD7284" w:rsidRPr="00787AB7" w:rsidRDefault="00CD7284" w:rsidP="0076173F">
            <w:pPr>
              <w:jc w:val="right"/>
              <w:rPr>
                <w:rFonts w:ascii="Calibri" w:hAnsi="Calibri"/>
                <w:sz w:val="18"/>
                <w:szCs w:val="18"/>
              </w:rPr>
            </w:pPr>
            <w:r w:rsidRPr="00787AB7">
              <w:rPr>
                <w:rFonts w:ascii="Calibri" w:hAnsi="Calibri"/>
                <w:sz w:val="18"/>
                <w:szCs w:val="18"/>
              </w:rPr>
              <w:t>25 538</w:t>
            </w:r>
          </w:p>
        </w:tc>
        <w:tc>
          <w:tcPr>
            <w:tcW w:w="1701" w:type="dxa"/>
            <w:vAlign w:val="center"/>
          </w:tcPr>
          <w:p w14:paraId="7E8BAEB8" w14:textId="1F1C20E0" w:rsidR="00CD7284" w:rsidRPr="00787AB7" w:rsidRDefault="00CD7284" w:rsidP="0076173F">
            <w:pPr>
              <w:jc w:val="right"/>
              <w:rPr>
                <w:rFonts w:ascii="Calibri" w:hAnsi="Calibri"/>
                <w:sz w:val="18"/>
                <w:szCs w:val="18"/>
              </w:rPr>
            </w:pPr>
            <w:r w:rsidRPr="00787AB7">
              <w:rPr>
                <w:rFonts w:ascii="Calibri" w:hAnsi="Calibri"/>
                <w:sz w:val="18"/>
                <w:szCs w:val="18"/>
              </w:rPr>
              <w:t>2 268</w:t>
            </w:r>
          </w:p>
        </w:tc>
      </w:tr>
      <w:tr w:rsidR="00CD7284" w:rsidRPr="0056690E" w14:paraId="7DA0F098" w14:textId="77777777" w:rsidTr="00C208EC">
        <w:trPr>
          <w:trHeight w:val="360"/>
          <w:jc w:val="center"/>
        </w:trPr>
        <w:tc>
          <w:tcPr>
            <w:tcW w:w="3449" w:type="dxa"/>
            <w:shd w:val="clear" w:color="auto" w:fill="auto"/>
            <w:vAlign w:val="center"/>
          </w:tcPr>
          <w:p w14:paraId="4D6ECFB5" w14:textId="77777777" w:rsidR="00CD7284" w:rsidRPr="00787AB7" w:rsidRDefault="00CD7284" w:rsidP="0076173F">
            <w:pPr>
              <w:rPr>
                <w:rFonts w:asciiTheme="minorHAnsi" w:hAnsiTheme="minorHAnsi" w:cstheme="minorHAnsi"/>
                <w:bCs/>
                <w:sz w:val="18"/>
                <w:szCs w:val="18"/>
              </w:rPr>
            </w:pPr>
            <w:r w:rsidRPr="00787AB7">
              <w:rPr>
                <w:rFonts w:asciiTheme="minorHAnsi" w:hAnsiTheme="minorHAnsi" w:cstheme="minorHAnsi"/>
                <w:sz w:val="18"/>
                <w:szCs w:val="18"/>
              </w:rPr>
              <w:t>Egyéb szolgáltatások</w:t>
            </w:r>
          </w:p>
        </w:tc>
        <w:tc>
          <w:tcPr>
            <w:tcW w:w="1858" w:type="dxa"/>
            <w:vAlign w:val="center"/>
          </w:tcPr>
          <w:p w14:paraId="2F232EC4" w14:textId="15260320" w:rsidR="00CD7284" w:rsidRPr="00787AB7" w:rsidRDefault="00CD7284" w:rsidP="00F75184">
            <w:pPr>
              <w:jc w:val="right"/>
              <w:rPr>
                <w:rFonts w:ascii="Calibri" w:hAnsi="Calibri"/>
                <w:sz w:val="18"/>
                <w:szCs w:val="18"/>
              </w:rPr>
            </w:pPr>
            <w:r w:rsidRPr="00787AB7">
              <w:rPr>
                <w:rFonts w:ascii="Calibri" w:hAnsi="Calibri"/>
                <w:sz w:val="18"/>
                <w:szCs w:val="18"/>
              </w:rPr>
              <w:t>906</w:t>
            </w:r>
          </w:p>
        </w:tc>
        <w:tc>
          <w:tcPr>
            <w:tcW w:w="1722" w:type="dxa"/>
            <w:vAlign w:val="center"/>
          </w:tcPr>
          <w:p w14:paraId="73C5F123" w14:textId="66D195D9" w:rsidR="00CD7284" w:rsidRPr="00787AB7" w:rsidRDefault="00CD7284" w:rsidP="0076173F">
            <w:pPr>
              <w:jc w:val="right"/>
              <w:rPr>
                <w:rFonts w:ascii="Calibri" w:hAnsi="Calibri"/>
                <w:sz w:val="18"/>
                <w:szCs w:val="18"/>
              </w:rPr>
            </w:pPr>
            <w:r w:rsidRPr="00787AB7">
              <w:rPr>
                <w:rFonts w:ascii="Calibri" w:hAnsi="Calibri"/>
                <w:sz w:val="18"/>
                <w:szCs w:val="18"/>
              </w:rPr>
              <w:t>917</w:t>
            </w:r>
          </w:p>
        </w:tc>
        <w:tc>
          <w:tcPr>
            <w:tcW w:w="1701" w:type="dxa"/>
            <w:vAlign w:val="center"/>
          </w:tcPr>
          <w:p w14:paraId="0BC0C70D" w14:textId="5B57CAC9" w:rsidR="00CD7284" w:rsidRPr="00787AB7" w:rsidRDefault="00CD7284" w:rsidP="0076173F">
            <w:pPr>
              <w:jc w:val="right"/>
              <w:rPr>
                <w:rFonts w:ascii="Calibri" w:hAnsi="Calibri"/>
                <w:sz w:val="18"/>
                <w:szCs w:val="18"/>
              </w:rPr>
            </w:pPr>
            <w:r w:rsidRPr="00787AB7">
              <w:rPr>
                <w:rFonts w:ascii="Calibri" w:hAnsi="Calibri"/>
                <w:sz w:val="18"/>
                <w:szCs w:val="18"/>
              </w:rPr>
              <w:t>12</w:t>
            </w:r>
          </w:p>
        </w:tc>
      </w:tr>
      <w:tr w:rsidR="00CD7284" w:rsidRPr="0056690E" w14:paraId="038D3E61" w14:textId="77777777" w:rsidTr="00C208EC">
        <w:trPr>
          <w:trHeight w:val="360"/>
          <w:jc w:val="center"/>
        </w:trPr>
        <w:tc>
          <w:tcPr>
            <w:tcW w:w="3449" w:type="dxa"/>
            <w:shd w:val="clear" w:color="auto" w:fill="auto"/>
            <w:vAlign w:val="center"/>
          </w:tcPr>
          <w:p w14:paraId="223B043C" w14:textId="77777777" w:rsidR="00CD7284" w:rsidRPr="00787AB7" w:rsidRDefault="00CD7284" w:rsidP="0076173F">
            <w:pPr>
              <w:rPr>
                <w:rFonts w:asciiTheme="minorHAnsi" w:hAnsiTheme="minorHAnsi" w:cstheme="minorHAnsi"/>
                <w:bCs/>
                <w:sz w:val="18"/>
                <w:szCs w:val="18"/>
              </w:rPr>
            </w:pPr>
            <w:r w:rsidRPr="00787AB7">
              <w:rPr>
                <w:rFonts w:asciiTheme="minorHAnsi" w:hAnsiTheme="minorHAnsi" w:cstheme="minorHAnsi"/>
                <w:sz w:val="18"/>
                <w:szCs w:val="18"/>
              </w:rPr>
              <w:t>Eladott áruk beszerzési értéke</w:t>
            </w:r>
          </w:p>
        </w:tc>
        <w:tc>
          <w:tcPr>
            <w:tcW w:w="1858" w:type="dxa"/>
            <w:vAlign w:val="center"/>
          </w:tcPr>
          <w:p w14:paraId="4D1E45F1" w14:textId="520B7A07" w:rsidR="00CD7284" w:rsidRPr="00787AB7" w:rsidRDefault="00CD7284" w:rsidP="0076173F">
            <w:pPr>
              <w:jc w:val="right"/>
              <w:rPr>
                <w:rFonts w:ascii="Calibri" w:hAnsi="Calibri"/>
                <w:sz w:val="18"/>
                <w:szCs w:val="18"/>
              </w:rPr>
            </w:pPr>
            <w:r w:rsidRPr="00787AB7">
              <w:rPr>
                <w:rFonts w:ascii="Calibri" w:hAnsi="Calibri"/>
                <w:sz w:val="18"/>
                <w:szCs w:val="18"/>
              </w:rPr>
              <w:t>358</w:t>
            </w:r>
          </w:p>
        </w:tc>
        <w:tc>
          <w:tcPr>
            <w:tcW w:w="1722" w:type="dxa"/>
            <w:vAlign w:val="center"/>
          </w:tcPr>
          <w:p w14:paraId="1D6E07B8" w14:textId="5EB8363F" w:rsidR="00CD7284" w:rsidRPr="00787AB7" w:rsidRDefault="00CD7284" w:rsidP="0076173F">
            <w:pPr>
              <w:jc w:val="right"/>
              <w:rPr>
                <w:rFonts w:ascii="Calibri" w:hAnsi="Calibri"/>
                <w:sz w:val="18"/>
                <w:szCs w:val="18"/>
              </w:rPr>
            </w:pPr>
            <w:r w:rsidRPr="00787AB7">
              <w:rPr>
                <w:rFonts w:ascii="Calibri" w:hAnsi="Calibri"/>
                <w:sz w:val="18"/>
                <w:szCs w:val="18"/>
              </w:rPr>
              <w:t>648</w:t>
            </w:r>
          </w:p>
        </w:tc>
        <w:tc>
          <w:tcPr>
            <w:tcW w:w="1701" w:type="dxa"/>
            <w:vAlign w:val="center"/>
          </w:tcPr>
          <w:p w14:paraId="212AD72B" w14:textId="6EC5E7FB" w:rsidR="00CD7284" w:rsidRPr="00787AB7" w:rsidRDefault="00CD7284" w:rsidP="0076173F">
            <w:pPr>
              <w:jc w:val="right"/>
              <w:rPr>
                <w:rFonts w:ascii="Calibri" w:hAnsi="Calibri"/>
                <w:sz w:val="18"/>
                <w:szCs w:val="18"/>
              </w:rPr>
            </w:pPr>
            <w:r w:rsidRPr="00787AB7">
              <w:rPr>
                <w:rFonts w:ascii="Calibri" w:hAnsi="Calibri"/>
                <w:sz w:val="18"/>
                <w:szCs w:val="18"/>
              </w:rPr>
              <w:t>290</w:t>
            </w:r>
          </w:p>
        </w:tc>
      </w:tr>
      <w:tr w:rsidR="00CD7284" w:rsidRPr="0056690E" w14:paraId="4B00A54D" w14:textId="77777777" w:rsidTr="00C208EC">
        <w:trPr>
          <w:trHeight w:val="360"/>
          <w:jc w:val="center"/>
        </w:trPr>
        <w:tc>
          <w:tcPr>
            <w:tcW w:w="3449" w:type="dxa"/>
            <w:shd w:val="clear" w:color="auto" w:fill="auto"/>
            <w:vAlign w:val="center"/>
          </w:tcPr>
          <w:p w14:paraId="5C9EB3BA" w14:textId="77777777" w:rsidR="00CD7284" w:rsidRPr="00787AB7" w:rsidRDefault="00CD7284" w:rsidP="0076173F">
            <w:pPr>
              <w:rPr>
                <w:rFonts w:asciiTheme="minorHAnsi" w:hAnsiTheme="minorHAnsi" w:cstheme="minorHAnsi"/>
                <w:bCs/>
                <w:sz w:val="18"/>
                <w:szCs w:val="18"/>
              </w:rPr>
            </w:pPr>
            <w:r w:rsidRPr="00787AB7">
              <w:rPr>
                <w:rFonts w:asciiTheme="minorHAnsi" w:hAnsiTheme="minorHAnsi" w:cstheme="minorHAnsi"/>
                <w:sz w:val="18"/>
                <w:szCs w:val="18"/>
              </w:rPr>
              <w:t>Eladott (közvetített) szolgáltatások értéke</w:t>
            </w:r>
          </w:p>
        </w:tc>
        <w:tc>
          <w:tcPr>
            <w:tcW w:w="1858" w:type="dxa"/>
            <w:vAlign w:val="center"/>
          </w:tcPr>
          <w:p w14:paraId="4F61D204" w14:textId="3961858A" w:rsidR="00CD7284" w:rsidRPr="00787AB7" w:rsidRDefault="00CD7284" w:rsidP="00F75184">
            <w:pPr>
              <w:jc w:val="right"/>
              <w:rPr>
                <w:rFonts w:ascii="Calibri" w:hAnsi="Calibri"/>
                <w:sz w:val="18"/>
                <w:szCs w:val="18"/>
              </w:rPr>
            </w:pPr>
            <w:r w:rsidRPr="00787AB7">
              <w:rPr>
                <w:rFonts w:ascii="Calibri" w:hAnsi="Calibri"/>
                <w:sz w:val="18"/>
                <w:szCs w:val="18"/>
              </w:rPr>
              <w:t>1 995</w:t>
            </w:r>
          </w:p>
        </w:tc>
        <w:tc>
          <w:tcPr>
            <w:tcW w:w="1722" w:type="dxa"/>
            <w:vAlign w:val="center"/>
          </w:tcPr>
          <w:p w14:paraId="76C2CF6C" w14:textId="262DBFB9" w:rsidR="00CD7284" w:rsidRPr="00787AB7" w:rsidRDefault="00CD7284" w:rsidP="0076173F">
            <w:pPr>
              <w:jc w:val="right"/>
              <w:rPr>
                <w:rFonts w:ascii="Calibri" w:hAnsi="Calibri"/>
                <w:sz w:val="18"/>
                <w:szCs w:val="18"/>
              </w:rPr>
            </w:pPr>
            <w:r w:rsidRPr="00787AB7">
              <w:rPr>
                <w:rFonts w:ascii="Calibri" w:hAnsi="Calibri"/>
                <w:sz w:val="18"/>
                <w:szCs w:val="18"/>
              </w:rPr>
              <w:t>1 723</w:t>
            </w:r>
          </w:p>
        </w:tc>
        <w:tc>
          <w:tcPr>
            <w:tcW w:w="1701" w:type="dxa"/>
            <w:vAlign w:val="center"/>
          </w:tcPr>
          <w:p w14:paraId="2A9C589F" w14:textId="47EA86F3" w:rsidR="00CD7284" w:rsidRPr="00787AB7" w:rsidRDefault="00CD7284" w:rsidP="0076173F">
            <w:pPr>
              <w:jc w:val="right"/>
              <w:rPr>
                <w:rFonts w:ascii="Calibri" w:hAnsi="Calibri"/>
                <w:sz w:val="18"/>
                <w:szCs w:val="18"/>
              </w:rPr>
            </w:pPr>
            <w:r w:rsidRPr="00787AB7">
              <w:rPr>
                <w:rFonts w:ascii="Calibri" w:hAnsi="Calibri"/>
                <w:sz w:val="18"/>
                <w:szCs w:val="18"/>
              </w:rPr>
              <w:t>-273</w:t>
            </w:r>
          </w:p>
        </w:tc>
      </w:tr>
      <w:tr w:rsidR="00CD7284" w:rsidRPr="0056690E" w14:paraId="3BEBBAD7" w14:textId="77777777" w:rsidTr="00C208EC">
        <w:trPr>
          <w:trHeight w:val="360"/>
          <w:jc w:val="center"/>
        </w:trPr>
        <w:tc>
          <w:tcPr>
            <w:tcW w:w="3449" w:type="dxa"/>
            <w:shd w:val="clear" w:color="auto" w:fill="auto"/>
            <w:vAlign w:val="center"/>
          </w:tcPr>
          <w:p w14:paraId="72D25722" w14:textId="77777777" w:rsidR="00CD7284" w:rsidRPr="00787AB7" w:rsidRDefault="00CD7284" w:rsidP="0076173F">
            <w:pPr>
              <w:rPr>
                <w:rFonts w:asciiTheme="minorHAnsi" w:hAnsiTheme="minorHAnsi" w:cstheme="minorHAnsi"/>
                <w:b/>
                <w:bCs/>
                <w:sz w:val="18"/>
                <w:szCs w:val="18"/>
              </w:rPr>
            </w:pPr>
            <w:r w:rsidRPr="00787AB7">
              <w:rPr>
                <w:rFonts w:asciiTheme="minorHAnsi" w:hAnsiTheme="minorHAnsi" w:cstheme="minorHAnsi"/>
                <w:b/>
                <w:sz w:val="18"/>
                <w:szCs w:val="18"/>
              </w:rPr>
              <w:t>Anyagjellegű ráfordítások összesen</w:t>
            </w:r>
          </w:p>
        </w:tc>
        <w:tc>
          <w:tcPr>
            <w:tcW w:w="1858" w:type="dxa"/>
            <w:vAlign w:val="center"/>
          </w:tcPr>
          <w:p w14:paraId="0A659D3B" w14:textId="0B47FF9B" w:rsidR="00CD7284" w:rsidRPr="00787AB7" w:rsidRDefault="00CD7284" w:rsidP="0076173F">
            <w:pPr>
              <w:jc w:val="right"/>
              <w:rPr>
                <w:rFonts w:ascii="Calibri" w:hAnsi="Calibri"/>
                <w:b/>
                <w:sz w:val="18"/>
                <w:szCs w:val="18"/>
              </w:rPr>
            </w:pPr>
            <w:r w:rsidRPr="00787AB7">
              <w:rPr>
                <w:rFonts w:ascii="Calibri" w:hAnsi="Calibri"/>
                <w:b/>
                <w:sz w:val="18"/>
                <w:szCs w:val="18"/>
              </w:rPr>
              <w:t>52 486</w:t>
            </w:r>
          </w:p>
        </w:tc>
        <w:tc>
          <w:tcPr>
            <w:tcW w:w="1722" w:type="dxa"/>
            <w:vAlign w:val="center"/>
          </w:tcPr>
          <w:p w14:paraId="774D86DE" w14:textId="12F640C0" w:rsidR="00CD7284" w:rsidRPr="00787AB7" w:rsidRDefault="00CD7284">
            <w:pPr>
              <w:jc w:val="right"/>
              <w:rPr>
                <w:rFonts w:ascii="Calibri" w:hAnsi="Calibri"/>
                <w:b/>
                <w:sz w:val="18"/>
                <w:szCs w:val="18"/>
              </w:rPr>
            </w:pPr>
            <w:r w:rsidRPr="00787AB7">
              <w:rPr>
                <w:rFonts w:ascii="Calibri" w:hAnsi="Calibri"/>
                <w:b/>
                <w:sz w:val="18"/>
                <w:szCs w:val="18"/>
              </w:rPr>
              <w:t>56 372</w:t>
            </w:r>
          </w:p>
        </w:tc>
        <w:tc>
          <w:tcPr>
            <w:tcW w:w="1701" w:type="dxa"/>
            <w:vAlign w:val="center"/>
          </w:tcPr>
          <w:p w14:paraId="743BF9D1" w14:textId="76BF28F9" w:rsidR="00CD7284" w:rsidRPr="00787AB7" w:rsidRDefault="00CD7284" w:rsidP="0076173F">
            <w:pPr>
              <w:jc w:val="right"/>
              <w:rPr>
                <w:rFonts w:ascii="Calibri" w:hAnsi="Calibri"/>
                <w:b/>
                <w:sz w:val="18"/>
                <w:szCs w:val="18"/>
              </w:rPr>
            </w:pPr>
            <w:r w:rsidRPr="00787AB7">
              <w:rPr>
                <w:rFonts w:ascii="Calibri" w:hAnsi="Calibri"/>
                <w:b/>
                <w:sz w:val="18"/>
                <w:szCs w:val="18"/>
              </w:rPr>
              <w:t>3 887</w:t>
            </w:r>
          </w:p>
        </w:tc>
      </w:tr>
    </w:tbl>
    <w:p w14:paraId="5D6BA3F1" w14:textId="77777777" w:rsidR="003609C4" w:rsidRPr="00787AB7" w:rsidRDefault="003609C4" w:rsidP="003609C4">
      <w:pPr>
        <w:jc w:val="both"/>
        <w:rPr>
          <w:rFonts w:asciiTheme="minorHAnsi" w:hAnsiTheme="minorHAnsi" w:cstheme="minorHAnsi"/>
        </w:rPr>
      </w:pPr>
    </w:p>
    <w:p w14:paraId="057D4C97" w14:textId="77777777" w:rsidR="003609C4" w:rsidRPr="00787AB7" w:rsidRDefault="009A1A77" w:rsidP="003609C4">
      <w:pPr>
        <w:pStyle w:val="Cmsor3"/>
        <w:tabs>
          <w:tab w:val="clear" w:pos="2007"/>
        </w:tabs>
        <w:ind w:left="0" w:firstLine="0"/>
        <w:rPr>
          <w:rFonts w:asciiTheme="minorHAnsi" w:hAnsiTheme="minorHAnsi" w:cstheme="minorHAnsi"/>
          <w:bCs w:val="0"/>
        </w:rPr>
      </w:pPr>
      <w:bookmarkStart w:id="58" w:name="_Toc443317913"/>
      <w:bookmarkStart w:id="59" w:name="_Toc465246386"/>
      <w:bookmarkStart w:id="60" w:name="_Toc512409628"/>
      <w:r w:rsidRPr="00787AB7">
        <w:rPr>
          <w:rFonts w:asciiTheme="minorHAnsi" w:hAnsiTheme="minorHAnsi" w:cstheme="minorHAnsi"/>
          <w:bCs w:val="0"/>
        </w:rPr>
        <w:t>- Energia</w:t>
      </w:r>
      <w:bookmarkEnd w:id="58"/>
      <w:bookmarkEnd w:id="59"/>
      <w:bookmarkEnd w:id="60"/>
    </w:p>
    <w:p w14:paraId="32EFEFE2" w14:textId="77777777" w:rsidR="003609C4" w:rsidRPr="00787AB7" w:rsidRDefault="003609C4" w:rsidP="003609C4">
      <w:pPr>
        <w:jc w:val="both"/>
        <w:rPr>
          <w:rFonts w:asciiTheme="minorHAnsi" w:hAnsiTheme="minorHAnsi" w:cstheme="minorHAnsi"/>
        </w:rPr>
      </w:pPr>
    </w:p>
    <w:p w14:paraId="39D27F54" w14:textId="452450C4" w:rsidR="007E156E" w:rsidRPr="00787AB7" w:rsidRDefault="009A1A77" w:rsidP="007E156E">
      <w:pPr>
        <w:jc w:val="both"/>
        <w:rPr>
          <w:rFonts w:asciiTheme="minorHAnsi" w:hAnsiTheme="minorHAnsi" w:cstheme="minorHAnsi"/>
        </w:rPr>
      </w:pPr>
      <w:r w:rsidRPr="00787AB7">
        <w:rPr>
          <w:rFonts w:asciiTheme="minorHAnsi" w:hAnsiTheme="minorHAnsi" w:cstheme="minorHAnsi"/>
        </w:rPr>
        <w:t xml:space="preserve">A 2018. évi </w:t>
      </w:r>
      <w:r w:rsidRPr="00787AB7">
        <w:rPr>
          <w:rFonts w:asciiTheme="minorHAnsi" w:hAnsiTheme="minorHAnsi" w:cstheme="minorHAnsi"/>
          <w:b/>
        </w:rPr>
        <w:t xml:space="preserve">üzemeltetési gázolaj </w:t>
      </w:r>
      <w:r w:rsidRPr="00787AB7">
        <w:rPr>
          <w:rFonts w:asciiTheme="minorHAnsi" w:hAnsiTheme="minorHAnsi" w:cstheme="minorHAnsi"/>
        </w:rPr>
        <w:t>költségek a Fővárosi Önkormányzat által meghatározott 254,19 Ft/literes egységár (nagykereskedelmi árhoz biztosított kedvezménnyel, valamint jövedéki adó visszatérítéssel csökkentett nettó ár) alkalmazásával kerültek tervezésre.</w:t>
      </w:r>
      <w:r w:rsidR="007E156E" w:rsidRPr="0056690E">
        <w:rPr>
          <w:rFonts w:asciiTheme="minorHAnsi" w:hAnsiTheme="minorHAnsi" w:cstheme="minorHAnsi"/>
          <w:color w:val="FF0000"/>
        </w:rPr>
        <w:br/>
      </w:r>
      <w:r w:rsidRPr="00787AB7">
        <w:rPr>
          <w:rFonts w:asciiTheme="minorHAnsi" w:hAnsiTheme="minorHAnsi" w:cstheme="minorHAnsi"/>
        </w:rPr>
        <w:t xml:space="preserve">A 2018. évi megrendelt forgalmi teljesítmény növekedés következtében a mennyiségi felhasználás közel 14%-kal emelkedik a tervek szerint. Az autóbusz ágazatnál 26 103 ezer liter gázolaj került felhasználásra a 2017. évben, míg a 2018. évben megrendelt </w:t>
      </w:r>
      <w:r w:rsidRPr="00787AB7">
        <w:rPr>
          <w:rFonts w:asciiTheme="minorHAnsi" w:hAnsiTheme="minorHAnsi" w:cstheme="minorHAnsi"/>
        </w:rPr>
        <w:lastRenderedPageBreak/>
        <w:t xml:space="preserve">teljesítmények alapján kalkulálva ez a mennyiség 29 874 ezer literre emelkedik. Az egységár tekintetében a 2017. évi átlagos érték 247,08 Ft/liter, azonban a 2018. évi Üzleti Terv már a fent említett 254,19 Ft/liter értékkel került tervezésre. </w:t>
      </w:r>
    </w:p>
    <w:p w14:paraId="5B6B8544" w14:textId="081489A9" w:rsidR="007E156E" w:rsidRPr="00787AB7" w:rsidRDefault="009A1A77" w:rsidP="007E156E">
      <w:pPr>
        <w:jc w:val="both"/>
        <w:rPr>
          <w:rFonts w:asciiTheme="minorHAnsi" w:hAnsiTheme="minorHAnsi" w:cstheme="minorHAnsi"/>
        </w:rPr>
      </w:pPr>
      <w:r w:rsidRPr="00787AB7">
        <w:rPr>
          <w:rFonts w:asciiTheme="minorHAnsi" w:hAnsiTheme="minorHAnsi" w:cstheme="minorHAnsi"/>
        </w:rPr>
        <w:t>Az M3 rekonstrukció autóbuszos pótlása következtében emelkedő mennyiségi felhasználás és az egységár növekedés alapján az üzemeltetési gázolaj költsége a 2018. évben összességében 1</w:t>
      </w:r>
      <w:r w:rsidR="00B41419">
        <w:rPr>
          <w:rFonts w:asciiTheme="minorHAnsi" w:hAnsiTheme="minorHAnsi" w:cstheme="minorHAnsi"/>
        </w:rPr>
        <w:t xml:space="preserve"> 144 </w:t>
      </w:r>
      <w:r w:rsidRPr="00787AB7">
        <w:rPr>
          <w:rFonts w:asciiTheme="minorHAnsi" w:hAnsiTheme="minorHAnsi" w:cstheme="minorHAnsi"/>
        </w:rPr>
        <w:t xml:space="preserve">millió Ft-tal emelkedik az előző évhez képest. </w:t>
      </w:r>
    </w:p>
    <w:p w14:paraId="46E4740B" w14:textId="77777777" w:rsidR="007E156E" w:rsidRPr="00787AB7" w:rsidRDefault="007E156E" w:rsidP="007E156E">
      <w:pPr>
        <w:jc w:val="both"/>
        <w:rPr>
          <w:rFonts w:asciiTheme="minorHAnsi" w:hAnsiTheme="minorHAnsi" w:cstheme="minorHAnsi"/>
        </w:rPr>
      </w:pPr>
    </w:p>
    <w:p w14:paraId="4544AAE1" w14:textId="77777777" w:rsidR="007E156E" w:rsidRDefault="009A1A77" w:rsidP="007E156E">
      <w:pPr>
        <w:jc w:val="both"/>
        <w:rPr>
          <w:rFonts w:asciiTheme="minorHAnsi" w:hAnsiTheme="minorHAnsi" w:cstheme="minorHAnsi"/>
        </w:rPr>
      </w:pPr>
      <w:r w:rsidRPr="00787AB7">
        <w:rPr>
          <w:rFonts w:asciiTheme="minorHAnsi" w:hAnsiTheme="minorHAnsi" w:cstheme="minorHAnsi"/>
        </w:rPr>
        <w:t>A gázolaj felhasználás költségének alakulását befolyásoló tényezőket – CNG hatás nélkül – az alábbi diagram szemlélteti (millió Ft-ban):</w:t>
      </w:r>
    </w:p>
    <w:p w14:paraId="765C4E41" w14:textId="77777777" w:rsidR="00B41419" w:rsidRDefault="00B41419" w:rsidP="007E156E">
      <w:pPr>
        <w:jc w:val="both"/>
        <w:rPr>
          <w:rFonts w:asciiTheme="minorHAnsi" w:hAnsiTheme="minorHAnsi" w:cstheme="minorHAnsi"/>
        </w:rPr>
      </w:pPr>
    </w:p>
    <w:p w14:paraId="4E330F9E" w14:textId="77777777" w:rsidR="004B752F" w:rsidRPr="00787AB7" w:rsidRDefault="00F5003A" w:rsidP="00787AB7">
      <w:pPr>
        <w:jc w:val="center"/>
        <w:rPr>
          <w:rFonts w:asciiTheme="minorHAnsi" w:hAnsiTheme="minorHAnsi" w:cstheme="minorHAnsi"/>
        </w:rPr>
      </w:pPr>
      <w:r w:rsidRPr="00787AB7">
        <w:rPr>
          <w:noProof/>
        </w:rPr>
        <w:drawing>
          <wp:inline distT="0" distB="0" distL="0" distR="0" wp14:anchorId="5F2FA982" wp14:editId="32F52FB2">
            <wp:extent cx="3744889" cy="2115403"/>
            <wp:effectExtent l="0" t="0" r="8255" b="18415"/>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7FC538" w14:textId="77777777" w:rsidR="006D59A9" w:rsidRPr="00787AB7" w:rsidRDefault="006D59A9" w:rsidP="001A6AFC">
      <w:pPr>
        <w:jc w:val="both"/>
        <w:rPr>
          <w:rFonts w:asciiTheme="minorHAnsi" w:hAnsiTheme="minorHAnsi" w:cstheme="minorHAnsi"/>
        </w:rPr>
      </w:pPr>
    </w:p>
    <w:p w14:paraId="0FBDC6DE" w14:textId="4ACC7732" w:rsidR="007E156E" w:rsidRPr="00787AB7" w:rsidRDefault="009A1A77" w:rsidP="007E156E">
      <w:pPr>
        <w:jc w:val="both"/>
        <w:rPr>
          <w:rFonts w:asciiTheme="minorHAnsi" w:hAnsiTheme="minorHAnsi" w:cstheme="minorHAnsi"/>
        </w:rPr>
      </w:pPr>
      <w:r w:rsidRPr="00787AB7">
        <w:rPr>
          <w:rFonts w:asciiTheme="minorHAnsi" w:hAnsiTheme="minorHAnsi" w:cstheme="minorHAnsi"/>
        </w:rPr>
        <w:t>A klíma-, illetve állófűtés-használat</w:t>
      </w:r>
      <w:r w:rsidR="00B302FD" w:rsidRPr="00B302FD">
        <w:rPr>
          <w:rFonts w:asciiTheme="minorHAnsi" w:hAnsiTheme="minorHAnsi" w:cstheme="minorHAnsi"/>
        </w:rPr>
        <w:t xml:space="preserve"> gázolaj felhasználást</w:t>
      </w:r>
      <w:r w:rsidRPr="00787AB7">
        <w:rPr>
          <w:rFonts w:asciiTheme="minorHAnsi" w:hAnsiTheme="minorHAnsi" w:cstheme="minorHAnsi"/>
        </w:rPr>
        <w:t xml:space="preserve"> növelő hatását tartalmazza a terv.</w:t>
      </w:r>
    </w:p>
    <w:p w14:paraId="7E82FE19" w14:textId="77777777" w:rsidR="007E156E" w:rsidRPr="00787AB7" w:rsidRDefault="007E156E" w:rsidP="007E156E">
      <w:pPr>
        <w:jc w:val="both"/>
        <w:rPr>
          <w:rFonts w:asciiTheme="minorHAnsi" w:hAnsiTheme="minorHAnsi" w:cstheme="minorHAnsi"/>
        </w:rPr>
      </w:pPr>
    </w:p>
    <w:p w14:paraId="5E4EBADA" w14:textId="77777777" w:rsidR="007E156E" w:rsidRPr="00787AB7" w:rsidRDefault="009A1A77" w:rsidP="007E156E">
      <w:pPr>
        <w:jc w:val="both"/>
        <w:rPr>
          <w:rFonts w:asciiTheme="minorHAnsi" w:hAnsiTheme="minorHAnsi" w:cstheme="minorHAnsi"/>
        </w:rPr>
      </w:pPr>
      <w:r w:rsidRPr="00787AB7">
        <w:rPr>
          <w:rFonts w:asciiTheme="minorHAnsi" w:hAnsiTheme="minorHAnsi" w:cstheme="minorHAnsi"/>
        </w:rPr>
        <w:t>A BKV Zrt. üzemeltetési gázolaj és CNG felhasználásának alakulását az alábbi táblázat szemlélteti:</w:t>
      </w:r>
    </w:p>
    <w:p w14:paraId="312C1B44" w14:textId="77777777" w:rsidR="007E156E" w:rsidRPr="00787AB7" w:rsidRDefault="007E156E" w:rsidP="0024712B">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1858"/>
        <w:gridCol w:w="1722"/>
        <w:gridCol w:w="1701"/>
      </w:tblGrid>
      <w:tr w:rsidR="0056690E" w:rsidRPr="0056690E" w14:paraId="49A44B18" w14:textId="77777777" w:rsidTr="00777A66">
        <w:trPr>
          <w:trHeight w:val="742"/>
          <w:jc w:val="center"/>
        </w:trPr>
        <w:tc>
          <w:tcPr>
            <w:tcW w:w="3449" w:type="dxa"/>
            <w:shd w:val="clear" w:color="auto" w:fill="2528A3"/>
            <w:vAlign w:val="center"/>
          </w:tcPr>
          <w:p w14:paraId="041EC7DD" w14:textId="77777777" w:rsidR="007E156E" w:rsidRPr="00787AB7" w:rsidRDefault="009A1A77" w:rsidP="00777A66">
            <w:pPr>
              <w:rPr>
                <w:rFonts w:ascii="Calibri" w:hAnsi="Calibri"/>
                <w:b/>
                <w:sz w:val="20"/>
                <w:szCs w:val="20"/>
              </w:rPr>
            </w:pPr>
            <w:r w:rsidRPr="00787AB7">
              <w:rPr>
                <w:rFonts w:ascii="Calibri" w:hAnsi="Calibri"/>
                <w:b/>
                <w:sz w:val="20"/>
                <w:szCs w:val="20"/>
              </w:rPr>
              <w:t>Megnevezés</w:t>
            </w:r>
          </w:p>
        </w:tc>
        <w:tc>
          <w:tcPr>
            <w:tcW w:w="1858" w:type="dxa"/>
            <w:shd w:val="clear" w:color="auto" w:fill="2528A3"/>
            <w:vAlign w:val="center"/>
          </w:tcPr>
          <w:p w14:paraId="2BE619B1" w14:textId="77777777" w:rsidR="007E156E" w:rsidRPr="00787AB7" w:rsidRDefault="009A1A77" w:rsidP="00777A66">
            <w:pPr>
              <w:jc w:val="center"/>
              <w:rPr>
                <w:rFonts w:ascii="Calibri" w:hAnsi="Calibri"/>
                <w:b/>
                <w:sz w:val="20"/>
                <w:szCs w:val="20"/>
              </w:rPr>
            </w:pPr>
            <w:r w:rsidRPr="00787AB7">
              <w:rPr>
                <w:rFonts w:ascii="Calibri" w:hAnsi="Calibri"/>
                <w:b/>
                <w:sz w:val="20"/>
                <w:szCs w:val="20"/>
              </w:rPr>
              <w:t>2016. évi tény</w:t>
            </w:r>
          </w:p>
        </w:tc>
        <w:tc>
          <w:tcPr>
            <w:tcW w:w="1722" w:type="dxa"/>
            <w:shd w:val="clear" w:color="auto" w:fill="2528A3"/>
            <w:vAlign w:val="center"/>
          </w:tcPr>
          <w:p w14:paraId="35745BD1" w14:textId="2FD7AA1F" w:rsidR="007E156E" w:rsidRPr="00787AB7" w:rsidRDefault="009A1A77" w:rsidP="00D92F23">
            <w:pPr>
              <w:jc w:val="center"/>
              <w:rPr>
                <w:rFonts w:ascii="Calibri" w:hAnsi="Calibri" w:cs="Calibri"/>
                <w:b/>
                <w:bCs/>
                <w:sz w:val="20"/>
                <w:szCs w:val="20"/>
              </w:rPr>
            </w:pPr>
            <w:r w:rsidRPr="00787AB7">
              <w:rPr>
                <w:rFonts w:ascii="Calibri" w:hAnsi="Calibri" w:cs="Calibri"/>
                <w:b/>
                <w:bCs/>
                <w:sz w:val="20"/>
                <w:szCs w:val="20"/>
              </w:rPr>
              <w:t>2017. évi</w:t>
            </w:r>
            <w:r w:rsidRPr="00787AB7">
              <w:rPr>
                <w:rFonts w:ascii="Calibri" w:hAnsi="Calibri" w:cs="Calibri"/>
                <w:b/>
                <w:bCs/>
                <w:sz w:val="20"/>
                <w:szCs w:val="20"/>
              </w:rPr>
              <w:br/>
              <w:t>tény</w:t>
            </w:r>
          </w:p>
        </w:tc>
        <w:tc>
          <w:tcPr>
            <w:tcW w:w="1701" w:type="dxa"/>
            <w:shd w:val="clear" w:color="auto" w:fill="2528A3"/>
            <w:vAlign w:val="center"/>
          </w:tcPr>
          <w:p w14:paraId="4BF32376" w14:textId="77777777" w:rsidR="007E156E" w:rsidRPr="00787AB7" w:rsidRDefault="009A1A77" w:rsidP="00777A66">
            <w:pPr>
              <w:jc w:val="center"/>
              <w:rPr>
                <w:rFonts w:ascii="Calibri" w:hAnsi="Calibri" w:cs="Calibri"/>
                <w:b/>
                <w:bCs/>
                <w:sz w:val="20"/>
                <w:szCs w:val="20"/>
              </w:rPr>
            </w:pPr>
            <w:r w:rsidRPr="00787AB7">
              <w:rPr>
                <w:rFonts w:ascii="Calibri" w:hAnsi="Calibri" w:cs="Calibri"/>
                <w:b/>
                <w:bCs/>
                <w:sz w:val="20"/>
                <w:szCs w:val="20"/>
              </w:rPr>
              <w:t>2018. évi</w:t>
            </w:r>
            <w:r w:rsidRPr="00787AB7">
              <w:rPr>
                <w:rFonts w:ascii="Calibri" w:hAnsi="Calibri" w:cs="Calibri"/>
                <w:b/>
                <w:bCs/>
                <w:sz w:val="20"/>
                <w:szCs w:val="20"/>
              </w:rPr>
              <w:br/>
              <w:t>Üzleti Terv</w:t>
            </w:r>
          </w:p>
        </w:tc>
      </w:tr>
      <w:tr w:rsidR="0056690E" w:rsidRPr="0056690E" w14:paraId="67F19559" w14:textId="77777777" w:rsidTr="00777A66">
        <w:trPr>
          <w:trHeight w:val="360"/>
          <w:jc w:val="center"/>
        </w:trPr>
        <w:tc>
          <w:tcPr>
            <w:tcW w:w="3449" w:type="dxa"/>
            <w:shd w:val="clear" w:color="auto" w:fill="auto"/>
            <w:vAlign w:val="center"/>
          </w:tcPr>
          <w:p w14:paraId="3EE1C0C5" w14:textId="77777777" w:rsidR="007E156E" w:rsidRPr="00787AB7" w:rsidRDefault="009A1A77" w:rsidP="00777A66">
            <w:pPr>
              <w:rPr>
                <w:rFonts w:asciiTheme="minorHAnsi" w:hAnsiTheme="minorHAnsi" w:cs="Arial"/>
                <w:sz w:val="18"/>
                <w:szCs w:val="18"/>
              </w:rPr>
            </w:pPr>
            <w:r w:rsidRPr="00787AB7">
              <w:rPr>
                <w:rFonts w:asciiTheme="minorHAnsi" w:hAnsiTheme="minorHAnsi" w:cs="Arial"/>
                <w:sz w:val="18"/>
                <w:szCs w:val="18"/>
              </w:rPr>
              <w:t>Felhasználás (ezer liter)</w:t>
            </w:r>
          </w:p>
        </w:tc>
        <w:tc>
          <w:tcPr>
            <w:tcW w:w="1858" w:type="dxa"/>
            <w:vAlign w:val="center"/>
          </w:tcPr>
          <w:p w14:paraId="75AD125D" w14:textId="77777777" w:rsidR="007E156E" w:rsidRPr="00787AB7" w:rsidRDefault="009A1A77" w:rsidP="00777A66">
            <w:pPr>
              <w:jc w:val="right"/>
              <w:rPr>
                <w:rFonts w:asciiTheme="minorHAnsi" w:hAnsiTheme="minorHAnsi"/>
                <w:sz w:val="18"/>
                <w:szCs w:val="18"/>
              </w:rPr>
            </w:pPr>
            <w:r w:rsidRPr="00787AB7">
              <w:rPr>
                <w:rFonts w:asciiTheme="minorHAnsi" w:hAnsiTheme="minorHAnsi"/>
                <w:sz w:val="18"/>
                <w:szCs w:val="18"/>
              </w:rPr>
              <w:t>25 767</w:t>
            </w:r>
          </w:p>
        </w:tc>
        <w:tc>
          <w:tcPr>
            <w:tcW w:w="1722" w:type="dxa"/>
            <w:vAlign w:val="center"/>
          </w:tcPr>
          <w:p w14:paraId="0BA680F6" w14:textId="7FA62287" w:rsidR="007E156E" w:rsidRPr="00787AB7" w:rsidRDefault="009A1A77" w:rsidP="00D92F23">
            <w:pPr>
              <w:jc w:val="right"/>
              <w:rPr>
                <w:rFonts w:asciiTheme="minorHAnsi" w:hAnsiTheme="minorHAnsi" w:cs="Calibri"/>
                <w:sz w:val="18"/>
                <w:szCs w:val="18"/>
              </w:rPr>
            </w:pPr>
            <w:r w:rsidRPr="00787AB7">
              <w:rPr>
                <w:rFonts w:asciiTheme="minorHAnsi" w:hAnsiTheme="minorHAnsi" w:cs="Calibri"/>
                <w:sz w:val="18"/>
                <w:szCs w:val="18"/>
              </w:rPr>
              <w:t>26 103</w:t>
            </w:r>
          </w:p>
        </w:tc>
        <w:tc>
          <w:tcPr>
            <w:tcW w:w="1701" w:type="dxa"/>
            <w:vAlign w:val="center"/>
          </w:tcPr>
          <w:p w14:paraId="0DAE048F" w14:textId="77777777" w:rsidR="007E156E" w:rsidRPr="00787AB7" w:rsidRDefault="009A1A77" w:rsidP="00777A66">
            <w:pPr>
              <w:jc w:val="right"/>
              <w:rPr>
                <w:rFonts w:asciiTheme="minorHAnsi" w:hAnsiTheme="minorHAnsi"/>
                <w:sz w:val="18"/>
                <w:szCs w:val="18"/>
              </w:rPr>
            </w:pPr>
            <w:r w:rsidRPr="00787AB7">
              <w:rPr>
                <w:rFonts w:asciiTheme="minorHAnsi" w:hAnsiTheme="minorHAnsi"/>
                <w:sz w:val="18"/>
                <w:szCs w:val="18"/>
              </w:rPr>
              <w:t>29 874</w:t>
            </w:r>
          </w:p>
        </w:tc>
      </w:tr>
      <w:tr w:rsidR="0056690E" w:rsidRPr="0056690E" w14:paraId="7671F3E0" w14:textId="77777777" w:rsidTr="00777A66">
        <w:trPr>
          <w:trHeight w:val="360"/>
          <w:jc w:val="center"/>
        </w:trPr>
        <w:tc>
          <w:tcPr>
            <w:tcW w:w="3449" w:type="dxa"/>
            <w:shd w:val="clear" w:color="auto" w:fill="auto"/>
            <w:vAlign w:val="center"/>
          </w:tcPr>
          <w:p w14:paraId="39FB6866" w14:textId="77777777" w:rsidR="007E156E" w:rsidRPr="00787AB7" w:rsidRDefault="009A1A77" w:rsidP="00777A66">
            <w:pPr>
              <w:rPr>
                <w:rFonts w:asciiTheme="minorHAnsi" w:hAnsiTheme="minorHAnsi" w:cs="Arial"/>
                <w:sz w:val="18"/>
                <w:szCs w:val="18"/>
              </w:rPr>
            </w:pPr>
            <w:r w:rsidRPr="00787AB7">
              <w:rPr>
                <w:rFonts w:asciiTheme="minorHAnsi" w:hAnsiTheme="minorHAnsi" w:cs="Arial"/>
                <w:sz w:val="18"/>
                <w:szCs w:val="18"/>
              </w:rPr>
              <w:t>Átlagos egységár (Ft/liter)</w:t>
            </w:r>
          </w:p>
        </w:tc>
        <w:tc>
          <w:tcPr>
            <w:tcW w:w="1858" w:type="dxa"/>
            <w:vAlign w:val="center"/>
          </w:tcPr>
          <w:p w14:paraId="7CE0EE90" w14:textId="77777777" w:rsidR="007E156E" w:rsidRPr="00787AB7" w:rsidRDefault="009A1A77" w:rsidP="00777A66">
            <w:pPr>
              <w:jc w:val="right"/>
              <w:rPr>
                <w:rFonts w:asciiTheme="minorHAnsi" w:hAnsiTheme="minorHAnsi"/>
                <w:sz w:val="18"/>
                <w:szCs w:val="18"/>
              </w:rPr>
            </w:pPr>
            <w:r w:rsidRPr="00787AB7">
              <w:rPr>
                <w:rFonts w:asciiTheme="minorHAnsi" w:hAnsiTheme="minorHAnsi"/>
                <w:sz w:val="18"/>
                <w:szCs w:val="18"/>
              </w:rPr>
              <w:t>230,83</w:t>
            </w:r>
          </w:p>
        </w:tc>
        <w:tc>
          <w:tcPr>
            <w:tcW w:w="1722" w:type="dxa"/>
            <w:vAlign w:val="center"/>
          </w:tcPr>
          <w:p w14:paraId="5C2CFE86" w14:textId="238788E2" w:rsidR="007E156E" w:rsidRPr="00787AB7" w:rsidRDefault="009A1A77" w:rsidP="00777A66">
            <w:pPr>
              <w:jc w:val="right"/>
              <w:rPr>
                <w:rFonts w:asciiTheme="minorHAnsi" w:hAnsiTheme="minorHAnsi" w:cs="Calibri"/>
                <w:sz w:val="18"/>
                <w:szCs w:val="18"/>
              </w:rPr>
            </w:pPr>
            <w:r w:rsidRPr="00787AB7">
              <w:rPr>
                <w:rFonts w:asciiTheme="minorHAnsi" w:hAnsiTheme="minorHAnsi" w:cs="Calibri"/>
                <w:sz w:val="18"/>
                <w:szCs w:val="18"/>
              </w:rPr>
              <w:t>247,08</w:t>
            </w:r>
          </w:p>
        </w:tc>
        <w:tc>
          <w:tcPr>
            <w:tcW w:w="1701" w:type="dxa"/>
            <w:vAlign w:val="center"/>
          </w:tcPr>
          <w:p w14:paraId="452D5064" w14:textId="77777777" w:rsidR="007E156E" w:rsidRPr="00787AB7" w:rsidRDefault="009A1A77" w:rsidP="00777A66">
            <w:pPr>
              <w:jc w:val="right"/>
              <w:rPr>
                <w:rFonts w:asciiTheme="minorHAnsi" w:hAnsiTheme="minorHAnsi"/>
                <w:sz w:val="18"/>
                <w:szCs w:val="18"/>
              </w:rPr>
            </w:pPr>
            <w:r w:rsidRPr="00787AB7">
              <w:rPr>
                <w:rFonts w:asciiTheme="minorHAnsi" w:hAnsiTheme="minorHAnsi"/>
                <w:sz w:val="18"/>
                <w:szCs w:val="18"/>
              </w:rPr>
              <w:t>254,19</w:t>
            </w:r>
          </w:p>
        </w:tc>
      </w:tr>
      <w:tr w:rsidR="0056690E" w:rsidRPr="0056690E" w14:paraId="4A75C2E5" w14:textId="77777777" w:rsidTr="00777A66">
        <w:trPr>
          <w:trHeight w:val="360"/>
          <w:jc w:val="center"/>
        </w:trPr>
        <w:tc>
          <w:tcPr>
            <w:tcW w:w="3449" w:type="dxa"/>
            <w:shd w:val="clear" w:color="auto" w:fill="auto"/>
            <w:vAlign w:val="center"/>
          </w:tcPr>
          <w:p w14:paraId="0CA5D9A1" w14:textId="77777777" w:rsidR="007E156E" w:rsidRPr="00787AB7" w:rsidRDefault="009A1A77" w:rsidP="00777A66">
            <w:pPr>
              <w:rPr>
                <w:rFonts w:asciiTheme="minorHAnsi" w:hAnsiTheme="minorHAnsi" w:cs="Arial"/>
                <w:b/>
                <w:sz w:val="18"/>
                <w:szCs w:val="18"/>
              </w:rPr>
            </w:pPr>
            <w:r w:rsidRPr="00787AB7">
              <w:rPr>
                <w:rFonts w:asciiTheme="minorHAnsi" w:hAnsiTheme="minorHAnsi" w:cs="Arial"/>
                <w:b/>
                <w:sz w:val="18"/>
                <w:szCs w:val="18"/>
              </w:rPr>
              <w:t>Üzemeltetési gázolaj (mFt)</w:t>
            </w:r>
          </w:p>
        </w:tc>
        <w:tc>
          <w:tcPr>
            <w:tcW w:w="1858" w:type="dxa"/>
            <w:vAlign w:val="center"/>
          </w:tcPr>
          <w:p w14:paraId="519AB5B3" w14:textId="77777777" w:rsidR="007E156E" w:rsidRPr="00787AB7" w:rsidRDefault="009A1A77" w:rsidP="00777A66">
            <w:pPr>
              <w:jc w:val="right"/>
              <w:rPr>
                <w:rFonts w:asciiTheme="minorHAnsi" w:hAnsiTheme="minorHAnsi"/>
                <w:b/>
                <w:sz w:val="18"/>
                <w:szCs w:val="18"/>
              </w:rPr>
            </w:pPr>
            <w:r w:rsidRPr="00787AB7">
              <w:rPr>
                <w:rFonts w:asciiTheme="minorHAnsi" w:hAnsiTheme="minorHAnsi"/>
                <w:b/>
                <w:sz w:val="18"/>
                <w:szCs w:val="18"/>
              </w:rPr>
              <w:t>5 948</w:t>
            </w:r>
          </w:p>
        </w:tc>
        <w:tc>
          <w:tcPr>
            <w:tcW w:w="1722" w:type="dxa"/>
            <w:vAlign w:val="center"/>
          </w:tcPr>
          <w:p w14:paraId="3739876B" w14:textId="219B18E6" w:rsidR="007E156E" w:rsidRPr="0056690E" w:rsidRDefault="009A1A77" w:rsidP="00D92F23">
            <w:pPr>
              <w:jc w:val="right"/>
              <w:rPr>
                <w:rFonts w:asciiTheme="minorHAnsi" w:hAnsiTheme="minorHAnsi" w:cs="Calibri"/>
                <w:b/>
                <w:color w:val="FF0000"/>
                <w:sz w:val="18"/>
                <w:szCs w:val="18"/>
              </w:rPr>
            </w:pPr>
            <w:r w:rsidRPr="00787AB7">
              <w:rPr>
                <w:rFonts w:asciiTheme="minorHAnsi" w:hAnsiTheme="minorHAnsi" w:cs="Calibri"/>
                <w:b/>
                <w:sz w:val="18"/>
                <w:szCs w:val="18"/>
              </w:rPr>
              <w:t>6 450</w:t>
            </w:r>
          </w:p>
        </w:tc>
        <w:tc>
          <w:tcPr>
            <w:tcW w:w="1701" w:type="dxa"/>
            <w:vAlign w:val="center"/>
          </w:tcPr>
          <w:p w14:paraId="350CE339" w14:textId="77777777" w:rsidR="007E156E" w:rsidRPr="00787AB7" w:rsidRDefault="009A1A77" w:rsidP="00777A66">
            <w:pPr>
              <w:jc w:val="right"/>
              <w:rPr>
                <w:rFonts w:asciiTheme="minorHAnsi" w:hAnsiTheme="minorHAnsi"/>
                <w:b/>
                <w:sz w:val="18"/>
                <w:szCs w:val="18"/>
              </w:rPr>
            </w:pPr>
            <w:r w:rsidRPr="00787AB7">
              <w:rPr>
                <w:rFonts w:asciiTheme="minorHAnsi" w:hAnsiTheme="minorHAnsi"/>
                <w:b/>
                <w:sz w:val="18"/>
                <w:szCs w:val="18"/>
              </w:rPr>
              <w:t>7 594</w:t>
            </w:r>
          </w:p>
        </w:tc>
      </w:tr>
      <w:tr w:rsidR="0056690E" w:rsidRPr="0056690E" w14:paraId="136F0966" w14:textId="77777777" w:rsidTr="00777A66">
        <w:trPr>
          <w:trHeight w:val="360"/>
          <w:jc w:val="center"/>
        </w:trPr>
        <w:tc>
          <w:tcPr>
            <w:tcW w:w="3449" w:type="dxa"/>
            <w:shd w:val="clear" w:color="auto" w:fill="auto"/>
            <w:vAlign w:val="center"/>
          </w:tcPr>
          <w:p w14:paraId="22C2A615" w14:textId="77777777" w:rsidR="007E156E" w:rsidRPr="00787AB7" w:rsidRDefault="009A1A77" w:rsidP="00777A66">
            <w:pPr>
              <w:rPr>
                <w:rFonts w:asciiTheme="minorHAnsi" w:hAnsiTheme="minorHAnsi" w:cs="Arial"/>
                <w:sz w:val="18"/>
                <w:szCs w:val="18"/>
              </w:rPr>
            </w:pPr>
            <w:r w:rsidRPr="00787AB7">
              <w:rPr>
                <w:rFonts w:asciiTheme="minorHAnsi" w:hAnsiTheme="minorHAnsi" w:cs="Arial"/>
                <w:sz w:val="18"/>
                <w:szCs w:val="18"/>
              </w:rPr>
              <w:t>Felhasználás (ezer kg)</w:t>
            </w:r>
          </w:p>
        </w:tc>
        <w:tc>
          <w:tcPr>
            <w:tcW w:w="1858" w:type="dxa"/>
            <w:vAlign w:val="center"/>
          </w:tcPr>
          <w:p w14:paraId="206A33C5" w14:textId="77777777" w:rsidR="007E156E" w:rsidRPr="00787AB7" w:rsidRDefault="009A1A77" w:rsidP="00777A66">
            <w:pPr>
              <w:jc w:val="right"/>
              <w:rPr>
                <w:rFonts w:asciiTheme="minorHAnsi" w:hAnsiTheme="minorHAnsi"/>
                <w:sz w:val="18"/>
                <w:szCs w:val="18"/>
              </w:rPr>
            </w:pPr>
            <w:r w:rsidRPr="00787AB7">
              <w:rPr>
                <w:rFonts w:asciiTheme="minorHAnsi" w:hAnsiTheme="minorHAnsi"/>
                <w:sz w:val="18"/>
                <w:szCs w:val="18"/>
              </w:rPr>
              <w:t>2 583</w:t>
            </w:r>
          </w:p>
        </w:tc>
        <w:tc>
          <w:tcPr>
            <w:tcW w:w="1722" w:type="dxa"/>
            <w:vAlign w:val="center"/>
          </w:tcPr>
          <w:p w14:paraId="2550D2A0" w14:textId="5616FE61" w:rsidR="007E156E" w:rsidRPr="00787AB7" w:rsidRDefault="009A1A77" w:rsidP="00777A66">
            <w:pPr>
              <w:jc w:val="right"/>
              <w:rPr>
                <w:rFonts w:asciiTheme="minorHAnsi" w:hAnsiTheme="minorHAnsi" w:cs="Calibri"/>
                <w:sz w:val="18"/>
                <w:szCs w:val="18"/>
              </w:rPr>
            </w:pPr>
            <w:r w:rsidRPr="00787AB7">
              <w:rPr>
                <w:rFonts w:asciiTheme="minorHAnsi" w:hAnsiTheme="minorHAnsi" w:cs="Calibri"/>
                <w:sz w:val="18"/>
                <w:szCs w:val="18"/>
              </w:rPr>
              <w:t>2 517</w:t>
            </w:r>
          </w:p>
        </w:tc>
        <w:tc>
          <w:tcPr>
            <w:tcW w:w="1701" w:type="dxa"/>
            <w:vAlign w:val="center"/>
          </w:tcPr>
          <w:p w14:paraId="28AD1799" w14:textId="77777777" w:rsidR="007E156E" w:rsidRPr="00787AB7" w:rsidRDefault="009A1A77" w:rsidP="00777A66">
            <w:pPr>
              <w:jc w:val="right"/>
              <w:rPr>
                <w:rFonts w:asciiTheme="minorHAnsi" w:hAnsiTheme="minorHAnsi"/>
                <w:sz w:val="18"/>
                <w:szCs w:val="18"/>
              </w:rPr>
            </w:pPr>
            <w:r w:rsidRPr="00787AB7">
              <w:rPr>
                <w:rFonts w:asciiTheme="minorHAnsi" w:hAnsiTheme="minorHAnsi"/>
                <w:sz w:val="18"/>
                <w:szCs w:val="18"/>
              </w:rPr>
              <w:t>2 144</w:t>
            </w:r>
          </w:p>
        </w:tc>
      </w:tr>
      <w:tr w:rsidR="0056690E" w:rsidRPr="0056690E" w14:paraId="5482D83D" w14:textId="77777777" w:rsidTr="00777A66">
        <w:trPr>
          <w:trHeight w:val="360"/>
          <w:jc w:val="center"/>
        </w:trPr>
        <w:tc>
          <w:tcPr>
            <w:tcW w:w="3449" w:type="dxa"/>
            <w:shd w:val="clear" w:color="auto" w:fill="auto"/>
            <w:vAlign w:val="center"/>
          </w:tcPr>
          <w:p w14:paraId="25C8461A" w14:textId="77777777" w:rsidR="007E156E" w:rsidRPr="00787AB7" w:rsidRDefault="009A1A77" w:rsidP="00777A66">
            <w:pPr>
              <w:rPr>
                <w:rFonts w:asciiTheme="minorHAnsi" w:hAnsiTheme="minorHAnsi" w:cs="Arial"/>
                <w:sz w:val="18"/>
                <w:szCs w:val="18"/>
              </w:rPr>
            </w:pPr>
            <w:r w:rsidRPr="00787AB7">
              <w:rPr>
                <w:rFonts w:asciiTheme="minorHAnsi" w:hAnsiTheme="minorHAnsi" w:cs="Arial"/>
                <w:sz w:val="18"/>
                <w:szCs w:val="18"/>
              </w:rPr>
              <w:t>Egységár (Ft/kg)</w:t>
            </w:r>
          </w:p>
        </w:tc>
        <w:tc>
          <w:tcPr>
            <w:tcW w:w="1858" w:type="dxa"/>
            <w:vAlign w:val="center"/>
          </w:tcPr>
          <w:p w14:paraId="0F362831" w14:textId="77777777" w:rsidR="007E156E" w:rsidRPr="00787AB7" w:rsidRDefault="009A1A77" w:rsidP="00777A66">
            <w:pPr>
              <w:jc w:val="right"/>
              <w:rPr>
                <w:rFonts w:asciiTheme="minorHAnsi" w:hAnsiTheme="minorHAnsi"/>
                <w:sz w:val="18"/>
                <w:szCs w:val="18"/>
              </w:rPr>
            </w:pPr>
            <w:r w:rsidRPr="00787AB7">
              <w:rPr>
                <w:rFonts w:asciiTheme="minorHAnsi" w:hAnsiTheme="minorHAnsi"/>
                <w:sz w:val="18"/>
                <w:szCs w:val="18"/>
              </w:rPr>
              <w:t>220,31</w:t>
            </w:r>
          </w:p>
        </w:tc>
        <w:tc>
          <w:tcPr>
            <w:tcW w:w="1722" w:type="dxa"/>
            <w:vAlign w:val="center"/>
          </w:tcPr>
          <w:p w14:paraId="2BB0A3FD" w14:textId="4B29AC60" w:rsidR="00A440EA" w:rsidRPr="00787AB7" w:rsidRDefault="009A1A77" w:rsidP="00A440EA">
            <w:pPr>
              <w:jc w:val="right"/>
              <w:rPr>
                <w:rFonts w:asciiTheme="minorHAnsi" w:hAnsiTheme="minorHAnsi" w:cs="Calibri"/>
                <w:sz w:val="18"/>
                <w:szCs w:val="18"/>
              </w:rPr>
            </w:pPr>
            <w:r w:rsidRPr="00787AB7">
              <w:rPr>
                <w:rFonts w:asciiTheme="minorHAnsi" w:hAnsiTheme="minorHAnsi" w:cs="Calibri"/>
                <w:sz w:val="18"/>
                <w:szCs w:val="18"/>
              </w:rPr>
              <w:t>158,93</w:t>
            </w:r>
            <w:r w:rsidR="00EB7BD8">
              <w:rPr>
                <w:rFonts w:asciiTheme="minorHAnsi" w:hAnsiTheme="minorHAnsi" w:cs="Calibri"/>
                <w:sz w:val="18"/>
                <w:szCs w:val="18"/>
              </w:rPr>
              <w:t>*</w:t>
            </w:r>
          </w:p>
        </w:tc>
        <w:tc>
          <w:tcPr>
            <w:tcW w:w="1701" w:type="dxa"/>
            <w:vAlign w:val="center"/>
          </w:tcPr>
          <w:p w14:paraId="328FDFA0" w14:textId="77777777" w:rsidR="007E156E" w:rsidRPr="00787AB7" w:rsidRDefault="009A1A77" w:rsidP="00777A66">
            <w:pPr>
              <w:jc w:val="right"/>
              <w:rPr>
                <w:rFonts w:asciiTheme="minorHAnsi" w:hAnsiTheme="minorHAnsi"/>
                <w:sz w:val="18"/>
                <w:szCs w:val="18"/>
              </w:rPr>
            </w:pPr>
            <w:r w:rsidRPr="00787AB7">
              <w:rPr>
                <w:rFonts w:asciiTheme="minorHAnsi" w:hAnsiTheme="minorHAnsi"/>
                <w:sz w:val="18"/>
                <w:szCs w:val="18"/>
              </w:rPr>
              <w:t>195,92</w:t>
            </w:r>
          </w:p>
        </w:tc>
      </w:tr>
      <w:tr w:rsidR="0056690E" w:rsidRPr="0056690E" w14:paraId="5206CD15" w14:textId="77777777" w:rsidTr="00777A66">
        <w:trPr>
          <w:trHeight w:val="360"/>
          <w:jc w:val="center"/>
        </w:trPr>
        <w:tc>
          <w:tcPr>
            <w:tcW w:w="3449" w:type="dxa"/>
            <w:shd w:val="clear" w:color="auto" w:fill="auto"/>
            <w:vAlign w:val="center"/>
          </w:tcPr>
          <w:p w14:paraId="3AAE7134" w14:textId="77777777" w:rsidR="007E156E" w:rsidRPr="00787AB7" w:rsidRDefault="009A1A77" w:rsidP="00777A66">
            <w:pPr>
              <w:rPr>
                <w:rFonts w:asciiTheme="minorHAnsi" w:hAnsiTheme="minorHAnsi" w:cs="Arial"/>
                <w:b/>
                <w:sz w:val="18"/>
                <w:szCs w:val="18"/>
              </w:rPr>
            </w:pPr>
            <w:r w:rsidRPr="00787AB7">
              <w:rPr>
                <w:rFonts w:asciiTheme="minorHAnsi" w:hAnsiTheme="minorHAnsi" w:cs="Arial"/>
                <w:b/>
                <w:sz w:val="18"/>
                <w:szCs w:val="18"/>
              </w:rPr>
              <w:t>CNG gáz (mFt)</w:t>
            </w:r>
          </w:p>
        </w:tc>
        <w:tc>
          <w:tcPr>
            <w:tcW w:w="1858" w:type="dxa"/>
            <w:vAlign w:val="center"/>
          </w:tcPr>
          <w:p w14:paraId="5139B7F3" w14:textId="77777777" w:rsidR="007E156E" w:rsidRPr="00787AB7" w:rsidRDefault="009A1A77" w:rsidP="00777A66">
            <w:pPr>
              <w:jc w:val="right"/>
              <w:rPr>
                <w:rFonts w:asciiTheme="minorHAnsi" w:hAnsiTheme="minorHAnsi"/>
                <w:b/>
                <w:sz w:val="18"/>
                <w:szCs w:val="18"/>
              </w:rPr>
            </w:pPr>
            <w:r w:rsidRPr="00787AB7">
              <w:rPr>
                <w:rFonts w:asciiTheme="minorHAnsi" w:hAnsiTheme="minorHAnsi"/>
                <w:b/>
                <w:sz w:val="18"/>
                <w:szCs w:val="18"/>
              </w:rPr>
              <w:t>569</w:t>
            </w:r>
          </w:p>
        </w:tc>
        <w:tc>
          <w:tcPr>
            <w:tcW w:w="1722" w:type="dxa"/>
            <w:vAlign w:val="center"/>
          </w:tcPr>
          <w:p w14:paraId="2E52B9DF" w14:textId="18C6B040" w:rsidR="007E156E" w:rsidRPr="00787AB7" w:rsidRDefault="009A1A77" w:rsidP="00777A66">
            <w:pPr>
              <w:jc w:val="right"/>
              <w:rPr>
                <w:rFonts w:asciiTheme="minorHAnsi" w:hAnsiTheme="minorHAnsi" w:cs="Calibri"/>
                <w:b/>
                <w:sz w:val="18"/>
                <w:szCs w:val="18"/>
              </w:rPr>
            </w:pPr>
            <w:r w:rsidRPr="00787AB7">
              <w:rPr>
                <w:rFonts w:asciiTheme="minorHAnsi" w:hAnsiTheme="minorHAnsi" w:cs="Calibri"/>
                <w:b/>
                <w:sz w:val="18"/>
                <w:szCs w:val="18"/>
              </w:rPr>
              <w:t>400</w:t>
            </w:r>
          </w:p>
        </w:tc>
        <w:tc>
          <w:tcPr>
            <w:tcW w:w="1701" w:type="dxa"/>
            <w:vAlign w:val="center"/>
          </w:tcPr>
          <w:p w14:paraId="36B17CA0" w14:textId="77777777" w:rsidR="007E156E" w:rsidRPr="00787AB7" w:rsidRDefault="009A1A77" w:rsidP="00777A66">
            <w:pPr>
              <w:jc w:val="right"/>
              <w:rPr>
                <w:rFonts w:asciiTheme="minorHAnsi" w:hAnsiTheme="minorHAnsi"/>
                <w:b/>
                <w:sz w:val="18"/>
                <w:szCs w:val="18"/>
              </w:rPr>
            </w:pPr>
            <w:r w:rsidRPr="00787AB7">
              <w:rPr>
                <w:rFonts w:asciiTheme="minorHAnsi" w:hAnsiTheme="minorHAnsi"/>
                <w:b/>
                <w:sz w:val="18"/>
                <w:szCs w:val="18"/>
              </w:rPr>
              <w:t>420</w:t>
            </w:r>
          </w:p>
        </w:tc>
      </w:tr>
      <w:tr w:rsidR="0056690E" w:rsidRPr="0056690E" w14:paraId="066AD441" w14:textId="77777777" w:rsidTr="00777A66">
        <w:trPr>
          <w:trHeight w:val="360"/>
          <w:jc w:val="center"/>
        </w:trPr>
        <w:tc>
          <w:tcPr>
            <w:tcW w:w="3449" w:type="dxa"/>
            <w:shd w:val="clear" w:color="auto" w:fill="auto"/>
            <w:vAlign w:val="center"/>
          </w:tcPr>
          <w:p w14:paraId="69F678FD" w14:textId="2CD0ED7E" w:rsidR="007E156E" w:rsidRPr="00787AB7" w:rsidRDefault="009A1A77" w:rsidP="00777A66">
            <w:pPr>
              <w:rPr>
                <w:rFonts w:asciiTheme="minorHAnsi" w:hAnsiTheme="minorHAnsi" w:cs="Arial"/>
                <w:b/>
                <w:sz w:val="18"/>
                <w:szCs w:val="18"/>
              </w:rPr>
            </w:pPr>
            <w:r w:rsidRPr="00787AB7">
              <w:rPr>
                <w:rFonts w:asciiTheme="minorHAnsi" w:hAnsiTheme="minorHAnsi" w:cs="Arial"/>
                <w:b/>
                <w:sz w:val="18"/>
                <w:szCs w:val="18"/>
              </w:rPr>
              <w:t xml:space="preserve">Üzemeltetési </w:t>
            </w:r>
            <w:r w:rsidR="00EE7982">
              <w:rPr>
                <w:rFonts w:asciiTheme="minorHAnsi" w:hAnsiTheme="minorHAnsi" w:cs="Arial"/>
                <w:b/>
                <w:sz w:val="18"/>
                <w:szCs w:val="18"/>
              </w:rPr>
              <w:t xml:space="preserve">gáz és </w:t>
            </w:r>
            <w:r w:rsidRPr="00787AB7">
              <w:rPr>
                <w:rFonts w:asciiTheme="minorHAnsi" w:hAnsiTheme="minorHAnsi" w:cs="Arial"/>
                <w:b/>
                <w:sz w:val="18"/>
                <w:szCs w:val="18"/>
              </w:rPr>
              <w:t>gázolaj összesen</w:t>
            </w:r>
          </w:p>
        </w:tc>
        <w:tc>
          <w:tcPr>
            <w:tcW w:w="1858" w:type="dxa"/>
            <w:vAlign w:val="center"/>
          </w:tcPr>
          <w:p w14:paraId="2F8C845D" w14:textId="77777777" w:rsidR="007E156E" w:rsidRPr="00787AB7" w:rsidRDefault="009A1A77" w:rsidP="00777A66">
            <w:pPr>
              <w:jc w:val="right"/>
              <w:rPr>
                <w:rFonts w:asciiTheme="minorHAnsi" w:hAnsiTheme="minorHAnsi"/>
                <w:b/>
                <w:sz w:val="18"/>
                <w:szCs w:val="18"/>
              </w:rPr>
            </w:pPr>
            <w:r w:rsidRPr="00787AB7">
              <w:rPr>
                <w:rFonts w:asciiTheme="minorHAnsi" w:hAnsiTheme="minorHAnsi"/>
                <w:b/>
                <w:sz w:val="18"/>
                <w:szCs w:val="18"/>
              </w:rPr>
              <w:t>6 517</w:t>
            </w:r>
          </w:p>
        </w:tc>
        <w:tc>
          <w:tcPr>
            <w:tcW w:w="1722" w:type="dxa"/>
            <w:vAlign w:val="center"/>
          </w:tcPr>
          <w:p w14:paraId="3CBEA054" w14:textId="196444C5" w:rsidR="007E156E" w:rsidRPr="00787AB7" w:rsidRDefault="009A1A77" w:rsidP="00D92F23">
            <w:pPr>
              <w:jc w:val="right"/>
              <w:rPr>
                <w:rFonts w:asciiTheme="minorHAnsi" w:hAnsiTheme="minorHAnsi" w:cs="Calibri"/>
                <w:b/>
                <w:sz w:val="18"/>
                <w:szCs w:val="18"/>
              </w:rPr>
            </w:pPr>
            <w:r w:rsidRPr="00787AB7">
              <w:rPr>
                <w:rFonts w:asciiTheme="minorHAnsi" w:hAnsiTheme="minorHAnsi" w:cs="Calibri"/>
                <w:b/>
                <w:sz w:val="18"/>
                <w:szCs w:val="18"/>
              </w:rPr>
              <w:t>6 850</w:t>
            </w:r>
          </w:p>
        </w:tc>
        <w:tc>
          <w:tcPr>
            <w:tcW w:w="1701" w:type="dxa"/>
            <w:vAlign w:val="center"/>
          </w:tcPr>
          <w:p w14:paraId="7819875C" w14:textId="77777777" w:rsidR="007E156E" w:rsidRPr="00787AB7" w:rsidRDefault="009A1A77" w:rsidP="00777A66">
            <w:pPr>
              <w:jc w:val="right"/>
              <w:rPr>
                <w:rFonts w:asciiTheme="minorHAnsi" w:hAnsiTheme="minorHAnsi"/>
                <w:b/>
                <w:sz w:val="18"/>
                <w:szCs w:val="18"/>
              </w:rPr>
            </w:pPr>
            <w:r w:rsidRPr="00787AB7">
              <w:rPr>
                <w:rFonts w:asciiTheme="minorHAnsi" w:hAnsiTheme="minorHAnsi"/>
                <w:b/>
                <w:sz w:val="18"/>
                <w:szCs w:val="18"/>
              </w:rPr>
              <w:t>8 014</w:t>
            </w:r>
          </w:p>
        </w:tc>
      </w:tr>
    </w:tbl>
    <w:p w14:paraId="4B5D7098" w14:textId="43ED6C3B" w:rsidR="007E156E" w:rsidRPr="00787AB7" w:rsidRDefault="00EB7BD8" w:rsidP="00EB7BD8">
      <w:pPr>
        <w:jc w:val="both"/>
        <w:rPr>
          <w:rFonts w:asciiTheme="minorHAnsi" w:hAnsiTheme="minorHAnsi" w:cstheme="minorHAnsi"/>
          <w:i/>
          <w:sz w:val="20"/>
        </w:rPr>
      </w:pPr>
      <w:r w:rsidRPr="00787AB7">
        <w:rPr>
          <w:rFonts w:asciiTheme="minorHAnsi" w:hAnsiTheme="minorHAnsi" w:cstheme="minorHAnsi"/>
          <w:i/>
          <w:sz w:val="20"/>
        </w:rPr>
        <w:t xml:space="preserve">    *: tényleges könyvelések alapján, mely </w:t>
      </w:r>
      <w:r>
        <w:rPr>
          <w:rFonts w:asciiTheme="minorHAnsi" w:hAnsiTheme="minorHAnsi" w:cstheme="minorHAnsi"/>
          <w:i/>
          <w:sz w:val="20"/>
        </w:rPr>
        <w:t xml:space="preserve">a </w:t>
      </w:r>
      <w:r w:rsidRPr="00787AB7">
        <w:rPr>
          <w:rFonts w:asciiTheme="minorHAnsi" w:hAnsiTheme="minorHAnsi" w:cstheme="minorHAnsi"/>
          <w:i/>
          <w:sz w:val="20"/>
        </w:rPr>
        <w:t>számviteli</w:t>
      </w:r>
      <w:r w:rsidRPr="00EB7BD8">
        <w:rPr>
          <w:rFonts w:asciiTheme="minorHAnsi" w:hAnsiTheme="minorHAnsi" w:cstheme="minorHAnsi"/>
          <w:i/>
          <w:sz w:val="20"/>
        </w:rPr>
        <w:t xml:space="preserve"> elhatárolások visszavezetését</w:t>
      </w:r>
      <w:r w:rsidRPr="00787AB7">
        <w:rPr>
          <w:rFonts w:asciiTheme="minorHAnsi" w:hAnsiTheme="minorHAnsi" w:cstheme="minorHAnsi"/>
          <w:i/>
          <w:sz w:val="20"/>
        </w:rPr>
        <w:t xml:space="preserve"> tartalmaz</w:t>
      </w:r>
      <w:r>
        <w:rPr>
          <w:rFonts w:asciiTheme="minorHAnsi" w:hAnsiTheme="minorHAnsi" w:cstheme="minorHAnsi"/>
          <w:i/>
          <w:sz w:val="20"/>
        </w:rPr>
        <w:t>za</w:t>
      </w:r>
    </w:p>
    <w:p w14:paraId="6545210F" w14:textId="77777777" w:rsidR="007A0BFA" w:rsidRDefault="007A0BFA" w:rsidP="007A0BFA">
      <w:pPr>
        <w:jc w:val="both"/>
        <w:rPr>
          <w:rFonts w:asciiTheme="minorHAnsi" w:hAnsiTheme="minorHAnsi" w:cstheme="minorHAnsi"/>
        </w:rPr>
      </w:pPr>
    </w:p>
    <w:p w14:paraId="110A85F8" w14:textId="77777777" w:rsidR="007A0BFA" w:rsidRPr="007A0BFA" w:rsidRDefault="007A0BFA" w:rsidP="007A0BFA">
      <w:pPr>
        <w:jc w:val="both"/>
        <w:rPr>
          <w:rFonts w:asciiTheme="minorHAnsi" w:hAnsiTheme="minorHAnsi" w:cstheme="minorHAnsi"/>
        </w:rPr>
      </w:pPr>
      <w:r w:rsidRPr="007A0BFA">
        <w:rPr>
          <w:rFonts w:asciiTheme="minorHAnsi" w:hAnsiTheme="minorHAnsi" w:cstheme="minorHAnsi"/>
        </w:rPr>
        <w:t xml:space="preserve">A </w:t>
      </w:r>
      <w:r w:rsidRPr="007A0BFA">
        <w:rPr>
          <w:rFonts w:asciiTheme="minorHAnsi" w:hAnsiTheme="minorHAnsi" w:cstheme="minorHAnsi"/>
          <w:b/>
        </w:rPr>
        <w:t>CNG</w:t>
      </w:r>
      <w:r w:rsidRPr="007A0BFA">
        <w:rPr>
          <w:rFonts w:asciiTheme="minorHAnsi" w:hAnsiTheme="minorHAnsi" w:cstheme="minorHAnsi"/>
        </w:rPr>
        <w:t xml:space="preserve"> üzemű autóbuszok 2018-ra tervezett üzemeltetési gáz költségei – a 2017. évi tényleges (elhatárolások nélküli) beszerzési árak alapján – 195,92 Ft/kg egységárral kerültek figyelembevételre. A tervezett mennyiség 4,8%-kal marad el a 2017. évi mennyiségi szinttől; míg a felhasználás 2017-ben 2 517 ezer kg volt, addig a 2018. évi Üzleti Terv 2 144 ezer kg-mal számol. </w:t>
      </w:r>
    </w:p>
    <w:p w14:paraId="5BC23F0D" w14:textId="77777777" w:rsidR="007A0BFA" w:rsidRPr="007A0BFA" w:rsidRDefault="007A0BFA" w:rsidP="007A0BFA">
      <w:pPr>
        <w:jc w:val="both"/>
        <w:rPr>
          <w:rFonts w:asciiTheme="minorHAnsi" w:hAnsiTheme="minorHAnsi" w:cstheme="minorHAnsi"/>
        </w:rPr>
      </w:pPr>
    </w:p>
    <w:p w14:paraId="5AB54CC9" w14:textId="65E215F9" w:rsidR="007E156E" w:rsidRDefault="009A1A77" w:rsidP="007E156E">
      <w:pPr>
        <w:jc w:val="both"/>
        <w:rPr>
          <w:rFonts w:asciiTheme="minorHAnsi" w:hAnsiTheme="minorHAnsi" w:cstheme="minorHAnsi"/>
        </w:rPr>
      </w:pPr>
      <w:r w:rsidRPr="00787AB7">
        <w:rPr>
          <w:rFonts w:asciiTheme="minorHAnsi" w:hAnsiTheme="minorHAnsi" w:cstheme="minorHAnsi"/>
        </w:rPr>
        <w:lastRenderedPageBreak/>
        <w:t>A vontatási villamos energia tervek összeállításánál figyelembevételre kerültek a megrendelt hasznos férőhelykilométerek. A jelenlegi ismeretek alapján került tervezésre a fajlagos energia fogyasztás változása (pl. M3 rekonstrukció). Azon jármű összetételbeli eltérések, melyek a villamos energia felhasználást befolyásolhatják, de mért adatok nem állnak rendelkezésre (</w:t>
      </w:r>
      <w:r w:rsidR="00B302FD">
        <w:rPr>
          <w:rFonts w:asciiTheme="minorHAnsi" w:hAnsiTheme="minorHAnsi" w:cstheme="minorHAnsi"/>
        </w:rPr>
        <w:t xml:space="preserve">pl.: </w:t>
      </w:r>
      <w:r w:rsidRPr="00787AB7">
        <w:rPr>
          <w:rFonts w:asciiTheme="minorHAnsi" w:hAnsiTheme="minorHAnsi" w:cstheme="minorHAnsi"/>
        </w:rPr>
        <w:t>CAF villamosok fajlagos fogyasztása), önállóan nem kerültek tervezésre. A tervezéshez használt ágazatonkénti fajlagos fogyasztási adatok a</w:t>
      </w:r>
      <w:r w:rsidR="00BF2852">
        <w:rPr>
          <w:rFonts w:asciiTheme="minorHAnsi" w:hAnsiTheme="minorHAnsi" w:cstheme="minorHAnsi"/>
        </w:rPr>
        <w:t xml:space="preserve"> </w:t>
      </w:r>
      <w:r w:rsidRPr="00787AB7">
        <w:rPr>
          <w:rFonts w:asciiTheme="minorHAnsi" w:hAnsiTheme="minorHAnsi" w:cstheme="minorHAnsi"/>
        </w:rPr>
        <w:t xml:space="preserve">2017. </w:t>
      </w:r>
      <w:r w:rsidR="00BF2852">
        <w:rPr>
          <w:rFonts w:asciiTheme="minorHAnsi" w:hAnsiTheme="minorHAnsi" w:cstheme="minorHAnsi"/>
        </w:rPr>
        <w:t>évi</w:t>
      </w:r>
      <w:r w:rsidRPr="00787AB7">
        <w:rPr>
          <w:rFonts w:asciiTheme="minorHAnsi" w:hAnsiTheme="minorHAnsi" w:cstheme="minorHAnsi"/>
        </w:rPr>
        <w:t xml:space="preserve"> tény fajlagos </w:t>
      </w:r>
      <w:r w:rsidR="00B302FD" w:rsidRPr="00B302FD">
        <w:rPr>
          <w:rFonts w:asciiTheme="minorHAnsi" w:hAnsiTheme="minorHAnsi" w:cstheme="minorHAnsi"/>
        </w:rPr>
        <w:t>értékeken alapulnak</w:t>
      </w:r>
      <w:r w:rsidRPr="00787AB7">
        <w:rPr>
          <w:rFonts w:asciiTheme="minorHAnsi" w:hAnsiTheme="minorHAnsi" w:cstheme="minorHAnsi"/>
        </w:rPr>
        <w:t xml:space="preserve">. </w:t>
      </w:r>
    </w:p>
    <w:p w14:paraId="784FA57D" w14:textId="77777777" w:rsidR="00BF2852" w:rsidRPr="00787AB7" w:rsidRDefault="00BF2852" w:rsidP="007E156E">
      <w:pPr>
        <w:jc w:val="both"/>
        <w:rPr>
          <w:rFonts w:asciiTheme="minorHAnsi" w:hAnsiTheme="minorHAnsi" w:cstheme="minorHAnsi"/>
        </w:rPr>
      </w:pPr>
    </w:p>
    <w:p w14:paraId="228CB0E3" w14:textId="35EE64A1" w:rsidR="007E156E" w:rsidRPr="00787AB7" w:rsidRDefault="009A1A77" w:rsidP="007E156E">
      <w:pPr>
        <w:jc w:val="both"/>
        <w:rPr>
          <w:rFonts w:asciiTheme="minorHAnsi" w:hAnsiTheme="minorHAnsi" w:cstheme="minorHAnsi"/>
        </w:rPr>
      </w:pPr>
      <w:r w:rsidRPr="00787AB7">
        <w:rPr>
          <w:rFonts w:asciiTheme="minorHAnsi" w:hAnsiTheme="minorHAnsi" w:cstheme="minorHAnsi"/>
        </w:rPr>
        <w:t>Kockázatot jelent a metró ágazat várható energia felhasználása, ahol az M3-as vonal működési változásai következtében fajlagos többlet fogyasztás várható a megváltozó forgalmi viszonyok (rezsi teljesítmény növekedése) miatt. A 2017. december 6-án BKK Zrt. részéről megküldött premisszák alapján a vonatási célú villamos energia várható mértéke 197,5 GWh. A tervezett egységár, a szerződött egységárból képzett terv ár – melynek értéke 28,03 Ft/kWh – értékét nagyban befolyásolják majd a tervezett M3 metró rekonstrukció valós megvalósításának ütemei, az ehhez kapcsolódó villamos energia menetrendadás helyessége és a lekötött teljesítmények ütemezésenkénti optimalizálása. A leírtak alapján a BKV Zrt.</w:t>
      </w:r>
      <w:r w:rsidR="00B302FD">
        <w:rPr>
          <w:rFonts w:asciiTheme="minorHAnsi" w:hAnsiTheme="minorHAnsi" w:cstheme="minorHAnsi"/>
        </w:rPr>
        <w:t xml:space="preserve"> a</w:t>
      </w:r>
      <w:r w:rsidRPr="00787AB7">
        <w:rPr>
          <w:rFonts w:asciiTheme="minorHAnsi" w:hAnsiTheme="minorHAnsi" w:cstheme="minorHAnsi"/>
        </w:rPr>
        <w:t xml:space="preserve"> 2018</w:t>
      </w:r>
      <w:r w:rsidR="00B302FD">
        <w:rPr>
          <w:rFonts w:asciiTheme="minorHAnsi" w:hAnsiTheme="minorHAnsi" w:cstheme="minorHAnsi"/>
        </w:rPr>
        <w:t>.</w:t>
      </w:r>
      <w:r w:rsidRPr="00787AB7">
        <w:rPr>
          <w:rFonts w:asciiTheme="minorHAnsi" w:hAnsiTheme="minorHAnsi" w:cstheme="minorHAnsi"/>
        </w:rPr>
        <w:t xml:space="preserve"> évben várhatóan 5,5 milliárd Ft értékű vontatási villamos energiát fog felhasználni. A rendszerhasználati díjak 2018. év során bekövetkező esetleges változása az árat módosíthatja.</w:t>
      </w:r>
    </w:p>
    <w:p w14:paraId="0A6AAD57" w14:textId="77777777" w:rsidR="007E156E" w:rsidRPr="00787AB7" w:rsidRDefault="007E156E" w:rsidP="007E156E">
      <w:pPr>
        <w:jc w:val="both"/>
        <w:rPr>
          <w:rFonts w:asciiTheme="minorHAnsi" w:hAnsiTheme="minorHAnsi" w:cstheme="minorHAnsi"/>
        </w:rPr>
      </w:pPr>
    </w:p>
    <w:p w14:paraId="398890E9" w14:textId="77777777" w:rsidR="007E156E" w:rsidRDefault="009A1A77" w:rsidP="007E156E">
      <w:pPr>
        <w:jc w:val="both"/>
        <w:rPr>
          <w:rFonts w:asciiTheme="minorHAnsi" w:hAnsiTheme="minorHAnsi" w:cstheme="minorHAnsi"/>
        </w:rPr>
      </w:pPr>
      <w:r w:rsidRPr="00787AB7">
        <w:rPr>
          <w:rFonts w:asciiTheme="minorHAnsi" w:hAnsiTheme="minorHAnsi" w:cstheme="minorHAnsi"/>
        </w:rPr>
        <w:t>A vontatási áram 2018. évi tervezett költségének változását befolyásoló tényezőket az alábbi diagram szemlélteti a bázis időszakhoz képest (millió Ft-ban):</w:t>
      </w:r>
    </w:p>
    <w:p w14:paraId="472C1E39" w14:textId="77777777" w:rsidR="00B41419" w:rsidRPr="00787AB7" w:rsidRDefault="00B41419" w:rsidP="007E156E">
      <w:pPr>
        <w:jc w:val="both"/>
        <w:rPr>
          <w:rFonts w:asciiTheme="minorHAnsi" w:hAnsiTheme="minorHAnsi" w:cstheme="minorHAnsi"/>
        </w:rPr>
      </w:pPr>
    </w:p>
    <w:p w14:paraId="029059E9" w14:textId="77777777" w:rsidR="004B752F" w:rsidRPr="00787AB7" w:rsidRDefault="00F5003A" w:rsidP="00787AB7">
      <w:pPr>
        <w:spacing w:after="120"/>
        <w:jc w:val="center"/>
        <w:rPr>
          <w:rFonts w:asciiTheme="minorHAnsi" w:hAnsiTheme="minorHAnsi" w:cstheme="minorHAnsi"/>
        </w:rPr>
      </w:pPr>
      <w:r w:rsidRPr="00787AB7">
        <w:rPr>
          <w:noProof/>
        </w:rPr>
        <w:drawing>
          <wp:inline distT="0" distB="0" distL="0" distR="0" wp14:anchorId="09830DA4" wp14:editId="03AF059A">
            <wp:extent cx="4133850" cy="2695575"/>
            <wp:effectExtent l="0" t="0" r="19050" b="9525"/>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D5F404" w14:textId="7C43AC66" w:rsidR="00681028" w:rsidRPr="00787AB7" w:rsidRDefault="00681028" w:rsidP="007A0BFA">
      <w:pPr>
        <w:jc w:val="center"/>
        <w:rPr>
          <w:rFonts w:asciiTheme="minorHAnsi" w:hAnsiTheme="minorHAnsi" w:cstheme="minorHAnsi"/>
        </w:rPr>
      </w:pPr>
    </w:p>
    <w:p w14:paraId="42BC60FB" w14:textId="77777777" w:rsidR="007E156E" w:rsidRPr="00787AB7" w:rsidRDefault="009A1A77" w:rsidP="007E156E">
      <w:pPr>
        <w:autoSpaceDE w:val="0"/>
        <w:autoSpaceDN w:val="0"/>
        <w:adjustRightInd w:val="0"/>
        <w:jc w:val="both"/>
        <w:rPr>
          <w:rFonts w:asciiTheme="minorHAnsi" w:hAnsiTheme="minorHAnsi" w:cstheme="minorHAnsi"/>
        </w:rPr>
      </w:pPr>
      <w:r w:rsidRPr="00787AB7">
        <w:rPr>
          <w:rFonts w:ascii="Calibri" w:hAnsi="Calibri" w:cs="Calibri"/>
          <w:lang w:eastAsia="ru-RU"/>
        </w:rPr>
        <w:t xml:space="preserve">Az </w:t>
      </w:r>
      <w:r w:rsidRPr="00787AB7">
        <w:rPr>
          <w:rFonts w:ascii="Calibri" w:hAnsi="Calibri" w:cs="Calibri"/>
          <w:b/>
          <w:lang w:eastAsia="ru-RU"/>
        </w:rPr>
        <w:t>egyéb energia</w:t>
      </w:r>
      <w:r w:rsidRPr="00787AB7">
        <w:rPr>
          <w:rFonts w:ascii="Calibri" w:hAnsi="Calibri" w:cs="Calibri"/>
          <w:lang w:eastAsia="ru-RU"/>
        </w:rPr>
        <w:t xml:space="preserve"> esetén a mennyiségi tervek a BKV Zrt. korábbi, sokéves felhasználási adatait figyelembe véve készültek. Az ismert létesítményi beruházások hatását a tervek tartalmazzák,</w:t>
      </w:r>
      <w:r w:rsidRPr="00787AB7">
        <w:rPr>
          <w:rFonts w:asciiTheme="minorHAnsi" w:hAnsiTheme="minorHAnsi" w:cstheme="minorHAnsi"/>
        </w:rPr>
        <w:t xml:space="preserve"> többek között az M3 infrastruktúra beruházás során a vállalkozó által felhasznált egyéb energia hatásait. </w:t>
      </w:r>
      <w:r w:rsidRPr="00787AB7">
        <w:rPr>
          <w:rFonts w:ascii="Calibri" w:hAnsi="Calibri" w:cs="Calibri"/>
          <w:lang w:eastAsia="ru-RU"/>
        </w:rPr>
        <w:t>Az egyéb energia árak és költségek a tervezési premisszáknak megfelelően kerültek tervezésre.</w:t>
      </w:r>
    </w:p>
    <w:p w14:paraId="1172C2C3" w14:textId="4B39D1FF" w:rsidR="00751A06" w:rsidRDefault="00751A06" w:rsidP="00411D9D">
      <w:pPr>
        <w:autoSpaceDE w:val="0"/>
        <w:autoSpaceDN w:val="0"/>
        <w:adjustRightInd w:val="0"/>
        <w:spacing w:after="120"/>
        <w:jc w:val="both"/>
        <w:rPr>
          <w:rFonts w:asciiTheme="minorHAnsi" w:hAnsiTheme="minorHAnsi"/>
          <w:b/>
          <w:bCs/>
          <w:szCs w:val="26"/>
        </w:rPr>
      </w:pPr>
      <w:bookmarkStart w:id="61" w:name="_Toc443317917"/>
      <w:bookmarkStart w:id="62" w:name="_Toc465246390"/>
    </w:p>
    <w:p w14:paraId="54F970C8" w14:textId="77777777" w:rsidR="008604D4" w:rsidRPr="00787AB7" w:rsidRDefault="008604D4" w:rsidP="00411D9D">
      <w:pPr>
        <w:autoSpaceDE w:val="0"/>
        <w:autoSpaceDN w:val="0"/>
        <w:adjustRightInd w:val="0"/>
        <w:spacing w:after="120"/>
        <w:jc w:val="both"/>
        <w:rPr>
          <w:rFonts w:asciiTheme="minorHAnsi" w:hAnsiTheme="minorHAnsi"/>
          <w:b/>
          <w:bCs/>
          <w:szCs w:val="26"/>
        </w:rPr>
      </w:pPr>
    </w:p>
    <w:p w14:paraId="7AA66E08" w14:textId="77777777" w:rsidR="003609C4" w:rsidRPr="00787AB7" w:rsidRDefault="009A1A77" w:rsidP="00D33BDF">
      <w:pPr>
        <w:pStyle w:val="Cmsor3"/>
        <w:tabs>
          <w:tab w:val="clear" w:pos="2007"/>
        </w:tabs>
        <w:ind w:left="0" w:firstLine="0"/>
        <w:rPr>
          <w:rFonts w:asciiTheme="minorHAnsi" w:hAnsiTheme="minorHAnsi"/>
        </w:rPr>
      </w:pPr>
      <w:bookmarkStart w:id="63" w:name="_Toc512409629"/>
      <w:r w:rsidRPr="00787AB7">
        <w:rPr>
          <w:rFonts w:asciiTheme="minorHAnsi" w:hAnsiTheme="minorHAnsi"/>
          <w:b w:val="0"/>
          <w:bCs w:val="0"/>
        </w:rPr>
        <w:lastRenderedPageBreak/>
        <w:t>-</w:t>
      </w:r>
      <w:r w:rsidRPr="00787AB7">
        <w:rPr>
          <w:rFonts w:asciiTheme="minorHAnsi" w:hAnsiTheme="minorHAnsi"/>
        </w:rPr>
        <w:t xml:space="preserve"> Személyi jellegű ráfordítások</w:t>
      </w:r>
      <w:bookmarkEnd w:id="61"/>
      <w:bookmarkEnd w:id="62"/>
      <w:bookmarkEnd w:id="63"/>
    </w:p>
    <w:p w14:paraId="5DD815C7" w14:textId="77777777" w:rsidR="003609C4" w:rsidRPr="00787AB7" w:rsidRDefault="003609C4" w:rsidP="003609C4">
      <w:pPr>
        <w:jc w:val="both"/>
        <w:rPr>
          <w:rFonts w:asciiTheme="minorHAnsi" w:hAnsiTheme="minorHAnsi"/>
          <w:b/>
          <w:u w:val="single"/>
        </w:rPr>
      </w:pPr>
    </w:p>
    <w:p w14:paraId="45C84A49" w14:textId="77777777" w:rsidR="00C77E4C" w:rsidRPr="00787AB7" w:rsidRDefault="009A1A77" w:rsidP="00C77E4C">
      <w:pPr>
        <w:spacing w:after="120" w:line="276" w:lineRule="auto"/>
        <w:jc w:val="both"/>
        <w:rPr>
          <w:rFonts w:asciiTheme="minorHAnsi" w:eastAsia="Calibri" w:hAnsiTheme="minorHAnsi" w:cs="Calibri"/>
          <w:b/>
          <w:lang w:eastAsia="en-US"/>
        </w:rPr>
      </w:pPr>
      <w:bookmarkStart w:id="64" w:name="_Toc493498884"/>
      <w:r w:rsidRPr="00787AB7">
        <w:rPr>
          <w:rFonts w:asciiTheme="minorHAnsi" w:eastAsia="Calibri" w:hAnsiTheme="minorHAnsi" w:cs="Calibri"/>
          <w:b/>
          <w:lang w:eastAsia="en-US"/>
        </w:rPr>
        <w:t>Társasági szintű változások</w:t>
      </w:r>
    </w:p>
    <w:p w14:paraId="2FD6A7F0" w14:textId="77777777" w:rsidR="00C77E4C" w:rsidRPr="00787AB7" w:rsidRDefault="00A77FAF" w:rsidP="00A77FAF">
      <w:pPr>
        <w:spacing w:after="120"/>
        <w:jc w:val="both"/>
        <w:rPr>
          <w:rFonts w:asciiTheme="minorHAnsi" w:eastAsia="Calibri" w:hAnsiTheme="minorHAnsi" w:cs="Calibri"/>
          <w:b/>
        </w:rPr>
      </w:pPr>
      <w:r>
        <w:rPr>
          <w:rFonts w:asciiTheme="minorHAnsi" w:eastAsia="Calibri" w:hAnsiTheme="minorHAnsi" w:cs="Calibri"/>
          <w:b/>
        </w:rPr>
        <w:t xml:space="preserve">      </w:t>
      </w:r>
      <w:r w:rsidR="009A1A77" w:rsidRPr="00787AB7">
        <w:rPr>
          <w:rFonts w:asciiTheme="minorHAnsi" w:eastAsia="Calibri" w:hAnsiTheme="minorHAnsi" w:cs="Calibri"/>
          <w:b/>
        </w:rPr>
        <w:t>A bérfejlesztés hatása:</w:t>
      </w:r>
    </w:p>
    <w:p w14:paraId="58F57EB9" w14:textId="77777777" w:rsidR="00D70771" w:rsidRPr="00B57A0B" w:rsidRDefault="00D70771" w:rsidP="00D70771">
      <w:pPr>
        <w:jc w:val="both"/>
        <w:rPr>
          <w:rFonts w:asciiTheme="minorHAnsi" w:eastAsia="Calibri" w:hAnsiTheme="minorHAnsi" w:cs="Calibri"/>
          <w:lang w:eastAsia="en-US"/>
        </w:rPr>
      </w:pPr>
      <w:r w:rsidRPr="00B57A0B">
        <w:rPr>
          <w:rFonts w:asciiTheme="minorHAnsi" w:eastAsia="Calibri" w:hAnsiTheme="minorHAnsi" w:cs="Calibri"/>
          <w:lang w:eastAsia="en-US"/>
        </w:rPr>
        <w:t xml:space="preserve">A fővárosi premisszák szerint a szakszervezetekkel kötött bérmegállapodásnak megfelelően kell elkészíteni az </w:t>
      </w:r>
      <w:r>
        <w:rPr>
          <w:rFonts w:asciiTheme="minorHAnsi" w:eastAsia="Calibri" w:hAnsiTheme="minorHAnsi" w:cs="Calibri"/>
          <w:lang w:eastAsia="en-US"/>
        </w:rPr>
        <w:t>Üzleti Te</w:t>
      </w:r>
      <w:r w:rsidRPr="00B57A0B">
        <w:rPr>
          <w:rFonts w:asciiTheme="minorHAnsi" w:eastAsia="Calibri" w:hAnsiTheme="minorHAnsi" w:cs="Calibri"/>
          <w:lang w:eastAsia="en-US"/>
        </w:rPr>
        <w:t>rvet. A BKV menedzsmentje a szakszervezetekkel való tárgyalások eredményeként az alábbiak szerint állapodott meg a 2018. évi jövedelmek fejlesztéséről.</w:t>
      </w:r>
    </w:p>
    <w:p w14:paraId="5D0B658F" w14:textId="06735FCF" w:rsidR="00D70771" w:rsidRPr="00B57A0B" w:rsidRDefault="00D70771" w:rsidP="00D70771">
      <w:pPr>
        <w:jc w:val="both"/>
        <w:rPr>
          <w:rFonts w:asciiTheme="minorHAnsi" w:eastAsia="Calibri" w:hAnsiTheme="minorHAnsi" w:cs="Calibri"/>
          <w:lang w:eastAsia="en-US"/>
        </w:rPr>
      </w:pPr>
      <w:r w:rsidRPr="00B57A0B">
        <w:rPr>
          <w:rFonts w:asciiTheme="minorHAnsi" w:eastAsia="Calibri" w:hAnsiTheme="minorHAnsi" w:cs="Calibri"/>
          <w:lang w:eastAsia="en-US"/>
        </w:rPr>
        <w:t>A 2018. évi társasági bérfejlesztés átlagos mértéke 12%, melyből 5% alapbérfejlesztés és 7% bérfelzárkóztatás célját szolgálja – elsősorban a hiányszakmák tekinteté</w:t>
      </w:r>
      <w:r>
        <w:rPr>
          <w:rFonts w:asciiTheme="minorHAnsi" w:eastAsia="Calibri" w:hAnsiTheme="minorHAnsi" w:cs="Calibri"/>
          <w:lang w:eastAsia="en-US"/>
        </w:rPr>
        <w:t xml:space="preserve">ben. A bérfejlesztés hatására </w:t>
      </w:r>
      <w:r w:rsidRPr="00735F8E">
        <w:rPr>
          <w:rFonts w:asciiTheme="minorHAnsi" w:eastAsia="Calibri" w:hAnsiTheme="minorHAnsi" w:cs="Calibri"/>
          <w:u w:val="single"/>
          <w:lang w:eastAsia="en-US"/>
        </w:rPr>
        <w:t>6</w:t>
      </w:r>
      <w:r w:rsidR="002663D1" w:rsidRPr="002663D1">
        <w:rPr>
          <w:rFonts w:asciiTheme="minorHAnsi" w:eastAsia="Calibri" w:hAnsiTheme="minorHAnsi" w:cs="Calibri"/>
          <w:u w:val="single"/>
          <w:lang w:eastAsia="en-US"/>
        </w:rPr>
        <w:t> </w:t>
      </w:r>
      <w:r w:rsidRPr="00735F8E">
        <w:rPr>
          <w:rFonts w:asciiTheme="minorHAnsi" w:eastAsia="Calibri" w:hAnsiTheme="minorHAnsi" w:cs="Calibri"/>
          <w:u w:val="single"/>
          <w:lang w:eastAsia="en-US"/>
        </w:rPr>
        <w:t>972 millió</w:t>
      </w:r>
      <w:r w:rsidRPr="00B57A0B">
        <w:rPr>
          <w:rFonts w:asciiTheme="minorHAnsi" w:eastAsia="Calibri" w:hAnsiTheme="minorHAnsi" w:cs="Calibri"/>
          <w:lang w:eastAsia="en-US"/>
        </w:rPr>
        <w:t xml:space="preserve"> Ft-tal növekednek a személyi jellegű ráfordítások 2018. évben. Részletesebb leírás a fejezet végén</w:t>
      </w:r>
      <w:r>
        <w:rPr>
          <w:rFonts w:asciiTheme="minorHAnsi" w:eastAsia="Calibri" w:hAnsiTheme="minorHAnsi" w:cs="Calibri"/>
          <w:lang w:eastAsia="en-US"/>
        </w:rPr>
        <w:t xml:space="preserve"> található</w:t>
      </w:r>
      <w:r w:rsidRPr="00B57A0B">
        <w:rPr>
          <w:rFonts w:asciiTheme="minorHAnsi" w:eastAsia="Calibri" w:hAnsiTheme="minorHAnsi" w:cs="Calibri"/>
          <w:lang w:eastAsia="en-US"/>
        </w:rPr>
        <w:t>.</w:t>
      </w:r>
    </w:p>
    <w:p w14:paraId="1943FD70" w14:textId="77777777" w:rsidR="00D70771" w:rsidRPr="00B57A0B" w:rsidRDefault="00D70771" w:rsidP="00787AB7">
      <w:pPr>
        <w:ind w:firstLine="360"/>
        <w:jc w:val="both"/>
        <w:rPr>
          <w:rFonts w:asciiTheme="minorHAnsi" w:eastAsia="Calibri" w:hAnsiTheme="minorHAnsi" w:cs="Calibri"/>
        </w:rPr>
      </w:pPr>
      <w:r w:rsidRPr="00B57A0B">
        <w:rPr>
          <w:rFonts w:asciiTheme="minorHAnsi" w:eastAsia="Calibri" w:hAnsiTheme="minorHAnsi" w:cs="Calibri"/>
          <w:b/>
        </w:rPr>
        <w:t>A törvényi változások hatása</w:t>
      </w:r>
      <w:r w:rsidRPr="00B57A0B">
        <w:rPr>
          <w:rFonts w:asciiTheme="minorHAnsi" w:eastAsia="Calibri" w:hAnsiTheme="minorHAnsi" w:cs="Calibri"/>
        </w:rPr>
        <w:t xml:space="preserve">: </w:t>
      </w:r>
    </w:p>
    <w:p w14:paraId="605E6709" w14:textId="77777777" w:rsidR="00D70771" w:rsidRPr="00B57A0B" w:rsidRDefault="00D70771" w:rsidP="00D70771">
      <w:pPr>
        <w:numPr>
          <w:ilvl w:val="0"/>
          <w:numId w:val="18"/>
        </w:numPr>
        <w:jc w:val="both"/>
        <w:rPr>
          <w:rFonts w:asciiTheme="minorHAnsi" w:eastAsia="Calibri" w:hAnsiTheme="minorHAnsi" w:cs="Calibri"/>
        </w:rPr>
      </w:pPr>
      <w:r w:rsidRPr="00B57A0B">
        <w:rPr>
          <w:rFonts w:asciiTheme="minorHAnsi" w:eastAsia="Calibri" w:hAnsiTheme="minorHAnsi" w:cs="Calibri"/>
        </w:rPr>
        <w:t>A minimálbér növekedése miatt a rehabilitációs járulék is emelkedik, várhatóan</w:t>
      </w:r>
      <w:r w:rsidRPr="00B57A0B">
        <w:rPr>
          <w:rFonts w:asciiTheme="minorHAnsi" w:eastAsia="Calibri" w:hAnsiTheme="minorHAnsi" w:cs="Calibri"/>
        </w:rPr>
        <w:br/>
        <w:t>45,6 millió Ft-tal.</w:t>
      </w:r>
    </w:p>
    <w:p w14:paraId="20A3AAB3" w14:textId="77777777" w:rsidR="00D70771" w:rsidRPr="00B57A0B" w:rsidRDefault="00D70771" w:rsidP="00D70771">
      <w:pPr>
        <w:numPr>
          <w:ilvl w:val="0"/>
          <w:numId w:val="18"/>
        </w:numPr>
        <w:jc w:val="both"/>
        <w:rPr>
          <w:rFonts w:asciiTheme="minorHAnsi" w:eastAsia="Calibri" w:hAnsiTheme="minorHAnsi" w:cs="Calibri"/>
        </w:rPr>
      </w:pPr>
      <w:r w:rsidRPr="00B57A0B">
        <w:rPr>
          <w:rFonts w:asciiTheme="minorHAnsi" w:eastAsia="Calibri" w:hAnsiTheme="minorHAnsi" w:cs="Calibri"/>
        </w:rPr>
        <w:t>A szociális hozzájárulási adó 22%-ról 19,5%-ra csökken, mely 1 104,</w:t>
      </w:r>
      <w:r>
        <w:rPr>
          <w:rFonts w:asciiTheme="minorHAnsi" w:eastAsia="Calibri" w:hAnsiTheme="minorHAnsi" w:cs="Calibri"/>
        </w:rPr>
        <w:t>1</w:t>
      </w:r>
      <w:r w:rsidRPr="00B57A0B">
        <w:rPr>
          <w:rFonts w:asciiTheme="minorHAnsi" w:eastAsia="Calibri" w:hAnsiTheme="minorHAnsi" w:cs="Calibri"/>
        </w:rPr>
        <w:t xml:space="preserve"> millió Ft megtakarítást eredményez. </w:t>
      </w:r>
    </w:p>
    <w:p w14:paraId="41D8541E" w14:textId="77777777" w:rsidR="00D70771" w:rsidRPr="00B57A0B" w:rsidRDefault="00D70771" w:rsidP="00D70771">
      <w:pPr>
        <w:numPr>
          <w:ilvl w:val="0"/>
          <w:numId w:val="18"/>
        </w:numPr>
        <w:jc w:val="both"/>
        <w:rPr>
          <w:rFonts w:asciiTheme="minorHAnsi" w:eastAsia="Calibri" w:hAnsiTheme="minorHAnsi" w:cs="Calibri"/>
        </w:rPr>
      </w:pPr>
      <w:r w:rsidRPr="00B57A0B">
        <w:rPr>
          <w:rFonts w:asciiTheme="minorHAnsi" w:eastAsia="Calibri" w:hAnsiTheme="minorHAnsi" w:cs="Calibri"/>
        </w:rPr>
        <w:t>A garantált bérminimum 2018. évi emelkedése pedig 24,8 millió Ft-tal növeli meg a költségeket.</w:t>
      </w:r>
    </w:p>
    <w:p w14:paraId="5B0BA211" w14:textId="77777777" w:rsidR="00C77E4C" w:rsidRPr="00787AB7" w:rsidRDefault="00C77E4C" w:rsidP="00C77E4C">
      <w:pPr>
        <w:jc w:val="both"/>
        <w:rPr>
          <w:rFonts w:ascii="Calibri" w:eastAsia="Calibri" w:hAnsi="Calibri" w:cs="Calibri"/>
          <w:lang w:eastAsia="en-US"/>
        </w:rPr>
      </w:pPr>
    </w:p>
    <w:bookmarkEnd w:id="64"/>
    <w:p w14:paraId="68555837" w14:textId="77777777" w:rsidR="00C77E4C" w:rsidRPr="00787AB7" w:rsidRDefault="009A1A77" w:rsidP="00C77E4C">
      <w:pPr>
        <w:jc w:val="both"/>
        <w:rPr>
          <w:rFonts w:ascii="Calibri" w:eastAsia="Calibri" w:hAnsi="Calibri" w:cs="Calibri"/>
          <w:b/>
          <w:lang w:eastAsia="en-US"/>
        </w:rPr>
      </w:pPr>
      <w:r w:rsidRPr="00787AB7">
        <w:rPr>
          <w:rFonts w:ascii="Calibri" w:eastAsia="Calibri" w:hAnsi="Calibri" w:cs="Calibri"/>
          <w:b/>
          <w:lang w:eastAsia="en-US"/>
        </w:rPr>
        <w:t>Vasúti Üzemeltetési Igazgatóság</w:t>
      </w:r>
    </w:p>
    <w:p w14:paraId="2D26215B" w14:textId="77777777" w:rsidR="00C77E4C" w:rsidRPr="00787AB7" w:rsidRDefault="00C77E4C" w:rsidP="00C77E4C">
      <w:pPr>
        <w:jc w:val="both"/>
        <w:rPr>
          <w:rFonts w:ascii="Calibri" w:eastAsia="Calibri" w:hAnsi="Calibri" w:cs="Calibri"/>
          <w:b/>
          <w:lang w:eastAsia="en-US"/>
        </w:rPr>
      </w:pPr>
    </w:p>
    <w:p w14:paraId="2ADA5EB3" w14:textId="77777777" w:rsidR="00D70771" w:rsidRPr="00B57A0B" w:rsidRDefault="00D70771" w:rsidP="00D70771">
      <w:pPr>
        <w:jc w:val="both"/>
        <w:rPr>
          <w:rFonts w:asciiTheme="minorHAnsi" w:eastAsia="Calibri" w:hAnsiTheme="minorHAnsi" w:cs="Calibri"/>
          <w:b/>
          <w:lang w:eastAsia="en-US"/>
        </w:rPr>
      </w:pPr>
      <w:r>
        <w:rPr>
          <w:rFonts w:asciiTheme="minorHAnsi" w:eastAsia="Calibri" w:hAnsiTheme="minorHAnsi" w:cs="Calibri"/>
          <w:b/>
          <w:lang w:eastAsia="en-US"/>
        </w:rPr>
        <w:t>Forgalmi t</w:t>
      </w:r>
      <w:r w:rsidRPr="00B57A0B">
        <w:rPr>
          <w:rFonts w:asciiTheme="minorHAnsi" w:eastAsia="Calibri" w:hAnsiTheme="minorHAnsi" w:cs="Calibri"/>
          <w:b/>
          <w:lang w:eastAsia="en-US"/>
        </w:rPr>
        <w:t>eljesítményváltozás M3 rekonstrukcióval</w:t>
      </w:r>
    </w:p>
    <w:p w14:paraId="166FCD2D" w14:textId="77777777" w:rsidR="00D70771" w:rsidRPr="00B57A0B" w:rsidRDefault="00D70771" w:rsidP="00D70771">
      <w:pPr>
        <w:jc w:val="both"/>
        <w:rPr>
          <w:rFonts w:ascii="Calibri" w:eastAsia="Calibri" w:hAnsi="Calibri" w:cs="Calibri"/>
          <w:lang w:eastAsia="en-US"/>
        </w:rPr>
      </w:pPr>
      <w:r w:rsidRPr="00B57A0B">
        <w:rPr>
          <w:rFonts w:ascii="Calibri" w:eastAsia="Calibri" w:hAnsi="Calibri" w:cs="Calibri"/>
          <w:lang w:eastAsia="en-US"/>
        </w:rPr>
        <w:t>Az M3 vonali rekonstrukció összes személyi jellegű ráfordításának hatása a vasúti ágazatoknál 2</w:t>
      </w:r>
      <w:r>
        <w:rPr>
          <w:rFonts w:ascii="Calibri" w:eastAsia="Calibri" w:hAnsi="Calibri" w:cs="Calibri"/>
          <w:lang w:eastAsia="en-US"/>
        </w:rPr>
        <w:t>50,7</w:t>
      </w:r>
      <w:r w:rsidRPr="00B57A0B">
        <w:rPr>
          <w:rFonts w:ascii="Calibri" w:eastAsia="Calibri" w:hAnsi="Calibri" w:cs="Calibri"/>
          <w:lang w:eastAsia="en-US"/>
        </w:rPr>
        <w:t xml:space="preserve"> millió Ft csökkenés, mely magában foglalja a rekonstrukcióhoz kapcsolódó metró és villamos teljesítmény-változásokat.</w:t>
      </w:r>
    </w:p>
    <w:p w14:paraId="5A1EEA26" w14:textId="77777777" w:rsidR="00D70771" w:rsidRPr="00B57A0B" w:rsidRDefault="00D70771" w:rsidP="00D70771">
      <w:pPr>
        <w:jc w:val="both"/>
        <w:rPr>
          <w:rFonts w:ascii="Calibri" w:eastAsia="Calibri" w:hAnsi="Calibri" w:cs="Calibri"/>
          <w:lang w:eastAsia="en-US"/>
        </w:rPr>
      </w:pPr>
      <w:r w:rsidRPr="00B57A0B">
        <w:rPr>
          <w:rFonts w:ascii="Calibri" w:eastAsia="Calibri" w:hAnsi="Calibri" w:cs="Calibri"/>
          <w:lang w:eastAsia="en-US"/>
        </w:rPr>
        <w:t>Az alapteljesítmények mind a villamos, mind pedig a metró ágazatban növekednek a teljesítmény</w:t>
      </w:r>
      <w:r>
        <w:rPr>
          <w:rFonts w:ascii="Calibri" w:eastAsia="Calibri" w:hAnsi="Calibri" w:cs="Calibri"/>
          <w:lang w:eastAsia="en-US"/>
        </w:rPr>
        <w:t>i</w:t>
      </w:r>
      <w:r w:rsidRPr="00B57A0B">
        <w:rPr>
          <w:rFonts w:ascii="Calibri" w:eastAsia="Calibri" w:hAnsi="Calibri" w:cs="Calibri"/>
          <w:lang w:eastAsia="en-US"/>
        </w:rPr>
        <w:t xml:space="preserve"> terv szerint. Ezek együttes hatása 3</w:t>
      </w:r>
      <w:r>
        <w:rPr>
          <w:rFonts w:ascii="Calibri" w:eastAsia="Calibri" w:hAnsi="Calibri" w:cs="Calibri"/>
          <w:lang w:eastAsia="en-US"/>
        </w:rPr>
        <w:t>46,6</w:t>
      </w:r>
      <w:r w:rsidRPr="00B57A0B">
        <w:rPr>
          <w:rFonts w:ascii="Calibri" w:eastAsia="Calibri" w:hAnsi="Calibri" w:cs="Calibri"/>
          <w:lang w:eastAsia="en-US"/>
        </w:rPr>
        <w:t xml:space="preserve"> millió Ft személyi jellegű ráfordítás növekedés.</w:t>
      </w:r>
    </w:p>
    <w:p w14:paraId="6F09937C" w14:textId="77777777" w:rsidR="00D70771" w:rsidRPr="00812AB1" w:rsidRDefault="00D70771" w:rsidP="00D70771">
      <w:pPr>
        <w:jc w:val="both"/>
        <w:rPr>
          <w:rFonts w:eastAsia="Calibri" w:cs="Calibri"/>
          <w:b/>
        </w:rPr>
      </w:pPr>
    </w:p>
    <w:p w14:paraId="5D6BFA86" w14:textId="77777777" w:rsidR="00D70771" w:rsidRPr="00B57A0B" w:rsidRDefault="00D70771" w:rsidP="00D70771">
      <w:pPr>
        <w:jc w:val="both"/>
        <w:rPr>
          <w:rFonts w:asciiTheme="minorHAnsi" w:eastAsia="Calibri" w:hAnsiTheme="minorHAnsi" w:cs="Calibri"/>
          <w:b/>
          <w:lang w:eastAsia="en-US"/>
        </w:rPr>
      </w:pPr>
      <w:r w:rsidRPr="00D56EC4">
        <w:rPr>
          <w:rFonts w:asciiTheme="minorHAnsi" w:eastAsia="Calibri" w:hAnsiTheme="minorHAnsi" w:cs="Calibri"/>
          <w:b/>
          <w:lang w:eastAsia="en-US"/>
        </w:rPr>
        <w:t>Metró és villamos üzemeltetéshez kapcsolódó jármű és infrastruktúra eszközállomány változás üzemeltetési hatása</w:t>
      </w:r>
      <w:r w:rsidRPr="00D56EC4" w:rsidDel="00D56EC4">
        <w:rPr>
          <w:rFonts w:asciiTheme="minorHAnsi" w:eastAsia="Calibri" w:hAnsiTheme="minorHAnsi" w:cs="Calibri"/>
          <w:b/>
          <w:lang w:eastAsia="en-US"/>
        </w:rPr>
        <w:t xml:space="preserve"> </w:t>
      </w:r>
    </w:p>
    <w:p w14:paraId="1276D7E6" w14:textId="77777777" w:rsidR="00D70771" w:rsidRPr="00B57A0B" w:rsidRDefault="00D70771" w:rsidP="00D70771">
      <w:pPr>
        <w:jc w:val="both"/>
        <w:rPr>
          <w:rFonts w:ascii="Calibri" w:eastAsia="Calibri" w:hAnsi="Calibri" w:cs="Calibri"/>
          <w:lang w:eastAsia="en-US"/>
        </w:rPr>
      </w:pPr>
      <w:r w:rsidRPr="00B57A0B">
        <w:rPr>
          <w:rFonts w:ascii="Calibri" w:eastAsia="Calibri" w:hAnsi="Calibri" w:cs="Calibri"/>
          <w:lang w:eastAsia="en-US"/>
        </w:rPr>
        <w:t>A felújított orosz metró járművek karbantartásához, az M3 rekonstrukció utáni, felújított infrastruktúra berendezések üzemeltetéséhez, az M3 hibakereső/javító/QCP tevékenység ellátásához, a járműfedélzeti ATC berendezés üzemeltetéséhez és az M1 műszaki ügyelethez kapcsolódó</w:t>
      </w:r>
      <w:r>
        <w:rPr>
          <w:rFonts w:ascii="Calibri" w:eastAsia="Calibri" w:hAnsi="Calibri" w:cs="Calibri"/>
          <w:lang w:eastAsia="en-US"/>
        </w:rPr>
        <w:t xml:space="preserve">, valamint </w:t>
      </w:r>
      <w:r w:rsidRPr="00B57A0B">
        <w:rPr>
          <w:rFonts w:ascii="Calibri" w:eastAsia="Calibri" w:hAnsi="Calibri" w:cs="Calibri"/>
          <w:lang w:eastAsia="en-US"/>
        </w:rPr>
        <w:t xml:space="preserve">a CAF és Combino villamosok és egyéb kamerák képeinek hatósági kezeléséhez és üzemeltetéséhez </w:t>
      </w:r>
      <w:r>
        <w:rPr>
          <w:rFonts w:ascii="Calibri" w:eastAsia="Calibri" w:hAnsi="Calibri" w:cs="Calibri"/>
          <w:lang w:eastAsia="en-US"/>
        </w:rPr>
        <w:t xml:space="preserve">szükséges </w:t>
      </w:r>
      <w:r w:rsidRPr="00B57A0B">
        <w:rPr>
          <w:rFonts w:ascii="Calibri" w:eastAsia="Calibri" w:hAnsi="Calibri" w:cs="Calibri"/>
          <w:lang w:eastAsia="en-US"/>
        </w:rPr>
        <w:t xml:space="preserve">személyi jellegű ráfordítás igény </w:t>
      </w:r>
      <w:r>
        <w:rPr>
          <w:rFonts w:ascii="Calibri" w:eastAsia="Calibri" w:hAnsi="Calibri" w:cs="Calibri"/>
          <w:lang w:eastAsia="en-US"/>
        </w:rPr>
        <w:t xml:space="preserve">180,5 </w:t>
      </w:r>
      <w:r w:rsidRPr="00B57A0B">
        <w:rPr>
          <w:rFonts w:ascii="Calibri" w:eastAsia="Calibri" w:hAnsi="Calibri" w:cs="Calibri"/>
          <w:lang w:eastAsia="en-US"/>
        </w:rPr>
        <w:t>millió Ft.</w:t>
      </w:r>
    </w:p>
    <w:p w14:paraId="744557A3" w14:textId="77777777" w:rsidR="00D70771" w:rsidRDefault="00D70771" w:rsidP="00D70771">
      <w:pPr>
        <w:jc w:val="both"/>
        <w:rPr>
          <w:rFonts w:asciiTheme="minorHAnsi" w:eastAsia="Calibri" w:hAnsiTheme="minorHAnsi" w:cs="Calibri"/>
          <w:b/>
          <w:lang w:eastAsia="en-US"/>
        </w:rPr>
      </w:pPr>
    </w:p>
    <w:p w14:paraId="233FF430" w14:textId="77777777" w:rsidR="00D70771" w:rsidRPr="00B57A0B" w:rsidRDefault="00D70771" w:rsidP="00D70771">
      <w:pPr>
        <w:keepNext/>
        <w:jc w:val="both"/>
        <w:rPr>
          <w:rFonts w:asciiTheme="minorHAnsi" w:eastAsia="Calibri" w:hAnsiTheme="minorHAnsi" w:cs="Calibri"/>
          <w:b/>
          <w:lang w:eastAsia="en-US"/>
        </w:rPr>
      </w:pPr>
      <w:r w:rsidRPr="00B57A0B">
        <w:rPr>
          <w:rFonts w:asciiTheme="minorHAnsi" w:eastAsia="Calibri" w:hAnsiTheme="minorHAnsi" w:cs="Calibri"/>
          <w:b/>
          <w:lang w:eastAsia="en-US"/>
        </w:rPr>
        <w:t>Sínhegesztési tevékenység insource</w:t>
      </w:r>
    </w:p>
    <w:p w14:paraId="6787A589" w14:textId="77777777" w:rsidR="00D70771" w:rsidRPr="00B57A0B" w:rsidRDefault="00D70771" w:rsidP="00D70771">
      <w:pPr>
        <w:jc w:val="both"/>
        <w:rPr>
          <w:rFonts w:ascii="Calibri" w:eastAsia="Calibri" w:hAnsi="Calibri" w:cs="Calibri"/>
          <w:lang w:eastAsia="en-US"/>
        </w:rPr>
      </w:pPr>
      <w:r w:rsidRPr="00B57A0B">
        <w:rPr>
          <w:rFonts w:ascii="Calibri" w:eastAsia="Calibri" w:hAnsi="Calibri" w:cs="Calibri"/>
          <w:lang w:eastAsia="en-US"/>
        </w:rPr>
        <w:t>A sínhegesztési tevékenység saját hatáskörben történő ellátása összességében megtakarítással jár, de a személyi jellegű költségsorokon 36,3 millió Ft többletet jelent.</w:t>
      </w:r>
    </w:p>
    <w:p w14:paraId="59E65947" w14:textId="77777777" w:rsidR="00D70771" w:rsidRPr="00812AB1" w:rsidRDefault="00D70771" w:rsidP="00D70771">
      <w:pPr>
        <w:jc w:val="both"/>
        <w:rPr>
          <w:rFonts w:eastAsia="Calibri" w:cs="Calibri"/>
        </w:rPr>
      </w:pPr>
    </w:p>
    <w:p w14:paraId="74FBD0D5" w14:textId="77777777" w:rsidR="00D70771" w:rsidRPr="00B57A0B" w:rsidRDefault="00D70771" w:rsidP="00D70771">
      <w:pPr>
        <w:jc w:val="both"/>
        <w:rPr>
          <w:rFonts w:asciiTheme="minorHAnsi" w:eastAsia="Calibri" w:hAnsiTheme="minorHAnsi" w:cs="Calibri"/>
          <w:b/>
          <w:lang w:eastAsia="en-US"/>
        </w:rPr>
      </w:pPr>
      <w:r w:rsidRPr="00B57A0B">
        <w:rPr>
          <w:rFonts w:asciiTheme="minorHAnsi" w:eastAsia="Calibri" w:hAnsiTheme="minorHAnsi" w:cs="Calibri"/>
          <w:b/>
          <w:lang w:eastAsia="en-US"/>
        </w:rPr>
        <w:t>A CAF villamos járművek üzemeltetése</w:t>
      </w:r>
    </w:p>
    <w:p w14:paraId="7B8765A0" w14:textId="77777777" w:rsidR="00D70771" w:rsidRDefault="00D70771" w:rsidP="00D70771">
      <w:pPr>
        <w:jc w:val="both"/>
        <w:rPr>
          <w:rFonts w:ascii="Calibri" w:eastAsia="Calibri" w:hAnsi="Calibri" w:cs="Calibri"/>
          <w:lang w:eastAsia="en-US"/>
        </w:rPr>
      </w:pPr>
      <w:r w:rsidRPr="006D32E3">
        <w:rPr>
          <w:rFonts w:ascii="Calibri" w:eastAsia="Calibri" w:hAnsi="Calibri" w:cs="Calibri"/>
          <w:lang w:eastAsia="en-US"/>
        </w:rPr>
        <w:t>A CAF járművek karbantartásának saját hatáskörben történő ellátásához technológiai és műszaki feladatok elvégzésére képzett mérnökök is szükségesek, évközi felvétellel. A Budafok kocsiszín beruházás befejezését követően a hatósági engedélyek megszerzéséhez szükséges oktatások végrehajtása elengedhetetlen. Az együttes személyi jellegű ráfordítás többlet 68,6 millió Ft.</w:t>
      </w:r>
    </w:p>
    <w:p w14:paraId="31895C75" w14:textId="77777777" w:rsidR="00312D13" w:rsidRPr="006D32E3" w:rsidRDefault="00312D13" w:rsidP="00D70771">
      <w:pPr>
        <w:jc w:val="both"/>
        <w:rPr>
          <w:rFonts w:ascii="Calibri" w:eastAsia="Calibri" w:hAnsi="Calibri" w:cs="Calibri"/>
          <w:lang w:eastAsia="en-US"/>
        </w:rPr>
      </w:pPr>
    </w:p>
    <w:p w14:paraId="3FF67157" w14:textId="77777777" w:rsidR="00C77E4C" w:rsidRPr="00787AB7" w:rsidRDefault="009A1A77" w:rsidP="00C77E4C">
      <w:pPr>
        <w:jc w:val="both"/>
        <w:rPr>
          <w:rFonts w:ascii="Calibri" w:eastAsia="Calibri" w:hAnsi="Calibri" w:cs="Calibri"/>
          <w:b/>
          <w:lang w:eastAsia="en-US"/>
        </w:rPr>
      </w:pPr>
      <w:r w:rsidRPr="00787AB7">
        <w:rPr>
          <w:rFonts w:ascii="Calibri" w:eastAsia="Calibri" w:hAnsi="Calibri" w:cs="Calibri"/>
          <w:b/>
          <w:lang w:eastAsia="en-US"/>
        </w:rPr>
        <w:t>Az Autóbusz és Trolibusz Üzemeltetési Igazgatóság</w:t>
      </w:r>
    </w:p>
    <w:p w14:paraId="6C66DBC3" w14:textId="77777777" w:rsidR="00C77E4C" w:rsidRPr="00787AB7" w:rsidRDefault="00C77E4C" w:rsidP="00C77E4C">
      <w:pPr>
        <w:jc w:val="both"/>
        <w:rPr>
          <w:rFonts w:ascii="Calibri" w:eastAsia="Calibri" w:hAnsi="Calibri" w:cs="Calibri"/>
          <w:lang w:eastAsia="en-US"/>
        </w:rPr>
      </w:pPr>
    </w:p>
    <w:p w14:paraId="4109BAC8" w14:textId="132F487E" w:rsidR="00D70771" w:rsidRPr="00B57A0B" w:rsidRDefault="00D70771" w:rsidP="00D70771">
      <w:pPr>
        <w:jc w:val="both"/>
        <w:rPr>
          <w:rFonts w:ascii="Calibri" w:eastAsia="Calibri" w:hAnsi="Calibri" w:cs="Calibri"/>
          <w:lang w:eastAsia="en-US"/>
        </w:rPr>
      </w:pPr>
      <w:r w:rsidRPr="00B57A0B">
        <w:rPr>
          <w:rFonts w:ascii="Calibri" w:eastAsia="Calibri" w:hAnsi="Calibri" w:cs="Calibri"/>
          <w:lang w:eastAsia="en-US"/>
        </w:rPr>
        <w:t>A tervezett ráfordítás</w:t>
      </w:r>
      <w:r w:rsidR="00790053">
        <w:rPr>
          <w:rFonts w:ascii="Calibri" w:eastAsia="Calibri" w:hAnsi="Calibri" w:cs="Calibri"/>
          <w:lang w:eastAsia="en-US"/>
        </w:rPr>
        <w:t xml:space="preserve">-többletek </w:t>
      </w:r>
      <w:r w:rsidRPr="00B57A0B">
        <w:rPr>
          <w:rFonts w:ascii="Calibri" w:eastAsia="Calibri" w:hAnsi="Calibri" w:cs="Calibri"/>
          <w:lang w:eastAsia="en-US"/>
        </w:rPr>
        <w:t xml:space="preserve">az M3 </w:t>
      </w:r>
      <w:r w:rsidR="00790053">
        <w:rPr>
          <w:rFonts w:ascii="Calibri" w:eastAsia="Calibri" w:hAnsi="Calibri" w:cs="Calibri"/>
          <w:lang w:eastAsia="en-US"/>
        </w:rPr>
        <w:t>metró</w:t>
      </w:r>
      <w:r w:rsidRPr="00B57A0B">
        <w:rPr>
          <w:rFonts w:ascii="Calibri" w:eastAsia="Calibri" w:hAnsi="Calibri" w:cs="Calibri"/>
          <w:lang w:eastAsia="en-US"/>
        </w:rPr>
        <w:t xml:space="preserve">vonal pótlásához szükséges munkaerő foglalkoztatásával, </w:t>
      </w:r>
      <w:r>
        <w:rPr>
          <w:rFonts w:ascii="Calibri" w:eastAsia="Calibri" w:hAnsi="Calibri" w:cs="Calibri"/>
          <w:lang w:eastAsia="en-US"/>
        </w:rPr>
        <w:t xml:space="preserve">illetve a szükséges humánerőforrás </w:t>
      </w:r>
      <w:r w:rsidRPr="00B57A0B">
        <w:rPr>
          <w:rFonts w:ascii="Calibri" w:eastAsia="Calibri" w:hAnsi="Calibri" w:cs="Calibri"/>
          <w:lang w:eastAsia="en-US"/>
        </w:rPr>
        <w:t xml:space="preserve">megszerzésével kapcsolatosak. </w:t>
      </w:r>
      <w:r w:rsidR="002663D1">
        <w:rPr>
          <w:rFonts w:ascii="Calibri" w:eastAsia="Calibri" w:hAnsi="Calibri" w:cs="Calibri"/>
          <w:lang w:eastAsia="en-US"/>
        </w:rPr>
        <w:br/>
      </w:r>
      <w:r w:rsidRPr="00B57A0B">
        <w:rPr>
          <w:rFonts w:ascii="Calibri" w:eastAsia="Calibri" w:hAnsi="Calibri" w:cs="Calibri"/>
          <w:lang w:eastAsia="en-US"/>
        </w:rPr>
        <w:t xml:space="preserve">A teljes </w:t>
      </w:r>
      <w:r w:rsidR="00790053">
        <w:rPr>
          <w:rFonts w:ascii="Calibri" w:eastAsia="Calibri" w:hAnsi="Calibri" w:cs="Calibri"/>
          <w:lang w:eastAsia="en-US"/>
        </w:rPr>
        <w:t xml:space="preserve">forgalmi </w:t>
      </w:r>
      <w:r w:rsidRPr="00B57A0B">
        <w:rPr>
          <w:rFonts w:ascii="Calibri" w:eastAsia="Calibri" w:hAnsi="Calibri" w:cs="Calibri"/>
          <w:lang w:eastAsia="en-US"/>
        </w:rPr>
        <w:t>teljesítmény-változás</w:t>
      </w:r>
      <w:r>
        <w:rPr>
          <w:rFonts w:ascii="Calibri" w:eastAsia="Calibri" w:hAnsi="Calibri" w:cs="Calibri"/>
          <w:lang w:eastAsia="en-US"/>
        </w:rPr>
        <w:t xml:space="preserve"> </w:t>
      </w:r>
      <w:r w:rsidRPr="00B57A0B">
        <w:rPr>
          <w:rFonts w:ascii="Calibri" w:eastAsia="Calibri" w:hAnsi="Calibri" w:cs="Calibri"/>
          <w:lang w:eastAsia="en-US"/>
        </w:rPr>
        <w:t>2</w:t>
      </w:r>
      <w:r>
        <w:rPr>
          <w:rFonts w:ascii="Calibri" w:eastAsia="Calibri" w:hAnsi="Calibri" w:cs="Calibri"/>
          <w:lang w:eastAsia="en-US"/>
        </w:rPr>
        <w:t> 306,3</w:t>
      </w:r>
      <w:r w:rsidRPr="00B57A0B">
        <w:rPr>
          <w:rFonts w:ascii="Calibri" w:eastAsia="Calibri" w:hAnsi="Calibri" w:cs="Calibri"/>
          <w:lang w:eastAsia="en-US"/>
        </w:rPr>
        <w:t xml:space="preserve"> millió Ft ráfordítás többletet jelent.</w:t>
      </w:r>
    </w:p>
    <w:p w14:paraId="2D4F56B6" w14:textId="03EF78FF" w:rsidR="00D70771" w:rsidRPr="00B57A0B" w:rsidRDefault="00D70771" w:rsidP="00D70771">
      <w:pPr>
        <w:jc w:val="both"/>
        <w:rPr>
          <w:rFonts w:ascii="Calibri" w:eastAsia="Calibri" w:hAnsi="Calibri" w:cs="Calibri"/>
          <w:lang w:eastAsia="en-US"/>
        </w:rPr>
      </w:pPr>
      <w:r w:rsidRPr="00B57A0B">
        <w:rPr>
          <w:rFonts w:ascii="Calibri" w:eastAsia="Calibri" w:hAnsi="Calibri" w:cs="Calibri"/>
          <w:lang w:eastAsia="en-US"/>
        </w:rPr>
        <w:t xml:space="preserve">A járművezető tanulók </w:t>
      </w:r>
      <w:r>
        <w:rPr>
          <w:rFonts w:ascii="Calibri" w:eastAsia="Calibri" w:hAnsi="Calibri" w:cs="Calibri"/>
          <w:lang w:eastAsia="en-US"/>
        </w:rPr>
        <w:t>bázis értéket meghaladó</w:t>
      </w:r>
      <w:r w:rsidRPr="00B57A0B">
        <w:rPr>
          <w:rFonts w:ascii="Calibri" w:eastAsia="Calibri" w:hAnsi="Calibri" w:cs="Calibri"/>
          <w:lang w:eastAsia="en-US"/>
        </w:rPr>
        <w:t xml:space="preserve"> számának költségeire és a belső aj</w:t>
      </w:r>
      <w:r>
        <w:rPr>
          <w:rFonts w:ascii="Calibri" w:eastAsia="Calibri" w:hAnsi="Calibri" w:cs="Calibri"/>
          <w:lang w:eastAsia="en-US"/>
        </w:rPr>
        <w:t>ánlási rendszer működtetésére 63,7</w:t>
      </w:r>
      <w:r w:rsidRPr="00B57A0B">
        <w:rPr>
          <w:rFonts w:ascii="Calibri" w:eastAsia="Calibri" w:hAnsi="Calibri" w:cs="Calibri"/>
          <w:lang w:eastAsia="en-US"/>
        </w:rPr>
        <w:t xml:space="preserve"> millió Ft-ot, míg az OFA képzés többletére 86,5</w:t>
      </w:r>
      <w:r>
        <w:rPr>
          <w:rFonts w:ascii="Calibri" w:eastAsia="Calibri" w:hAnsi="Calibri" w:cs="Calibri"/>
          <w:lang w:eastAsia="en-US"/>
        </w:rPr>
        <w:t xml:space="preserve"> millió Ft-ot terveztünk.</w:t>
      </w:r>
      <w:r w:rsidDel="006D443E">
        <w:rPr>
          <w:rFonts w:ascii="Calibri" w:eastAsia="Calibri" w:hAnsi="Calibri" w:cs="Calibri"/>
          <w:lang w:eastAsia="en-US"/>
        </w:rPr>
        <w:t xml:space="preserve"> </w:t>
      </w:r>
      <w:r w:rsidRPr="00B57A0B">
        <w:rPr>
          <w:rFonts w:ascii="Calibri" w:eastAsia="Calibri" w:hAnsi="Calibri" w:cs="Calibri"/>
          <w:lang w:eastAsia="en-US"/>
        </w:rPr>
        <w:t>A hatékonyabb üzemanyag felhasználás elősegítésére, az üzemanyag meg</w:t>
      </w:r>
      <w:r>
        <w:rPr>
          <w:rFonts w:ascii="Calibri" w:eastAsia="Calibri" w:hAnsi="Calibri" w:cs="Calibri"/>
          <w:lang w:eastAsia="en-US"/>
        </w:rPr>
        <w:t>takarítás ösztönzésére 75,</w:t>
      </w:r>
      <w:r w:rsidR="00A51EB8">
        <w:rPr>
          <w:rFonts w:ascii="Calibri" w:eastAsia="Calibri" w:hAnsi="Calibri" w:cs="Calibri"/>
          <w:lang w:eastAsia="en-US"/>
        </w:rPr>
        <w:t>6</w:t>
      </w:r>
      <w:r w:rsidR="00A51EB8" w:rsidRPr="00B57A0B">
        <w:rPr>
          <w:rFonts w:ascii="Calibri" w:eastAsia="Calibri" w:hAnsi="Calibri" w:cs="Calibri"/>
          <w:lang w:eastAsia="en-US"/>
        </w:rPr>
        <w:t xml:space="preserve"> </w:t>
      </w:r>
      <w:r w:rsidRPr="00B57A0B">
        <w:rPr>
          <w:rFonts w:ascii="Calibri" w:eastAsia="Calibri" w:hAnsi="Calibri" w:cs="Calibri"/>
          <w:lang w:eastAsia="en-US"/>
        </w:rPr>
        <w:t xml:space="preserve">millió Ft többlet ráfordítás került </w:t>
      </w:r>
      <w:r w:rsidR="004B42C1">
        <w:rPr>
          <w:rFonts w:ascii="Calibri" w:eastAsia="Calibri" w:hAnsi="Calibri" w:cs="Calibri"/>
          <w:lang w:eastAsia="en-US"/>
        </w:rPr>
        <w:t xml:space="preserve">a </w:t>
      </w:r>
      <w:r w:rsidRPr="00B57A0B">
        <w:rPr>
          <w:rFonts w:ascii="Calibri" w:eastAsia="Calibri" w:hAnsi="Calibri" w:cs="Calibri"/>
          <w:lang w:eastAsia="en-US"/>
        </w:rPr>
        <w:t>terv</w:t>
      </w:r>
      <w:r w:rsidR="004B42C1">
        <w:rPr>
          <w:rFonts w:ascii="Calibri" w:eastAsia="Calibri" w:hAnsi="Calibri" w:cs="Calibri"/>
          <w:lang w:eastAsia="en-US"/>
        </w:rPr>
        <w:t>b</w:t>
      </w:r>
      <w:r w:rsidRPr="00B57A0B">
        <w:rPr>
          <w:rFonts w:ascii="Calibri" w:eastAsia="Calibri" w:hAnsi="Calibri" w:cs="Calibri"/>
          <w:lang w:eastAsia="en-US"/>
        </w:rPr>
        <w:t>e.</w:t>
      </w:r>
      <w:r>
        <w:rPr>
          <w:rFonts w:ascii="Calibri" w:eastAsia="Calibri" w:hAnsi="Calibri" w:cs="Calibri"/>
          <w:lang w:eastAsia="en-US"/>
        </w:rPr>
        <w:t xml:space="preserve"> </w:t>
      </w:r>
      <w:r w:rsidR="004B42C1">
        <w:rPr>
          <w:rFonts w:ascii="Calibri" w:eastAsia="Calibri" w:hAnsi="Calibri" w:cs="Calibri"/>
          <w:lang w:eastAsia="en-US"/>
        </w:rPr>
        <w:br/>
      </w:r>
      <w:r>
        <w:rPr>
          <w:rFonts w:ascii="Calibri" w:eastAsia="Calibri" w:hAnsi="Calibri" w:cs="Calibri"/>
          <w:lang w:eastAsia="en-US"/>
        </w:rPr>
        <w:t xml:space="preserve">A metrópótlási tevékenységhez szükséges járműállomány biztosítása érdekében – külön szerződéses konstrukcióval – 30 db </w:t>
      </w:r>
      <w:r w:rsidR="00790053">
        <w:rPr>
          <w:rFonts w:ascii="Calibri" w:eastAsia="Calibri" w:hAnsi="Calibri" w:cs="Calibri"/>
          <w:lang w:eastAsia="en-US"/>
        </w:rPr>
        <w:t xml:space="preserve">csuklós </w:t>
      </w:r>
      <w:r>
        <w:rPr>
          <w:rFonts w:ascii="Calibri" w:eastAsia="Calibri" w:hAnsi="Calibri" w:cs="Calibri"/>
          <w:lang w:eastAsia="en-US"/>
        </w:rPr>
        <w:t>autóbusz építését tervezzük, melynek</w:t>
      </w:r>
      <w:r w:rsidR="007A0BFA">
        <w:rPr>
          <w:rFonts w:ascii="Calibri" w:eastAsia="Calibri" w:hAnsi="Calibri" w:cs="Calibri"/>
          <w:lang w:eastAsia="en-US"/>
        </w:rPr>
        <w:t xml:space="preserve"> bevétellel fedezett</w:t>
      </w:r>
      <w:r>
        <w:rPr>
          <w:rFonts w:ascii="Calibri" w:eastAsia="Calibri" w:hAnsi="Calibri" w:cs="Calibri"/>
          <w:lang w:eastAsia="en-US"/>
        </w:rPr>
        <w:t xml:space="preserve"> </w:t>
      </w:r>
      <w:r w:rsidR="00790053">
        <w:rPr>
          <w:rFonts w:ascii="Calibri" w:eastAsia="Calibri" w:hAnsi="Calibri" w:cs="Calibri"/>
          <w:lang w:eastAsia="en-US"/>
        </w:rPr>
        <w:t xml:space="preserve">személy jellegű </w:t>
      </w:r>
      <w:r>
        <w:rPr>
          <w:rFonts w:ascii="Calibri" w:eastAsia="Calibri" w:hAnsi="Calibri" w:cs="Calibri"/>
          <w:lang w:eastAsia="en-US"/>
        </w:rPr>
        <w:t>ráfordításai 157</w:t>
      </w:r>
      <w:r w:rsidR="00790053">
        <w:rPr>
          <w:rFonts w:ascii="Calibri" w:eastAsia="Calibri" w:hAnsi="Calibri" w:cs="Calibri"/>
          <w:lang w:eastAsia="en-US"/>
        </w:rPr>
        <w:t> </w:t>
      </w:r>
      <w:r>
        <w:rPr>
          <w:rFonts w:ascii="Calibri" w:eastAsia="Calibri" w:hAnsi="Calibri" w:cs="Calibri"/>
          <w:lang w:eastAsia="en-US"/>
        </w:rPr>
        <w:t>millió</w:t>
      </w:r>
      <w:r w:rsidR="00790053">
        <w:rPr>
          <w:rFonts w:ascii="Calibri" w:eastAsia="Calibri" w:hAnsi="Calibri" w:cs="Calibri"/>
          <w:lang w:eastAsia="en-US"/>
        </w:rPr>
        <w:t> </w:t>
      </w:r>
      <w:r>
        <w:rPr>
          <w:rFonts w:ascii="Calibri" w:eastAsia="Calibri" w:hAnsi="Calibri" w:cs="Calibri"/>
          <w:lang w:eastAsia="en-US"/>
        </w:rPr>
        <w:t xml:space="preserve">Ft mértékben várhatóak. </w:t>
      </w:r>
    </w:p>
    <w:p w14:paraId="57BE459A" w14:textId="77777777" w:rsidR="00D70771" w:rsidRPr="00787AB7" w:rsidRDefault="00D70771" w:rsidP="00C77E4C">
      <w:pPr>
        <w:jc w:val="both"/>
        <w:rPr>
          <w:rFonts w:ascii="Calibri" w:eastAsia="Calibri" w:hAnsi="Calibri" w:cs="Calibri"/>
          <w:lang w:eastAsia="en-US"/>
        </w:rPr>
      </w:pPr>
    </w:p>
    <w:p w14:paraId="217B2BCC" w14:textId="77777777" w:rsidR="00C77E4C" w:rsidRPr="00787AB7" w:rsidRDefault="009A1A77" w:rsidP="00C77E4C">
      <w:pPr>
        <w:jc w:val="both"/>
        <w:rPr>
          <w:rFonts w:ascii="Calibri" w:eastAsia="Calibri" w:hAnsi="Calibri" w:cs="Calibri"/>
          <w:b/>
          <w:lang w:eastAsia="en-US"/>
        </w:rPr>
      </w:pPr>
      <w:r w:rsidRPr="00787AB7">
        <w:rPr>
          <w:rFonts w:ascii="Calibri" w:eastAsia="Calibri" w:hAnsi="Calibri" w:cs="Calibri"/>
          <w:b/>
          <w:lang w:eastAsia="en-US"/>
        </w:rPr>
        <w:t>Nem járműüzemeltetési szervezetek</w:t>
      </w:r>
    </w:p>
    <w:p w14:paraId="0D4BEC3B" w14:textId="77777777" w:rsidR="00C77E4C" w:rsidRPr="00787AB7" w:rsidRDefault="00C77E4C" w:rsidP="00C77E4C">
      <w:pPr>
        <w:jc w:val="both"/>
        <w:rPr>
          <w:rFonts w:ascii="Calibri" w:eastAsia="Calibri" w:hAnsi="Calibri" w:cs="Calibri"/>
          <w:b/>
          <w:lang w:eastAsia="en-US"/>
        </w:rPr>
      </w:pPr>
    </w:p>
    <w:p w14:paraId="34B252F9" w14:textId="77777777" w:rsidR="00D70771" w:rsidRPr="00B57A0B" w:rsidRDefault="00D70771" w:rsidP="00D70771">
      <w:pPr>
        <w:jc w:val="both"/>
        <w:rPr>
          <w:rFonts w:ascii="Calibri" w:eastAsia="Calibri" w:hAnsi="Calibri" w:cs="Calibri"/>
          <w:lang w:eastAsia="en-US"/>
        </w:rPr>
      </w:pPr>
      <w:r w:rsidRPr="00312D13">
        <w:rPr>
          <w:rFonts w:ascii="Calibri" w:eastAsia="Calibri" w:hAnsi="Calibri" w:cs="Calibri"/>
          <w:lang w:eastAsia="en-US"/>
        </w:rPr>
        <w:t xml:space="preserve">A Gazdasági Igazgatóságon az átszervezés hatására csökkenő létszám, valamint az </w:t>
      </w:r>
      <w:r w:rsidRPr="00B57A0B">
        <w:rPr>
          <w:rFonts w:ascii="Calibri" w:eastAsia="Calibri" w:hAnsi="Calibri" w:cs="Calibri"/>
          <w:lang w:eastAsia="en-US"/>
        </w:rPr>
        <w:t>informatikai területen megnövekvő feladatok együttes hatása 118,5 millió Ft ráfordítás csökkenést eredményez.</w:t>
      </w:r>
    </w:p>
    <w:p w14:paraId="3825F57F" w14:textId="77777777" w:rsidR="00D70771" w:rsidRPr="00812AB1" w:rsidRDefault="00D70771" w:rsidP="00D70771">
      <w:pPr>
        <w:jc w:val="both"/>
        <w:rPr>
          <w:rFonts w:eastAsia="Calibri" w:cs="Calibri"/>
        </w:rPr>
      </w:pPr>
    </w:p>
    <w:p w14:paraId="2347D737" w14:textId="77777777" w:rsidR="00D70771" w:rsidRPr="00B57A0B" w:rsidRDefault="00D70771" w:rsidP="00D70771">
      <w:pPr>
        <w:jc w:val="both"/>
        <w:rPr>
          <w:rFonts w:ascii="Calibri" w:eastAsia="Calibri" w:hAnsi="Calibri" w:cs="Calibri"/>
          <w:lang w:eastAsia="en-US"/>
        </w:rPr>
      </w:pPr>
      <w:r w:rsidRPr="00B57A0B">
        <w:rPr>
          <w:rFonts w:ascii="Calibri" w:eastAsia="Calibri" w:hAnsi="Calibri" w:cs="Calibri"/>
          <w:lang w:eastAsia="en-US"/>
        </w:rPr>
        <w:t>A Biztonsági Igazgatóságon a munkavédelemről szóló szabályozás változásának hatására több, teljes munkaidős munkavédelmi szakembert kell alkalmaznunk. A januári változás éves fedezeteként 50 millió Ft többlet költség került kalkulálásra.</w:t>
      </w:r>
    </w:p>
    <w:p w14:paraId="161816CD" w14:textId="77777777" w:rsidR="00D70771" w:rsidRPr="00812AB1" w:rsidRDefault="00D70771" w:rsidP="00D70771">
      <w:pPr>
        <w:jc w:val="both"/>
        <w:rPr>
          <w:rFonts w:eastAsia="Calibri" w:cs="Calibri"/>
        </w:rPr>
      </w:pPr>
    </w:p>
    <w:p w14:paraId="352F6454" w14:textId="77777777" w:rsidR="00D70771" w:rsidRPr="00B57A0B" w:rsidRDefault="00D70771" w:rsidP="00D70771">
      <w:pPr>
        <w:jc w:val="both"/>
        <w:rPr>
          <w:rFonts w:ascii="Calibri" w:eastAsia="Calibri" w:hAnsi="Calibri" w:cs="Calibri"/>
          <w:lang w:eastAsia="en-US"/>
        </w:rPr>
      </w:pPr>
      <w:r w:rsidRPr="00B57A0B">
        <w:rPr>
          <w:rFonts w:ascii="Calibri" w:eastAsia="Calibri" w:hAnsi="Calibri" w:cs="Calibri"/>
          <w:lang w:eastAsia="en-US"/>
        </w:rPr>
        <w:t xml:space="preserve">A 2017. június 1-jével megalakult </w:t>
      </w:r>
      <w:r w:rsidR="00F46C7C">
        <w:rPr>
          <w:rFonts w:ascii="Calibri" w:eastAsia="Calibri" w:hAnsi="Calibri" w:cs="Calibri"/>
          <w:lang w:eastAsia="en-US"/>
        </w:rPr>
        <w:t xml:space="preserve">a </w:t>
      </w:r>
      <w:r w:rsidRPr="00B57A0B">
        <w:rPr>
          <w:rFonts w:ascii="Calibri" w:eastAsia="Calibri" w:hAnsi="Calibri" w:cs="Calibri"/>
          <w:lang w:eastAsia="en-US"/>
        </w:rPr>
        <w:t>Stratégiai és Beszerzési Igazgatóság</w:t>
      </w:r>
      <w:r w:rsidR="004B42C1">
        <w:rPr>
          <w:rFonts w:ascii="Calibri" w:eastAsia="Calibri" w:hAnsi="Calibri" w:cs="Calibri"/>
          <w:lang w:eastAsia="en-US"/>
        </w:rPr>
        <w:t>, mely</w:t>
      </w:r>
      <w:r w:rsidR="00850842">
        <w:rPr>
          <w:rFonts w:ascii="Calibri" w:eastAsia="Calibri" w:hAnsi="Calibri" w:cs="Calibri"/>
          <w:lang w:eastAsia="en-US"/>
        </w:rPr>
        <w:t>nek</w:t>
      </w:r>
      <w:r w:rsidRPr="00B57A0B">
        <w:rPr>
          <w:rFonts w:ascii="Calibri" w:eastAsia="Calibri" w:hAnsi="Calibri" w:cs="Calibri"/>
          <w:lang w:eastAsia="en-US"/>
        </w:rPr>
        <w:t xml:space="preserve"> éves működéséhez 239,1 millió Ft ráfordítást terveztünk, ami döntően az igazgatóságok közötti átcsoportosítás hatása.</w:t>
      </w:r>
    </w:p>
    <w:p w14:paraId="7628CAA5" w14:textId="77777777" w:rsidR="00D70771" w:rsidRPr="00B57A0B" w:rsidRDefault="00D70771" w:rsidP="00D70771">
      <w:pPr>
        <w:jc w:val="both"/>
        <w:rPr>
          <w:rFonts w:ascii="Calibri" w:eastAsia="Calibri" w:hAnsi="Calibri" w:cs="Calibri"/>
          <w:lang w:eastAsia="en-US"/>
        </w:rPr>
      </w:pPr>
    </w:p>
    <w:p w14:paraId="50E1AC03" w14:textId="77777777" w:rsidR="007A0BFA" w:rsidRPr="007A0BFA" w:rsidRDefault="007A0BFA" w:rsidP="007A0BFA">
      <w:pPr>
        <w:jc w:val="both"/>
        <w:rPr>
          <w:rFonts w:ascii="Calibri" w:eastAsia="Calibri" w:hAnsi="Calibri" w:cs="Calibri"/>
          <w:lang w:eastAsia="en-US"/>
        </w:rPr>
      </w:pPr>
      <w:r w:rsidRPr="007A0BFA">
        <w:rPr>
          <w:rFonts w:ascii="Calibri" w:eastAsia="Calibri" w:hAnsi="Calibri" w:cs="Calibri"/>
          <w:lang w:eastAsia="en-US"/>
        </w:rPr>
        <w:t>A Metró Felújítási Projekt Igazgatóság a Fővárossal egyeztetett szintre emeli a létszámát.</w:t>
      </w:r>
      <w:r w:rsidRPr="007A0BFA">
        <w:rPr>
          <w:rFonts w:ascii="Calibri" w:eastAsia="Calibri" w:hAnsi="Calibri" w:cs="Calibri"/>
          <w:lang w:eastAsia="en-US"/>
        </w:rPr>
        <w:br/>
        <w:t>A DBR Metró Projekt Igazgatóság a bérköltségeinek csökkenésével kalkulál. A projekt szervezetek működési változásának együttes hatása 191,7 millió Ft személyi jellegű ráfordítás növekedést jelent, mely a bevételi oldalon is megjelenik, ezért a BKV Zrt szempontjából eredmény semleges változás.</w:t>
      </w:r>
    </w:p>
    <w:p w14:paraId="15F31DDF" w14:textId="1546E777" w:rsidR="00D70771" w:rsidRPr="00B57A0B" w:rsidRDefault="00D70771" w:rsidP="00D70771">
      <w:pPr>
        <w:jc w:val="both"/>
        <w:rPr>
          <w:rFonts w:ascii="Calibri" w:eastAsia="Calibri" w:hAnsi="Calibri" w:cs="Calibri"/>
          <w:lang w:eastAsia="en-US"/>
        </w:rPr>
      </w:pPr>
    </w:p>
    <w:p w14:paraId="2ACDA64A" w14:textId="77777777" w:rsidR="00D70771" w:rsidRPr="00B57A0B" w:rsidRDefault="00D70771" w:rsidP="00D70771">
      <w:pPr>
        <w:jc w:val="both"/>
        <w:rPr>
          <w:rFonts w:ascii="Calibri" w:eastAsia="Calibri" w:hAnsi="Calibri" w:cs="Calibri"/>
          <w:lang w:eastAsia="en-US"/>
        </w:rPr>
      </w:pPr>
    </w:p>
    <w:p w14:paraId="7AFB1401" w14:textId="77777777" w:rsidR="00D26F9A" w:rsidRPr="0056690E" w:rsidRDefault="00D26F9A">
      <w:pPr>
        <w:rPr>
          <w:rFonts w:ascii="Calibri" w:eastAsia="Calibri" w:hAnsi="Calibri" w:cs="Calibri"/>
          <w:color w:val="FF0000"/>
          <w:lang w:eastAsia="en-US"/>
        </w:rPr>
      </w:pPr>
      <w:r w:rsidRPr="0056690E">
        <w:rPr>
          <w:rFonts w:ascii="Calibri" w:eastAsia="Calibri" w:hAnsi="Calibri" w:cs="Calibri"/>
          <w:color w:val="FF0000"/>
          <w:lang w:eastAsia="en-US"/>
        </w:rPr>
        <w:br w:type="page"/>
      </w:r>
    </w:p>
    <w:p w14:paraId="3B6B6EBC" w14:textId="77777777" w:rsidR="00C77E4C" w:rsidRPr="00787AB7" w:rsidRDefault="009A1A77" w:rsidP="00C77E4C">
      <w:pPr>
        <w:jc w:val="both"/>
        <w:rPr>
          <w:rFonts w:ascii="Calibri" w:eastAsia="Calibri" w:hAnsi="Calibri" w:cs="Calibri"/>
          <w:lang w:eastAsia="en-US"/>
        </w:rPr>
      </w:pPr>
      <w:r w:rsidRPr="00787AB7">
        <w:rPr>
          <w:rFonts w:ascii="Calibri" w:eastAsia="Calibri" w:hAnsi="Calibri" w:cs="Calibri"/>
          <w:lang w:eastAsia="en-US"/>
        </w:rPr>
        <w:lastRenderedPageBreak/>
        <w:t>A személyi jellegű ráfordítások változásait az alábbi táblázat tartalmazza:</w:t>
      </w:r>
    </w:p>
    <w:p w14:paraId="255E5211" w14:textId="77777777" w:rsidR="00CD7284" w:rsidRPr="007A0BFA" w:rsidRDefault="00CD7284" w:rsidP="00F8263B">
      <w:pPr>
        <w:jc w:val="both"/>
        <w:rPr>
          <w:rFonts w:ascii="Calibri" w:eastAsia="Calibri" w:hAnsi="Calibri" w:cs="Calibri"/>
          <w:lang w:eastAsia="en-US"/>
        </w:rPr>
      </w:pPr>
    </w:p>
    <w:p w14:paraId="2E7F1A83" w14:textId="559A03A5" w:rsidR="00CD7284" w:rsidRPr="007A0BFA" w:rsidRDefault="007A0BFA" w:rsidP="00F8263B">
      <w:pPr>
        <w:jc w:val="both"/>
        <w:rPr>
          <w:rFonts w:ascii="Calibri" w:eastAsia="Calibri" w:hAnsi="Calibri" w:cs="Calibri"/>
          <w:lang w:eastAsia="en-US"/>
        </w:rPr>
      </w:pPr>
      <w:r w:rsidRPr="00780750">
        <w:rPr>
          <w:rFonts w:eastAsia="Calibri"/>
          <w:noProof/>
        </w:rPr>
        <w:drawing>
          <wp:inline distT="0" distB="0" distL="0" distR="0" wp14:anchorId="108AC5AF" wp14:editId="34CE3973">
            <wp:extent cx="5759450" cy="4859219"/>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859219"/>
                    </a:xfrm>
                    <a:prstGeom prst="rect">
                      <a:avLst/>
                    </a:prstGeom>
                    <a:noFill/>
                    <a:ln>
                      <a:noFill/>
                    </a:ln>
                  </pic:spPr>
                </pic:pic>
              </a:graphicData>
            </a:graphic>
          </wp:inline>
        </w:drawing>
      </w:r>
    </w:p>
    <w:p w14:paraId="1B35A7D4" w14:textId="78080C42" w:rsidR="00754936" w:rsidRPr="007A0BFA" w:rsidRDefault="00754936" w:rsidP="00F8263B">
      <w:pPr>
        <w:jc w:val="both"/>
        <w:rPr>
          <w:rFonts w:ascii="Calibri" w:eastAsia="Calibri" w:hAnsi="Calibri" w:cs="Calibri"/>
          <w:lang w:eastAsia="en-US"/>
        </w:rPr>
      </w:pPr>
    </w:p>
    <w:p w14:paraId="74741FF8" w14:textId="77777777" w:rsidR="002032D1" w:rsidRPr="007A0BFA" w:rsidRDefault="002032D1" w:rsidP="00F8263B">
      <w:pPr>
        <w:jc w:val="both"/>
        <w:rPr>
          <w:rFonts w:ascii="Calibri" w:eastAsia="Calibri" w:hAnsi="Calibri" w:cs="Calibri"/>
          <w:lang w:eastAsia="en-US"/>
        </w:rPr>
      </w:pPr>
    </w:p>
    <w:p w14:paraId="25FB5087" w14:textId="77777777" w:rsidR="002032D1" w:rsidRPr="007A0BFA" w:rsidRDefault="002032D1" w:rsidP="00F8263B">
      <w:pPr>
        <w:jc w:val="both"/>
        <w:rPr>
          <w:rFonts w:ascii="Calibri" w:eastAsia="Calibri" w:hAnsi="Calibri" w:cs="Calibri"/>
          <w:lang w:eastAsia="en-US"/>
        </w:rPr>
      </w:pPr>
    </w:p>
    <w:p w14:paraId="354D0005" w14:textId="77777777" w:rsidR="003609C4" w:rsidRPr="00787AB7" w:rsidRDefault="009A1A77" w:rsidP="00AD64AD">
      <w:pPr>
        <w:pStyle w:val="Cmsor3"/>
        <w:tabs>
          <w:tab w:val="clear" w:pos="2007"/>
        </w:tabs>
        <w:ind w:left="0" w:firstLine="0"/>
        <w:rPr>
          <w:rFonts w:asciiTheme="minorHAnsi" w:hAnsiTheme="minorHAnsi" w:cstheme="minorHAnsi"/>
          <w:bCs w:val="0"/>
        </w:rPr>
      </w:pPr>
      <w:bookmarkStart w:id="65" w:name="_Toc512409630"/>
      <w:r w:rsidRPr="00787AB7">
        <w:rPr>
          <w:rFonts w:asciiTheme="minorHAnsi" w:hAnsiTheme="minorHAnsi" w:cstheme="minorHAnsi"/>
          <w:bCs w:val="0"/>
        </w:rPr>
        <w:t>- Egyéb ráfordítások</w:t>
      </w:r>
      <w:bookmarkEnd w:id="65"/>
    </w:p>
    <w:p w14:paraId="66068366" w14:textId="77777777" w:rsidR="0024712B" w:rsidRPr="00787AB7" w:rsidRDefault="0024712B" w:rsidP="0024712B">
      <w:pPr>
        <w:pStyle w:val="Lista3"/>
      </w:pPr>
    </w:p>
    <w:p w14:paraId="22EBDA1D" w14:textId="15974437" w:rsidR="004B752F" w:rsidRDefault="009A1A77" w:rsidP="00787AB7">
      <w:pPr>
        <w:autoSpaceDE w:val="0"/>
        <w:autoSpaceDN w:val="0"/>
        <w:adjustRightInd w:val="0"/>
        <w:jc w:val="both"/>
        <w:rPr>
          <w:rFonts w:asciiTheme="minorHAnsi" w:hAnsiTheme="minorHAnsi" w:cstheme="minorHAnsi"/>
        </w:rPr>
      </w:pPr>
      <w:bookmarkStart w:id="66" w:name="_Toc443317918"/>
      <w:bookmarkStart w:id="67" w:name="_Toc465246391"/>
      <w:r w:rsidRPr="00787AB7">
        <w:rPr>
          <w:rFonts w:asciiTheme="minorHAnsi" w:hAnsiTheme="minorHAnsi" w:cstheme="minorHAnsi"/>
        </w:rPr>
        <w:t xml:space="preserve">Az </w:t>
      </w:r>
      <w:r w:rsidRPr="00787AB7">
        <w:rPr>
          <w:rFonts w:asciiTheme="minorHAnsi" w:hAnsiTheme="minorHAnsi" w:cstheme="minorHAnsi"/>
          <w:b/>
        </w:rPr>
        <w:t>egyéb ráfordítások</w:t>
      </w:r>
      <w:r w:rsidRPr="00787AB7">
        <w:rPr>
          <w:rFonts w:asciiTheme="minorHAnsi" w:hAnsiTheme="minorHAnsi" w:cstheme="minorHAnsi"/>
        </w:rPr>
        <w:t xml:space="preserve"> között a</w:t>
      </w:r>
      <w:r w:rsidR="00AD4AA1">
        <w:rPr>
          <w:rFonts w:asciiTheme="minorHAnsi" w:hAnsiTheme="minorHAnsi" w:cstheme="minorHAnsi"/>
        </w:rPr>
        <w:t xml:space="preserve"> Stadionok Irodaház</w:t>
      </w:r>
      <w:r w:rsidR="00421DB4">
        <w:rPr>
          <w:rFonts w:asciiTheme="minorHAnsi" w:hAnsiTheme="minorHAnsi" w:cstheme="minorHAnsi"/>
        </w:rPr>
        <w:t>, illetve egyéb kisebb értékű ingatlanok kivezetési értéke miatt figyelhető meg jelentősebb</w:t>
      </w:r>
      <w:r w:rsidR="004B42C1">
        <w:rPr>
          <w:rFonts w:asciiTheme="minorHAnsi" w:hAnsiTheme="minorHAnsi" w:cstheme="minorHAnsi"/>
        </w:rPr>
        <w:t>,</w:t>
      </w:r>
      <w:r w:rsidR="00421DB4">
        <w:rPr>
          <w:rFonts w:asciiTheme="minorHAnsi" w:hAnsiTheme="minorHAnsi" w:cstheme="minorHAnsi"/>
        </w:rPr>
        <w:t xml:space="preserve"> 233 millió Ft-os növekedés</w:t>
      </w:r>
      <w:r w:rsidR="004B42C1">
        <w:rPr>
          <w:rFonts w:asciiTheme="minorHAnsi" w:hAnsiTheme="minorHAnsi" w:cstheme="minorHAnsi"/>
        </w:rPr>
        <w:t xml:space="preserve"> a tárgyi eszközök értékesítésének kivezetésével kapcsolatban jelentkező ráfordításoknál</w:t>
      </w:r>
      <w:r w:rsidR="00421DB4">
        <w:rPr>
          <w:rFonts w:asciiTheme="minorHAnsi" w:hAnsiTheme="minorHAnsi" w:cstheme="minorHAnsi"/>
        </w:rPr>
        <w:t xml:space="preserve">. </w:t>
      </w:r>
      <w:r w:rsidR="00EB7BD8">
        <w:rPr>
          <w:rFonts w:asciiTheme="minorHAnsi" w:hAnsiTheme="minorHAnsi" w:cstheme="minorHAnsi"/>
        </w:rPr>
        <w:t xml:space="preserve">Ezzel szemben viszont </w:t>
      </w:r>
      <w:r w:rsidR="00421DB4">
        <w:rPr>
          <w:rFonts w:asciiTheme="minorHAnsi" w:hAnsiTheme="minorHAnsi" w:cstheme="minorHAnsi"/>
        </w:rPr>
        <w:t xml:space="preserve">a DBR </w:t>
      </w:r>
      <w:r w:rsidR="00C0354F">
        <w:rPr>
          <w:rFonts w:asciiTheme="minorHAnsi" w:hAnsiTheme="minorHAnsi" w:cstheme="minorHAnsi"/>
        </w:rPr>
        <w:t xml:space="preserve">térítés nélküli </w:t>
      </w:r>
      <w:r w:rsidR="00421DB4">
        <w:rPr>
          <w:rFonts w:asciiTheme="minorHAnsi" w:hAnsiTheme="minorHAnsi" w:cstheme="minorHAnsi"/>
        </w:rPr>
        <w:t>átadás</w:t>
      </w:r>
      <w:r w:rsidR="006233CD">
        <w:rPr>
          <w:rFonts w:asciiTheme="minorHAnsi" w:hAnsiTheme="minorHAnsi" w:cstheme="minorHAnsi"/>
        </w:rPr>
        <w:t>ának</w:t>
      </w:r>
      <w:r w:rsidR="00E607C1">
        <w:rPr>
          <w:rFonts w:asciiTheme="minorHAnsi" w:hAnsiTheme="minorHAnsi" w:cstheme="minorHAnsi"/>
        </w:rPr>
        <w:t xml:space="preserve"> 2 566 millió Ft-os értéke</w:t>
      </w:r>
      <w:r w:rsidR="006233CD">
        <w:rPr>
          <w:rFonts w:asciiTheme="minorHAnsi" w:hAnsiTheme="minorHAnsi" w:cstheme="minorHAnsi"/>
        </w:rPr>
        <w:t xml:space="preserve"> kivezetésre</w:t>
      </w:r>
      <w:r w:rsidR="00E607C1">
        <w:rPr>
          <w:rFonts w:asciiTheme="minorHAnsi" w:hAnsiTheme="minorHAnsi" w:cstheme="minorHAnsi"/>
        </w:rPr>
        <w:t xml:space="preserve"> </w:t>
      </w:r>
      <w:r w:rsidR="00C0354F">
        <w:rPr>
          <w:rFonts w:asciiTheme="minorHAnsi" w:hAnsiTheme="minorHAnsi" w:cstheme="minorHAnsi"/>
        </w:rPr>
        <w:t>került</w:t>
      </w:r>
      <w:r w:rsidR="00E607C1">
        <w:rPr>
          <w:rFonts w:asciiTheme="minorHAnsi" w:hAnsiTheme="minorHAnsi" w:cstheme="minorHAnsi"/>
        </w:rPr>
        <w:t>.</w:t>
      </w:r>
      <w:r w:rsidR="00C0354F">
        <w:rPr>
          <w:rFonts w:asciiTheme="minorHAnsi" w:hAnsiTheme="minorHAnsi" w:cstheme="minorHAnsi"/>
        </w:rPr>
        <w:t xml:space="preserve"> </w:t>
      </w:r>
      <w:r w:rsidR="006233CD">
        <w:rPr>
          <w:rFonts w:asciiTheme="minorHAnsi" w:hAnsiTheme="minorHAnsi" w:cstheme="minorHAnsi"/>
        </w:rPr>
        <w:t xml:space="preserve">Az Üzleti Terv nem tartalmaz M3 projekt selejtezéshez kötődő ráfordítást, mivel a várakozások szerint a rekonstrukció során feleslegessé váló eszközök értékét hasznos élettartam felülvizsgálattal, értékcsökkenés formájában írja le a Társaság. </w:t>
      </w:r>
      <w:r w:rsidR="00C0354F">
        <w:rPr>
          <w:rFonts w:asciiTheme="minorHAnsi" w:hAnsiTheme="minorHAnsi" w:cstheme="minorHAnsi"/>
        </w:rPr>
        <w:t>Tekintettel arra, hogy a DBR</w:t>
      </w:r>
      <w:r w:rsidR="00B302FD">
        <w:rPr>
          <w:rFonts w:asciiTheme="minorHAnsi" w:hAnsiTheme="minorHAnsi" w:cstheme="minorHAnsi"/>
        </w:rPr>
        <w:t>-nél felmerülő</w:t>
      </w:r>
      <w:r w:rsidR="00C0354F">
        <w:rPr>
          <w:rFonts w:asciiTheme="minorHAnsi" w:hAnsiTheme="minorHAnsi" w:cstheme="minorHAnsi"/>
        </w:rPr>
        <w:t xml:space="preserve"> térítés nélküli átadás fen</w:t>
      </w:r>
      <w:r w:rsidR="004B42C1">
        <w:rPr>
          <w:rFonts w:asciiTheme="minorHAnsi" w:hAnsiTheme="minorHAnsi" w:cstheme="minorHAnsi"/>
        </w:rPr>
        <w:t>n</w:t>
      </w:r>
      <w:r w:rsidR="00C0354F">
        <w:rPr>
          <w:rFonts w:asciiTheme="minorHAnsi" w:hAnsiTheme="minorHAnsi" w:cstheme="minorHAnsi"/>
        </w:rPr>
        <w:t>maradó részéről még folyamatban vannak az egyeztetések, ezt a 2018. évi Üzleti Terv nem tartalmazza.</w:t>
      </w:r>
    </w:p>
    <w:p w14:paraId="2E486FA9" w14:textId="1A5D27F8" w:rsidR="004B752F" w:rsidRPr="007A0BFA" w:rsidRDefault="00C0354F" w:rsidP="00787AB7">
      <w:pPr>
        <w:autoSpaceDE w:val="0"/>
        <w:autoSpaceDN w:val="0"/>
        <w:adjustRightInd w:val="0"/>
        <w:jc w:val="both"/>
        <w:rPr>
          <w:rFonts w:asciiTheme="minorHAnsi" w:hAnsiTheme="minorHAnsi" w:cstheme="minorHAnsi"/>
          <w:b/>
          <w:u w:val="single"/>
        </w:rPr>
      </w:pPr>
      <w:r>
        <w:rPr>
          <w:rFonts w:asciiTheme="minorHAnsi" w:hAnsiTheme="minorHAnsi" w:cstheme="minorHAnsi"/>
        </w:rPr>
        <w:t xml:space="preserve"> </w:t>
      </w:r>
      <w:bookmarkEnd w:id="66"/>
      <w:bookmarkEnd w:id="67"/>
    </w:p>
    <w:p w14:paraId="2BF07C44" w14:textId="77777777" w:rsidR="006233CD" w:rsidRDefault="006233CD">
      <w:pPr>
        <w:rPr>
          <w:rFonts w:asciiTheme="minorHAnsi" w:hAnsiTheme="minorHAnsi" w:cstheme="minorHAnsi"/>
          <w:b/>
          <w:u w:val="single"/>
        </w:rPr>
      </w:pPr>
      <w:r>
        <w:br w:type="page"/>
      </w:r>
    </w:p>
    <w:p w14:paraId="43DBF653" w14:textId="77777777" w:rsidR="00DA4CF8" w:rsidRPr="0056690E" w:rsidRDefault="00DA4CF8" w:rsidP="001E0F17">
      <w:pPr>
        <w:pStyle w:val="Cmsor2"/>
      </w:pPr>
      <w:bookmarkStart w:id="68" w:name="_Toc512409631"/>
      <w:r w:rsidRPr="0056690E">
        <w:lastRenderedPageBreak/>
        <w:t>II/2. Szervezeti költségek alakulása</w:t>
      </w:r>
      <w:bookmarkEnd w:id="68"/>
    </w:p>
    <w:p w14:paraId="68859BC7" w14:textId="77777777" w:rsidR="00DA4CF8" w:rsidRPr="0056690E" w:rsidRDefault="00DA4CF8" w:rsidP="00DA4CF8">
      <w:pPr>
        <w:pStyle w:val="Lista3"/>
        <w:rPr>
          <w:color w:val="FF0000"/>
        </w:rPr>
      </w:pPr>
    </w:p>
    <w:p w14:paraId="68B60206" w14:textId="77777777" w:rsidR="003609C4" w:rsidRPr="0056690E" w:rsidRDefault="003609C4" w:rsidP="001E0F17">
      <w:pPr>
        <w:pStyle w:val="Cmsor2"/>
      </w:pPr>
      <w:bookmarkStart w:id="69" w:name="_Toc443317915"/>
      <w:bookmarkStart w:id="70" w:name="_Toc465246388"/>
      <w:bookmarkStart w:id="71" w:name="_Toc512409632"/>
      <w:r w:rsidRPr="0056690E">
        <w:t>Anyagköltség és igénybevett szolgáltatások változása</w:t>
      </w:r>
      <w:bookmarkEnd w:id="69"/>
      <w:bookmarkEnd w:id="70"/>
      <w:bookmarkEnd w:id="71"/>
    </w:p>
    <w:p w14:paraId="29788D21" w14:textId="77777777" w:rsidR="003609C4" w:rsidRPr="0056690E" w:rsidRDefault="003609C4" w:rsidP="003609C4">
      <w:pPr>
        <w:jc w:val="both"/>
        <w:rPr>
          <w:rFonts w:asciiTheme="minorHAnsi" w:hAnsiTheme="minorHAnsi" w:cstheme="minorHAnsi"/>
          <w:color w:val="FF0000"/>
        </w:rPr>
      </w:pPr>
    </w:p>
    <w:p w14:paraId="10CAE283" w14:textId="77777777" w:rsidR="00EA6532" w:rsidRPr="00EA6532" w:rsidRDefault="00EA6532" w:rsidP="00EA6532">
      <w:pPr>
        <w:jc w:val="both"/>
        <w:rPr>
          <w:rFonts w:ascii="Calibri" w:eastAsia="Calibri" w:hAnsi="Calibri" w:cs="Calibri"/>
          <w:lang w:eastAsia="en-US"/>
        </w:rPr>
      </w:pPr>
      <w:bookmarkStart w:id="72" w:name="_Toc443317908"/>
      <w:bookmarkStart w:id="73" w:name="_Toc465246378"/>
      <w:r w:rsidRPr="00EA6532">
        <w:rPr>
          <w:rFonts w:ascii="Calibri" w:eastAsia="Calibri" w:hAnsi="Calibri" w:cs="Calibri"/>
          <w:lang w:eastAsia="en-US"/>
        </w:rPr>
        <w:t xml:space="preserve">A 2018. évi gazdálkodási költségkertek, illetve címzett keretek gerincét képező anyagjellegű ráfordításoknál megjelenő többletekkel szemben, a Társaság felé megfogalmazott hatékonyságjavítási elvárásoknak megfelelően, a BKV Zrt. </w:t>
      </w:r>
      <w:r w:rsidRPr="00EA6532">
        <w:rPr>
          <w:rFonts w:ascii="Calibri" w:eastAsia="Calibri" w:hAnsi="Calibri" w:cs="Calibri"/>
          <w:b/>
          <w:lang w:eastAsia="en-US"/>
        </w:rPr>
        <w:t>mindössze 1 105 millió Ft-tal magasabb</w:t>
      </w:r>
      <w:r w:rsidRPr="00EA6532">
        <w:rPr>
          <w:rFonts w:ascii="Calibri" w:eastAsia="Calibri" w:hAnsi="Calibri" w:cs="Calibri"/>
          <w:lang w:eastAsia="en-US"/>
        </w:rPr>
        <w:t xml:space="preserve"> anyagjellegű ráfordításokat épített be Üzleti Tervébe. A többletköltség jellemzően szerződéses kötelezettség, illetve a törvényi előírásoknak való megfelelés okán felmerülő költségek hatására alakult ki. </w:t>
      </w:r>
    </w:p>
    <w:p w14:paraId="526085EB" w14:textId="02D312FD" w:rsidR="00EA6532" w:rsidRPr="00EA6532" w:rsidRDefault="00EA6532" w:rsidP="00EA6532">
      <w:pPr>
        <w:jc w:val="both"/>
        <w:rPr>
          <w:rFonts w:ascii="Calibri" w:eastAsia="Calibri" w:hAnsi="Calibri" w:cs="Calibri"/>
          <w:lang w:eastAsia="en-US"/>
        </w:rPr>
      </w:pPr>
      <w:r w:rsidRPr="00EA6532">
        <w:rPr>
          <w:rFonts w:ascii="Calibri" w:eastAsia="Calibri" w:hAnsi="Calibri" w:cs="Calibri"/>
          <w:lang w:eastAsia="en-US"/>
        </w:rPr>
        <w:t xml:space="preserve">Az alábbiakban </w:t>
      </w:r>
      <w:r w:rsidR="00D53650" w:rsidRPr="00EA6532">
        <w:rPr>
          <w:rFonts w:ascii="Calibri" w:eastAsia="Calibri" w:hAnsi="Calibri" w:cs="Calibri"/>
          <w:lang w:eastAsia="en-US"/>
        </w:rPr>
        <w:t xml:space="preserve">bemutatásra </w:t>
      </w:r>
      <w:r w:rsidRPr="00EA6532">
        <w:rPr>
          <w:rFonts w:ascii="Calibri" w:eastAsia="Calibri" w:hAnsi="Calibri" w:cs="Calibri"/>
          <w:lang w:eastAsia="en-US"/>
        </w:rPr>
        <w:t xml:space="preserve">kerülnek a 2018. évben jelentkező </w:t>
      </w:r>
      <w:r w:rsidR="00D53650">
        <w:rPr>
          <w:rFonts w:ascii="Calibri" w:eastAsia="Calibri" w:hAnsi="Calibri" w:cs="Calibri"/>
          <w:lang w:eastAsia="en-US"/>
        </w:rPr>
        <w:t xml:space="preserve">kiemelt </w:t>
      </w:r>
      <w:r w:rsidRPr="00EA6532">
        <w:rPr>
          <w:rFonts w:ascii="Calibri" w:eastAsia="Calibri" w:hAnsi="Calibri" w:cs="Calibri"/>
          <w:lang w:eastAsia="en-US"/>
        </w:rPr>
        <w:t>többletfeladatok és azok költségei:</w:t>
      </w:r>
    </w:p>
    <w:p w14:paraId="5BFE6967" w14:textId="77777777" w:rsidR="00EA6532" w:rsidRPr="00EA6532" w:rsidRDefault="00EA6532" w:rsidP="00EA6532">
      <w:pPr>
        <w:numPr>
          <w:ilvl w:val="0"/>
          <w:numId w:val="26"/>
        </w:numPr>
        <w:spacing w:after="160" w:line="259" w:lineRule="auto"/>
        <w:contextualSpacing/>
        <w:jc w:val="both"/>
        <w:rPr>
          <w:rFonts w:ascii="Calibri" w:eastAsia="Calibri" w:hAnsi="Calibri"/>
          <w:lang w:eastAsia="en-US"/>
        </w:rPr>
      </w:pPr>
      <w:r w:rsidRPr="00EA6532">
        <w:rPr>
          <w:rFonts w:ascii="Calibri" w:eastAsia="Calibri" w:hAnsi="Calibri" w:cs="Calibri"/>
          <w:lang w:eastAsia="en-US"/>
        </w:rPr>
        <w:t xml:space="preserve">2017. március 1-től új </w:t>
      </w:r>
      <w:r w:rsidRPr="00EA6532">
        <w:rPr>
          <w:rFonts w:ascii="Calibri" w:eastAsia="Calibri" w:hAnsi="Calibri" w:cs="Calibri"/>
          <w:b/>
          <w:lang w:eastAsia="en-US"/>
        </w:rPr>
        <w:t>takarítási</w:t>
      </w:r>
      <w:r w:rsidRPr="00EA6532">
        <w:rPr>
          <w:rFonts w:ascii="Calibri" w:eastAsia="Calibri" w:hAnsi="Calibri" w:cs="Calibri"/>
          <w:lang w:eastAsia="en-US"/>
        </w:rPr>
        <w:t xml:space="preserve"> szerződés lépett életbe, melyben a vállalkozó magasabb áron tett vállalást a takarítási feladatok elvégzésére. Ennek áthúzódó hatása mellett tartalmában is bővültek a 2018. évre elvégzendő feladatok, melyek összességében a ráfordítandó összegek 365 millió Ft-os emelkedését eredményezik</w:t>
      </w:r>
      <w:r w:rsidRPr="00EA6532">
        <w:rPr>
          <w:rFonts w:ascii="Calibri" w:eastAsia="Calibri" w:hAnsi="Calibri"/>
          <w:lang w:eastAsia="en-US"/>
        </w:rPr>
        <w:t>;</w:t>
      </w:r>
    </w:p>
    <w:p w14:paraId="4A1E76E0" w14:textId="5955656C" w:rsidR="00EA6532" w:rsidRPr="00EA6532" w:rsidRDefault="00EA6532" w:rsidP="00EA6532">
      <w:pPr>
        <w:numPr>
          <w:ilvl w:val="0"/>
          <w:numId w:val="26"/>
        </w:numPr>
        <w:spacing w:after="160" w:line="259" w:lineRule="auto"/>
        <w:contextualSpacing/>
        <w:jc w:val="both"/>
        <w:rPr>
          <w:rFonts w:ascii="Calibri" w:eastAsia="Calibri" w:hAnsi="Calibri"/>
          <w:lang w:eastAsia="en-US"/>
        </w:rPr>
      </w:pPr>
      <w:r w:rsidRPr="00EA6532">
        <w:rPr>
          <w:rFonts w:ascii="Calibri" w:eastAsia="Calibri" w:hAnsi="Calibri"/>
          <w:lang w:eastAsia="en-US"/>
        </w:rPr>
        <w:t xml:space="preserve">Törvényi előírásnak megfelelően, illetve az őrzött területek számának és jellegének változásából fakadóan 408 millió Ft többletráfordítást igényelnek a </w:t>
      </w:r>
      <w:r w:rsidRPr="00787AB7">
        <w:rPr>
          <w:rFonts w:ascii="Calibri" w:eastAsia="Calibri" w:hAnsi="Calibri"/>
          <w:lang w:eastAsia="en-US"/>
        </w:rPr>
        <w:t>Biztonság</w:t>
      </w:r>
      <w:r w:rsidRPr="00D53650">
        <w:rPr>
          <w:rFonts w:ascii="Calibri" w:eastAsia="Calibri" w:hAnsi="Calibri"/>
          <w:lang w:eastAsia="en-US"/>
        </w:rPr>
        <w:t>i</w:t>
      </w:r>
      <w:r w:rsidRPr="00EA6532">
        <w:rPr>
          <w:rFonts w:ascii="Calibri" w:eastAsia="Calibri" w:hAnsi="Calibri"/>
          <w:lang w:eastAsia="en-US"/>
        </w:rPr>
        <w:t xml:space="preserve"> Igazgatóság által ellátott </w:t>
      </w:r>
      <w:r w:rsidR="00D53650" w:rsidRPr="00787AB7">
        <w:rPr>
          <w:rFonts w:ascii="Calibri" w:eastAsia="Calibri" w:hAnsi="Calibri"/>
          <w:b/>
          <w:lang w:eastAsia="en-US"/>
        </w:rPr>
        <w:t>vagyonőrzési</w:t>
      </w:r>
      <w:r w:rsidR="00D53650">
        <w:rPr>
          <w:rFonts w:ascii="Calibri" w:eastAsia="Calibri" w:hAnsi="Calibri"/>
          <w:lang w:eastAsia="en-US"/>
        </w:rPr>
        <w:t xml:space="preserve"> </w:t>
      </w:r>
      <w:r w:rsidRPr="00EA6532">
        <w:rPr>
          <w:rFonts w:ascii="Calibri" w:eastAsia="Calibri" w:hAnsi="Calibri"/>
          <w:lang w:eastAsia="en-US"/>
        </w:rPr>
        <w:t xml:space="preserve">feladatok. </w:t>
      </w:r>
    </w:p>
    <w:p w14:paraId="0DC33CC8" w14:textId="75C41990" w:rsidR="00EA6532" w:rsidRPr="00EA6532" w:rsidRDefault="00EA6532" w:rsidP="00EA6532">
      <w:pPr>
        <w:numPr>
          <w:ilvl w:val="0"/>
          <w:numId w:val="26"/>
        </w:numPr>
        <w:spacing w:after="160" w:line="259" w:lineRule="auto"/>
        <w:contextualSpacing/>
        <w:jc w:val="both"/>
        <w:rPr>
          <w:rFonts w:ascii="Calibri" w:eastAsia="Calibri" w:hAnsi="Calibri"/>
          <w:lang w:eastAsia="en-US"/>
        </w:rPr>
      </w:pPr>
      <w:r w:rsidRPr="00EA6532">
        <w:rPr>
          <w:rFonts w:ascii="Calibri" w:eastAsia="Calibri" w:hAnsi="Calibri"/>
          <w:lang w:eastAsia="en-US"/>
        </w:rPr>
        <w:t xml:space="preserve">A </w:t>
      </w:r>
      <w:r w:rsidRPr="00EA6532">
        <w:rPr>
          <w:rFonts w:ascii="Calibri" w:eastAsia="Calibri" w:hAnsi="Calibri"/>
          <w:b/>
          <w:lang w:eastAsia="en-US"/>
        </w:rPr>
        <w:t xml:space="preserve">Fővárosi Közbeszerzési Lebonyolító és Minőségbiztosító Kft-nek </w:t>
      </w:r>
      <w:r w:rsidRPr="00EA6532">
        <w:rPr>
          <w:rFonts w:ascii="Calibri" w:eastAsia="Calibri" w:hAnsi="Calibri"/>
          <w:lang w:eastAsia="en-US"/>
        </w:rPr>
        <w:t>történő kifizetések</w:t>
      </w:r>
      <w:r w:rsidR="00D53650">
        <w:rPr>
          <w:rFonts w:ascii="Calibri" w:eastAsia="Calibri" w:hAnsi="Calibri"/>
          <w:lang w:eastAsia="en-US"/>
        </w:rPr>
        <w:t>re</w:t>
      </w:r>
      <w:r w:rsidRPr="00EA6532">
        <w:rPr>
          <w:rFonts w:ascii="Calibri" w:eastAsia="Calibri" w:hAnsi="Calibri"/>
          <w:lang w:eastAsia="en-US"/>
        </w:rPr>
        <w:t xml:space="preserve"> </w:t>
      </w:r>
      <w:r w:rsidR="00D53650">
        <w:rPr>
          <w:rFonts w:ascii="Calibri" w:eastAsia="Calibri" w:hAnsi="Calibri"/>
          <w:lang w:eastAsia="en-US"/>
        </w:rPr>
        <w:t>az előző</w:t>
      </w:r>
      <w:r w:rsidRPr="00EA6532">
        <w:rPr>
          <w:rFonts w:ascii="Calibri" w:eastAsia="Calibri" w:hAnsi="Calibri"/>
          <w:lang w:eastAsia="en-US"/>
        </w:rPr>
        <w:t xml:space="preserve"> év</w:t>
      </w:r>
      <w:r w:rsidR="00D53650">
        <w:rPr>
          <w:rFonts w:ascii="Calibri" w:eastAsia="Calibri" w:hAnsi="Calibri"/>
          <w:lang w:eastAsia="en-US"/>
        </w:rPr>
        <w:t>ek</w:t>
      </w:r>
      <w:r w:rsidRPr="00EA6532">
        <w:rPr>
          <w:rFonts w:ascii="Calibri" w:eastAsia="Calibri" w:hAnsi="Calibri"/>
          <w:lang w:eastAsia="en-US"/>
        </w:rPr>
        <w:t xml:space="preserve"> bizonytalanságából kiindulva, a 2017. évi tény adatokhoz viszonyítva 93 millió Ft-tal magasabb összeggel tervez a Társaság 2018-ra;</w:t>
      </w:r>
    </w:p>
    <w:p w14:paraId="15FF6A20" w14:textId="77777777" w:rsidR="00EA6532" w:rsidRPr="00EA6532" w:rsidRDefault="00EA6532" w:rsidP="00EA6532">
      <w:pPr>
        <w:numPr>
          <w:ilvl w:val="0"/>
          <w:numId w:val="26"/>
        </w:numPr>
        <w:spacing w:after="160" w:line="259" w:lineRule="auto"/>
        <w:contextualSpacing/>
        <w:jc w:val="both"/>
        <w:rPr>
          <w:rFonts w:ascii="Calibri" w:eastAsia="Calibri" w:hAnsi="Calibri"/>
          <w:lang w:eastAsia="en-US"/>
        </w:rPr>
      </w:pPr>
      <w:r w:rsidRPr="00EA6532">
        <w:rPr>
          <w:rFonts w:ascii="Calibri" w:eastAsia="Calibri" w:hAnsi="Calibri"/>
          <w:b/>
          <w:lang w:eastAsia="en-US"/>
        </w:rPr>
        <w:t xml:space="preserve">Környezetvédelmi </w:t>
      </w:r>
      <w:r w:rsidRPr="00EA6532">
        <w:rPr>
          <w:rFonts w:ascii="Calibri" w:eastAsia="Calibri" w:hAnsi="Calibri"/>
          <w:lang w:eastAsia="en-US"/>
        </w:rPr>
        <w:t>kármentesítéssel</w:t>
      </w:r>
      <w:r w:rsidRPr="00EA6532">
        <w:rPr>
          <w:rFonts w:ascii="Calibri" w:eastAsia="Calibri" w:hAnsi="Calibri"/>
          <w:b/>
          <w:lang w:eastAsia="en-US"/>
        </w:rPr>
        <w:t xml:space="preserve"> </w:t>
      </w:r>
      <w:r w:rsidRPr="00EA6532">
        <w:rPr>
          <w:rFonts w:ascii="Calibri" w:eastAsia="Calibri" w:hAnsi="Calibri"/>
          <w:lang w:eastAsia="en-US"/>
        </w:rPr>
        <w:t>kapcsolatban a ráfordások emelkedése várható, mely tervezetten 85,5 millió Ft-tal haladja meg a bázis időszak költségeit;</w:t>
      </w:r>
    </w:p>
    <w:p w14:paraId="0296FA36" w14:textId="77777777" w:rsidR="00EA6532" w:rsidRPr="00EA6532" w:rsidRDefault="00EA6532" w:rsidP="00EA6532">
      <w:pPr>
        <w:numPr>
          <w:ilvl w:val="0"/>
          <w:numId w:val="26"/>
        </w:numPr>
        <w:spacing w:after="160" w:line="259" w:lineRule="auto"/>
        <w:contextualSpacing/>
        <w:jc w:val="both"/>
        <w:rPr>
          <w:rFonts w:ascii="Calibri" w:eastAsia="Calibri" w:hAnsi="Calibri"/>
          <w:lang w:eastAsia="en-US"/>
        </w:rPr>
      </w:pPr>
      <w:r w:rsidRPr="00EA6532">
        <w:rPr>
          <w:rFonts w:ascii="Calibri" w:eastAsia="Calibri" w:hAnsi="Calibri"/>
          <w:lang w:eastAsia="en-US"/>
        </w:rPr>
        <w:t xml:space="preserve">A jelentős </w:t>
      </w:r>
      <w:r w:rsidRPr="00EA6532">
        <w:rPr>
          <w:rFonts w:ascii="Calibri" w:eastAsia="Calibri" w:hAnsi="Calibri"/>
          <w:b/>
          <w:lang w:eastAsia="en-US"/>
        </w:rPr>
        <w:t>járművezetői létszámhiány csökkentése érdekében</w:t>
      </w:r>
      <w:r w:rsidRPr="00EA6532">
        <w:rPr>
          <w:rFonts w:ascii="Calibri" w:eastAsia="Calibri" w:hAnsi="Calibri"/>
          <w:lang w:eastAsia="en-US"/>
        </w:rPr>
        <w:t>, a 2017. évi költségekhez képest 170 millió Ft-os többletráfordítást tervez a Társaság, melyből aktív kampányokat, munkaerőtoborzást, a munkakörülmények javítását, munkásszállók felújítását és a férőhelyek bővítésének megvalósítását kívánja elvégezni.</w:t>
      </w:r>
    </w:p>
    <w:p w14:paraId="7509A003" w14:textId="15018E7B" w:rsidR="00EA6532" w:rsidRPr="00EA6532" w:rsidRDefault="00EA6532" w:rsidP="00EA6532">
      <w:pPr>
        <w:numPr>
          <w:ilvl w:val="0"/>
          <w:numId w:val="26"/>
        </w:numPr>
        <w:spacing w:after="160" w:line="259" w:lineRule="auto"/>
        <w:contextualSpacing/>
        <w:jc w:val="both"/>
        <w:rPr>
          <w:rFonts w:ascii="Calibri" w:eastAsia="Calibri" w:hAnsi="Calibri" w:cs="Calibri"/>
          <w:lang w:eastAsia="en-US"/>
        </w:rPr>
      </w:pPr>
      <w:r w:rsidRPr="00EA6532">
        <w:rPr>
          <w:rFonts w:ascii="Calibri" w:eastAsia="Calibri" w:hAnsi="Calibri" w:cs="Calibri"/>
          <w:lang w:eastAsia="en-US"/>
        </w:rPr>
        <w:t xml:space="preserve">Az </w:t>
      </w:r>
      <w:r w:rsidRPr="00EA6532">
        <w:rPr>
          <w:rFonts w:ascii="Calibri" w:eastAsia="Calibri" w:hAnsi="Calibri" w:cs="Calibri"/>
          <w:b/>
          <w:lang w:eastAsia="en-US"/>
        </w:rPr>
        <w:t>informatikai és telekommunikáció</w:t>
      </w:r>
      <w:r w:rsidRPr="00EA6532">
        <w:rPr>
          <w:rFonts w:ascii="Calibri" w:eastAsia="Calibri" w:hAnsi="Calibri" w:cs="Calibri"/>
          <w:lang w:eastAsia="en-US"/>
        </w:rPr>
        <w:t xml:space="preserve">s költségek tekintetében döntően az alábbi tételek </w:t>
      </w:r>
      <w:r w:rsidR="00B302FD">
        <w:rPr>
          <w:rFonts w:ascii="Calibri" w:eastAsia="Calibri" w:hAnsi="Calibri" w:cs="Calibri"/>
          <w:lang w:eastAsia="en-US"/>
        </w:rPr>
        <w:t>indokolnak</w:t>
      </w:r>
      <w:r w:rsidRPr="00EA6532">
        <w:rPr>
          <w:rFonts w:ascii="Calibri" w:eastAsia="Calibri" w:hAnsi="Calibri" w:cs="Calibri"/>
          <w:lang w:eastAsia="en-US"/>
        </w:rPr>
        <w:t xml:space="preserve"> </w:t>
      </w:r>
      <w:r w:rsidRPr="00EA6532">
        <w:rPr>
          <w:rFonts w:ascii="Calibri" w:eastAsia="Calibri" w:hAnsi="Calibri"/>
          <w:lang w:eastAsia="en-US"/>
        </w:rPr>
        <w:t>többletráfordítást</w:t>
      </w:r>
      <w:r w:rsidRPr="00EA6532">
        <w:rPr>
          <w:rFonts w:ascii="Calibri" w:eastAsia="Calibri" w:hAnsi="Calibri" w:cs="Calibri"/>
          <w:lang w:eastAsia="en-US"/>
        </w:rPr>
        <w:t>:</w:t>
      </w:r>
    </w:p>
    <w:p w14:paraId="0D4C8E5A" w14:textId="29185E9B" w:rsidR="00EA6532" w:rsidRPr="00EA6532" w:rsidRDefault="00EA6532" w:rsidP="00EA6532">
      <w:pPr>
        <w:numPr>
          <w:ilvl w:val="1"/>
          <w:numId w:val="26"/>
        </w:numPr>
        <w:spacing w:after="160" w:line="259" w:lineRule="auto"/>
        <w:contextualSpacing/>
        <w:jc w:val="both"/>
        <w:rPr>
          <w:rFonts w:ascii="Calibri" w:eastAsia="Calibri" w:hAnsi="Calibri" w:cs="Calibri"/>
          <w:lang w:eastAsia="en-US"/>
        </w:rPr>
      </w:pPr>
      <w:r w:rsidRPr="00EA6532">
        <w:rPr>
          <w:rFonts w:ascii="Calibri" w:eastAsia="Calibri" w:hAnsi="Calibri" w:cs="Calibri"/>
          <w:lang w:eastAsia="en-US"/>
        </w:rPr>
        <w:t>2018-ban lejár a távközlési szolgáltatás szerződése, melynek újonnan történő megkötéséhez szükséges külső szakértői támogatás</w:t>
      </w:r>
      <w:r w:rsidR="00B302FD">
        <w:rPr>
          <w:rFonts w:ascii="Calibri" w:eastAsia="Calibri" w:hAnsi="Calibri" w:cs="Calibri"/>
          <w:lang w:eastAsia="en-US"/>
        </w:rPr>
        <w:t xml:space="preserve"> okoz</w:t>
      </w:r>
      <w:r w:rsidRPr="00EA6532">
        <w:rPr>
          <w:rFonts w:ascii="Calibri" w:eastAsia="Calibri" w:hAnsi="Calibri" w:cs="Calibri"/>
          <w:lang w:eastAsia="en-US"/>
        </w:rPr>
        <w:t xml:space="preserve"> költségtöbbletet (25 millió Ft);</w:t>
      </w:r>
    </w:p>
    <w:p w14:paraId="4CFDD575" w14:textId="77777777" w:rsidR="00EA6532" w:rsidRPr="00EA6532" w:rsidRDefault="00EA6532" w:rsidP="00EA6532">
      <w:pPr>
        <w:numPr>
          <w:ilvl w:val="1"/>
          <w:numId w:val="26"/>
        </w:numPr>
        <w:spacing w:after="160" w:line="259" w:lineRule="auto"/>
        <w:contextualSpacing/>
        <w:jc w:val="both"/>
        <w:rPr>
          <w:rFonts w:ascii="Calibri" w:eastAsia="Calibri" w:hAnsi="Calibri" w:cs="Calibri"/>
          <w:lang w:eastAsia="en-US"/>
        </w:rPr>
      </w:pPr>
      <w:r w:rsidRPr="00EA6532">
        <w:rPr>
          <w:rFonts w:ascii="Calibri" w:eastAsia="Calibri" w:hAnsi="Calibri" w:cs="Calibri"/>
          <w:lang w:eastAsia="en-US"/>
        </w:rPr>
        <w:t xml:space="preserve">Az informatikai outsource szerződés szerinti díjemelkedése (137 millió Ft); </w:t>
      </w:r>
    </w:p>
    <w:p w14:paraId="40F2BD46" w14:textId="24E42C96" w:rsidR="00EA6532" w:rsidRPr="00EA6532" w:rsidRDefault="00EA6532" w:rsidP="00EA6532">
      <w:pPr>
        <w:numPr>
          <w:ilvl w:val="1"/>
          <w:numId w:val="26"/>
        </w:numPr>
        <w:spacing w:after="160" w:line="259" w:lineRule="auto"/>
        <w:contextualSpacing/>
        <w:jc w:val="both"/>
        <w:rPr>
          <w:rFonts w:ascii="Calibri" w:eastAsia="Calibri" w:hAnsi="Calibri" w:cs="Calibri"/>
          <w:lang w:eastAsia="en-US"/>
        </w:rPr>
      </w:pPr>
      <w:r w:rsidRPr="00EA6532">
        <w:rPr>
          <w:rFonts w:ascii="Calibri" w:eastAsia="Calibri" w:hAnsi="Calibri" w:cs="Calibri"/>
          <w:lang w:eastAsia="en-US"/>
        </w:rPr>
        <w:t>2018. május 25-én lép hatályba a személyes adatok kezelésének szabályozását szigorító uniós rendelet. A megfelelés informatikai feladatai az informatikai rendszerekben kezelt személyes adatok felmérésére, adatkezelési folyamatainak felülvizsgálatára, az adatkezelés megszűnését követő adattörlés garantálására, az adathordozhatóság megvalósítására, az adatkezelés változásából adódó fejlesztési feladatokra és információbiztonsági fejlesztésekre terjed</w:t>
      </w:r>
      <w:r w:rsidR="00B302FD">
        <w:rPr>
          <w:rFonts w:ascii="Calibri" w:eastAsia="Calibri" w:hAnsi="Calibri" w:cs="Calibri"/>
          <w:lang w:eastAsia="en-US"/>
        </w:rPr>
        <w:t>nek</w:t>
      </w:r>
      <w:r w:rsidRPr="00EA6532">
        <w:rPr>
          <w:rFonts w:ascii="Calibri" w:eastAsia="Calibri" w:hAnsi="Calibri" w:cs="Calibri"/>
          <w:lang w:eastAsia="en-US"/>
        </w:rPr>
        <w:t xml:space="preserve"> ki (100 millió Ft)</w:t>
      </w:r>
      <w:r w:rsidR="00BE21B2">
        <w:rPr>
          <w:rFonts w:ascii="Calibri" w:eastAsia="Calibri" w:hAnsi="Calibri" w:cs="Calibri"/>
          <w:lang w:eastAsia="en-US"/>
        </w:rPr>
        <w:t>.</w:t>
      </w:r>
    </w:p>
    <w:p w14:paraId="3B54031E" w14:textId="77777777" w:rsidR="00EA6532" w:rsidRPr="00EA6532" w:rsidRDefault="00EA6532" w:rsidP="00EA6532">
      <w:pPr>
        <w:contextualSpacing/>
        <w:jc w:val="both"/>
        <w:rPr>
          <w:rFonts w:ascii="Calibri" w:eastAsia="Calibri" w:hAnsi="Calibri" w:cs="Calibri"/>
          <w:lang w:eastAsia="en-US"/>
        </w:rPr>
      </w:pPr>
    </w:p>
    <w:p w14:paraId="16129A3A" w14:textId="77777777" w:rsidR="00975255" w:rsidRPr="003730CE" w:rsidRDefault="00975255" w:rsidP="001E0F17">
      <w:pPr>
        <w:pStyle w:val="Cmsor2"/>
      </w:pPr>
      <w:bookmarkStart w:id="74" w:name="_Toc512409633"/>
      <w:r w:rsidRPr="003730CE">
        <w:lastRenderedPageBreak/>
        <w:t>Hatékonyságjavítás</w:t>
      </w:r>
      <w:bookmarkEnd w:id="72"/>
      <w:bookmarkEnd w:id="73"/>
      <w:bookmarkEnd w:id="74"/>
    </w:p>
    <w:p w14:paraId="62B36F6C" w14:textId="77777777" w:rsidR="00975255" w:rsidRPr="00787AB7" w:rsidRDefault="00975255" w:rsidP="00975255">
      <w:pPr>
        <w:jc w:val="both"/>
        <w:rPr>
          <w:rFonts w:asciiTheme="minorHAnsi" w:hAnsiTheme="minorHAnsi" w:cstheme="minorHAnsi"/>
        </w:rPr>
      </w:pPr>
    </w:p>
    <w:p w14:paraId="18C65F99" w14:textId="31B40342" w:rsidR="00076106" w:rsidRPr="00787AB7" w:rsidRDefault="009A1A77" w:rsidP="00076106">
      <w:pPr>
        <w:jc w:val="both"/>
        <w:rPr>
          <w:rFonts w:asciiTheme="minorHAnsi" w:hAnsiTheme="minorHAnsi" w:cstheme="minorHAnsi"/>
          <w:lang w:eastAsia="en-US"/>
        </w:rPr>
      </w:pPr>
      <w:bookmarkStart w:id="75" w:name="_Toc443317910"/>
      <w:r w:rsidRPr="00787AB7">
        <w:rPr>
          <w:rFonts w:asciiTheme="minorHAnsi" w:hAnsiTheme="minorHAnsi" w:cstheme="minorHAnsi"/>
          <w:lang w:eastAsia="en-US"/>
        </w:rPr>
        <w:t>A fővárosi költségvetés összeállítása során – több más intézkedés mellett – a BKV Zrt. felé is megfogalmazásra került</w:t>
      </w:r>
      <w:r w:rsidR="00D53650">
        <w:rPr>
          <w:rFonts w:asciiTheme="minorHAnsi" w:hAnsiTheme="minorHAnsi" w:cstheme="minorHAnsi"/>
          <w:lang w:eastAsia="en-US"/>
        </w:rPr>
        <w:t>ek</w:t>
      </w:r>
      <w:r w:rsidRPr="00787AB7">
        <w:rPr>
          <w:rFonts w:asciiTheme="minorHAnsi" w:hAnsiTheme="minorHAnsi" w:cstheme="minorHAnsi"/>
          <w:lang w:eastAsia="en-US"/>
        </w:rPr>
        <w:t xml:space="preserve"> </w:t>
      </w:r>
      <w:r w:rsidR="00D53650">
        <w:rPr>
          <w:rFonts w:asciiTheme="minorHAnsi" w:hAnsiTheme="minorHAnsi" w:cstheme="minorHAnsi"/>
          <w:lang w:eastAsia="en-US"/>
        </w:rPr>
        <w:t xml:space="preserve">különböző </w:t>
      </w:r>
      <w:r w:rsidRPr="00787AB7">
        <w:rPr>
          <w:rFonts w:asciiTheme="minorHAnsi" w:hAnsiTheme="minorHAnsi" w:cstheme="minorHAnsi"/>
          <w:b/>
          <w:lang w:eastAsia="en-US"/>
        </w:rPr>
        <w:t>hatékonyságjavítási elvárás</w:t>
      </w:r>
      <w:r w:rsidR="00D53650">
        <w:rPr>
          <w:rFonts w:asciiTheme="minorHAnsi" w:hAnsiTheme="minorHAnsi" w:cstheme="minorHAnsi"/>
          <w:b/>
          <w:lang w:eastAsia="en-US"/>
        </w:rPr>
        <w:t>ok</w:t>
      </w:r>
      <w:r w:rsidRPr="00787AB7">
        <w:rPr>
          <w:rFonts w:asciiTheme="minorHAnsi" w:hAnsiTheme="minorHAnsi" w:cstheme="minorHAnsi"/>
          <w:lang w:eastAsia="en-US"/>
        </w:rPr>
        <w:t>, mely</w:t>
      </w:r>
      <w:r w:rsidR="00D53650">
        <w:rPr>
          <w:rFonts w:asciiTheme="minorHAnsi" w:hAnsiTheme="minorHAnsi" w:cstheme="minorHAnsi"/>
          <w:lang w:eastAsia="en-US"/>
        </w:rPr>
        <w:t>ek</w:t>
      </w:r>
      <w:r w:rsidRPr="00787AB7">
        <w:rPr>
          <w:rFonts w:asciiTheme="minorHAnsi" w:hAnsiTheme="minorHAnsi" w:cstheme="minorHAnsi"/>
          <w:lang w:eastAsia="en-US"/>
        </w:rPr>
        <w:t xml:space="preserve"> a szakterületek gazdálkodási költségkeretének gerincét képező anyagjellegű ráfordítások esetében </w:t>
      </w:r>
      <w:r w:rsidR="00D53650">
        <w:rPr>
          <w:rFonts w:asciiTheme="minorHAnsi" w:hAnsiTheme="minorHAnsi" w:cstheme="minorHAnsi"/>
          <w:lang w:eastAsia="en-US"/>
        </w:rPr>
        <w:t xml:space="preserve">összesen </w:t>
      </w:r>
      <w:r w:rsidRPr="00787AB7">
        <w:rPr>
          <w:rFonts w:asciiTheme="minorHAnsi" w:hAnsiTheme="minorHAnsi" w:cstheme="minorHAnsi"/>
          <w:b/>
          <w:lang w:eastAsia="en-US"/>
        </w:rPr>
        <w:t>1 600 millió Ft</w:t>
      </w:r>
      <w:r w:rsidR="00D53650">
        <w:rPr>
          <w:rFonts w:asciiTheme="minorHAnsi" w:hAnsiTheme="minorHAnsi" w:cstheme="minorHAnsi"/>
          <w:b/>
          <w:lang w:eastAsia="en-US"/>
        </w:rPr>
        <w:t xml:space="preserve"> összegű elvonást</w:t>
      </w:r>
      <w:r w:rsidRPr="00787AB7">
        <w:rPr>
          <w:rFonts w:asciiTheme="minorHAnsi" w:hAnsiTheme="minorHAnsi" w:cstheme="minorHAnsi"/>
          <w:b/>
          <w:lang w:eastAsia="en-US"/>
        </w:rPr>
        <w:t xml:space="preserve"> jelent</w:t>
      </w:r>
      <w:r w:rsidR="00CA308E">
        <w:rPr>
          <w:rFonts w:asciiTheme="minorHAnsi" w:hAnsiTheme="minorHAnsi" w:cstheme="minorHAnsi"/>
          <w:b/>
          <w:lang w:eastAsia="en-US"/>
        </w:rPr>
        <w:t>en</w:t>
      </w:r>
      <w:r w:rsidR="00D53650">
        <w:rPr>
          <w:rFonts w:asciiTheme="minorHAnsi" w:hAnsiTheme="minorHAnsi" w:cstheme="minorHAnsi"/>
          <w:b/>
          <w:lang w:eastAsia="en-US"/>
        </w:rPr>
        <w:t>ek</w:t>
      </w:r>
      <w:r w:rsidR="00D53650" w:rsidRPr="00787AB7">
        <w:rPr>
          <w:rFonts w:asciiTheme="minorHAnsi" w:hAnsiTheme="minorHAnsi" w:cstheme="minorHAnsi"/>
          <w:lang w:eastAsia="en-US"/>
        </w:rPr>
        <w:t>, amellett, hogy a</w:t>
      </w:r>
      <w:r w:rsidR="00CA308E" w:rsidRPr="00CA308E">
        <w:rPr>
          <w:rFonts w:asciiTheme="minorHAnsi" w:hAnsiTheme="minorHAnsi" w:cstheme="minorHAnsi"/>
          <w:lang w:eastAsia="en-US"/>
        </w:rPr>
        <w:t xml:space="preserve"> szűkös forrásokra való tekintettel a</w:t>
      </w:r>
      <w:r w:rsidR="00D53650" w:rsidRPr="00787AB7">
        <w:rPr>
          <w:rFonts w:asciiTheme="minorHAnsi" w:hAnsiTheme="minorHAnsi" w:cstheme="minorHAnsi"/>
          <w:lang w:eastAsia="en-US"/>
        </w:rPr>
        <w:t xml:space="preserve"> várható inflációs áremelkedések tervezése sem történhetett meg</w:t>
      </w:r>
      <w:r w:rsidRPr="00787AB7">
        <w:rPr>
          <w:rFonts w:asciiTheme="minorHAnsi" w:hAnsiTheme="minorHAnsi" w:cstheme="minorHAnsi"/>
          <w:lang w:eastAsia="en-US"/>
        </w:rPr>
        <w:t>. A fent bemutatott, szükségszerűen megjelenő többletköltségek</w:t>
      </w:r>
      <w:r w:rsidR="00BE21B2">
        <w:rPr>
          <w:rFonts w:asciiTheme="minorHAnsi" w:hAnsiTheme="minorHAnsi" w:cstheme="minorHAnsi"/>
          <w:lang w:eastAsia="en-US"/>
        </w:rPr>
        <w:t xml:space="preserve"> nagy részére</w:t>
      </w:r>
      <w:r w:rsidRPr="00787AB7">
        <w:rPr>
          <w:rFonts w:asciiTheme="minorHAnsi" w:hAnsiTheme="minorHAnsi" w:cstheme="minorHAnsi"/>
          <w:lang w:eastAsia="en-US"/>
        </w:rPr>
        <w:t xml:space="preserve"> a Társaságnak nincs ráhatása, </w:t>
      </w:r>
      <w:r w:rsidRPr="00787AB7">
        <w:rPr>
          <w:rFonts w:asciiTheme="minorHAnsi" w:hAnsiTheme="minorHAnsi" w:cstheme="minorHAnsi"/>
        </w:rPr>
        <w:t>adottságnak tekinthetők,</w:t>
      </w:r>
      <w:r w:rsidR="00BE21B2">
        <w:rPr>
          <w:rFonts w:asciiTheme="minorHAnsi" w:hAnsiTheme="minorHAnsi" w:cstheme="minorHAnsi"/>
        </w:rPr>
        <w:t xml:space="preserve"> illetve szükségszerűek a megrendelt forgalmi teljesít</w:t>
      </w:r>
      <w:r w:rsidR="00CA308E">
        <w:rPr>
          <w:rFonts w:asciiTheme="minorHAnsi" w:hAnsiTheme="minorHAnsi" w:cstheme="minorHAnsi"/>
        </w:rPr>
        <w:t>mények</w:t>
      </w:r>
      <w:r w:rsidR="00BE21B2">
        <w:rPr>
          <w:rFonts w:asciiTheme="minorHAnsi" w:hAnsiTheme="minorHAnsi" w:cstheme="minorHAnsi"/>
        </w:rPr>
        <w:t xml:space="preserve"> ellátásához,</w:t>
      </w:r>
      <w:r w:rsidRPr="00787AB7">
        <w:rPr>
          <w:rFonts w:asciiTheme="minorHAnsi" w:hAnsiTheme="minorHAnsi" w:cstheme="minorHAnsi"/>
        </w:rPr>
        <w:t xml:space="preserve"> így ezek finanszírozására a gazdálkodás egyéb területein szükséges megtakarításokra irányuló intézkedéseket hozni.</w:t>
      </w:r>
    </w:p>
    <w:p w14:paraId="0D4E3080" w14:textId="41A71D77" w:rsidR="00686EBB" w:rsidRPr="00787AB7" w:rsidRDefault="009A1A77" w:rsidP="00686EBB">
      <w:pPr>
        <w:jc w:val="both"/>
        <w:rPr>
          <w:rFonts w:asciiTheme="minorHAnsi" w:hAnsiTheme="minorHAnsi" w:cstheme="minorHAnsi"/>
          <w:u w:val="single"/>
          <w:lang w:eastAsia="en-US"/>
        </w:rPr>
      </w:pPr>
      <w:r w:rsidRPr="00787AB7">
        <w:rPr>
          <w:rFonts w:asciiTheme="minorHAnsi" w:hAnsiTheme="minorHAnsi" w:cstheme="minorHAnsi"/>
          <w:lang w:eastAsia="en-US"/>
        </w:rPr>
        <w:t>A korábbi tervezési időszakban</w:t>
      </w:r>
      <w:r w:rsidR="00CA308E">
        <w:rPr>
          <w:rFonts w:asciiTheme="minorHAnsi" w:hAnsiTheme="minorHAnsi" w:cstheme="minorHAnsi"/>
          <w:lang w:eastAsia="en-US"/>
        </w:rPr>
        <w:t xml:space="preserve"> olyan, a</w:t>
      </w:r>
      <w:r w:rsidRPr="00787AB7">
        <w:rPr>
          <w:rFonts w:asciiTheme="minorHAnsi" w:hAnsiTheme="minorHAnsi" w:cstheme="minorHAnsi"/>
          <w:lang w:eastAsia="en-US"/>
        </w:rPr>
        <w:t xml:space="preserve"> </w:t>
      </w:r>
      <w:r w:rsidRPr="00787AB7">
        <w:rPr>
          <w:rFonts w:asciiTheme="minorHAnsi" w:hAnsiTheme="minorHAnsi" w:cstheme="minorHAnsi"/>
          <w:b/>
          <w:lang w:eastAsia="en-US"/>
        </w:rPr>
        <w:t>2018. évre ütemezett többletfeladatok</w:t>
      </w:r>
      <w:r w:rsidRPr="00787AB7">
        <w:rPr>
          <w:rFonts w:asciiTheme="minorHAnsi" w:hAnsiTheme="minorHAnsi" w:cstheme="minorHAnsi"/>
          <w:lang w:eastAsia="en-US"/>
        </w:rPr>
        <w:t xml:space="preserve">, mint például: különböző nagyobb volumenű járműjavítások és karbantartási munkálatok, </w:t>
      </w:r>
      <w:r w:rsidRPr="00787AB7">
        <w:rPr>
          <w:rFonts w:ascii="Calibri" w:eastAsia="Calibri" w:hAnsi="Calibri"/>
          <w:lang w:eastAsia="en-US"/>
        </w:rPr>
        <w:t xml:space="preserve">létesítmények, végállomások, tartózkodók állapotmegóvása, korszerűsítése és szükséges javítása stb. részben </w:t>
      </w:r>
      <w:r w:rsidRPr="00787AB7">
        <w:rPr>
          <w:rFonts w:ascii="Calibri" w:eastAsia="Calibri" w:hAnsi="Calibri"/>
          <w:b/>
          <w:lang w:eastAsia="en-US"/>
        </w:rPr>
        <w:t>elhalasztásra kerülnek, illetve egyéb feladatok terhére szükséges ezek elvégzése</w:t>
      </w:r>
      <w:r w:rsidRPr="00787AB7">
        <w:rPr>
          <w:rFonts w:ascii="Calibri" w:eastAsia="Calibri" w:hAnsi="Calibri"/>
          <w:lang w:eastAsia="en-US"/>
        </w:rPr>
        <w:t xml:space="preserve">. Hangsúlyozandó azonban, hogy ezen intézkedések sem az üzembiztonságot, sem a </w:t>
      </w:r>
      <w:r w:rsidRPr="00787AB7">
        <w:rPr>
          <w:rFonts w:ascii="Calibri" w:eastAsia="Calibri" w:hAnsi="Calibri"/>
          <w:b/>
          <w:lang w:eastAsia="en-US"/>
        </w:rPr>
        <w:t>szolgáltatás ellátását nem veszélyeztetik</w:t>
      </w:r>
      <w:r w:rsidRPr="00787AB7">
        <w:rPr>
          <w:rFonts w:ascii="Calibri" w:eastAsia="Calibri" w:hAnsi="Calibri"/>
          <w:lang w:eastAsia="en-US"/>
        </w:rPr>
        <w:t>.</w:t>
      </w:r>
    </w:p>
    <w:p w14:paraId="0BA74FA8" w14:textId="61EDD56A" w:rsidR="00754936" w:rsidRPr="00AE2608" w:rsidRDefault="009A1A77" w:rsidP="00686EBB">
      <w:pPr>
        <w:jc w:val="both"/>
        <w:rPr>
          <w:rFonts w:asciiTheme="minorHAnsi" w:hAnsiTheme="minorHAnsi" w:cstheme="minorHAnsi"/>
          <w:b/>
          <w:lang w:eastAsia="en-US"/>
        </w:rPr>
      </w:pPr>
      <w:r w:rsidRPr="00787AB7">
        <w:rPr>
          <w:rFonts w:asciiTheme="minorHAnsi" w:hAnsiTheme="minorHAnsi" w:cstheme="minorHAnsi"/>
          <w:lang w:eastAsia="en-US"/>
        </w:rPr>
        <w:t xml:space="preserve">A költségek felülvizsgálata kisebb mértékben ugyan, de érintette az energia költségeket és a személyi jellegű ráfordításokat is. A 2017. évi beszerzési árak és tény fogyasztási adatok ismeretében felülvizsgálatra kerültek az energiaköltségek és ennek eredményeként összesen </w:t>
      </w:r>
      <w:r w:rsidRPr="00787AB7">
        <w:rPr>
          <w:rFonts w:asciiTheme="minorHAnsi" w:hAnsiTheme="minorHAnsi" w:cstheme="minorHAnsi"/>
          <w:b/>
          <w:lang w:eastAsia="en-US"/>
        </w:rPr>
        <w:t>283 millió Ft-tal csökkent</w:t>
      </w:r>
      <w:r w:rsidRPr="00787AB7">
        <w:rPr>
          <w:rFonts w:asciiTheme="minorHAnsi" w:hAnsiTheme="minorHAnsi" w:cstheme="minorHAnsi"/>
          <w:lang w:eastAsia="en-US"/>
        </w:rPr>
        <w:t xml:space="preserve"> az energiaterv teljes értéke. A személyi jellegű ráfordítások esetében a szakterületi igények rangsorolása és felülvizsgálata vezetett a terv értékének </w:t>
      </w:r>
      <w:r w:rsidR="00EB7BD8" w:rsidRPr="00AE2608">
        <w:rPr>
          <w:rFonts w:asciiTheme="minorHAnsi" w:hAnsiTheme="minorHAnsi" w:cstheme="minorHAnsi"/>
          <w:b/>
          <w:lang w:eastAsia="en-US"/>
        </w:rPr>
        <w:t xml:space="preserve">266 millió Ft összegű </w:t>
      </w:r>
      <w:r w:rsidRPr="00AE2608">
        <w:rPr>
          <w:rFonts w:asciiTheme="minorHAnsi" w:hAnsiTheme="minorHAnsi" w:cstheme="minorHAnsi"/>
          <w:b/>
          <w:lang w:eastAsia="en-US"/>
        </w:rPr>
        <w:t>mérsékléséhez.</w:t>
      </w:r>
    </w:p>
    <w:p w14:paraId="2CA79981" w14:textId="77777777" w:rsidR="00754936" w:rsidRPr="00787AB7" w:rsidRDefault="00754936" w:rsidP="00686EBB">
      <w:pPr>
        <w:jc w:val="both"/>
        <w:rPr>
          <w:rFonts w:asciiTheme="minorHAnsi" w:hAnsiTheme="minorHAnsi" w:cstheme="minorHAnsi"/>
          <w:lang w:eastAsia="en-US"/>
        </w:rPr>
      </w:pPr>
    </w:p>
    <w:p w14:paraId="34B8A98E" w14:textId="77777777" w:rsidR="00686EBB" w:rsidRPr="00787AB7" w:rsidRDefault="009A1A77" w:rsidP="00686EBB">
      <w:pPr>
        <w:jc w:val="both"/>
        <w:rPr>
          <w:rFonts w:asciiTheme="minorHAnsi" w:hAnsiTheme="minorHAnsi" w:cstheme="minorHAnsi"/>
          <w:lang w:eastAsia="en-US"/>
        </w:rPr>
      </w:pPr>
      <w:r w:rsidRPr="00787AB7">
        <w:rPr>
          <w:rFonts w:asciiTheme="minorHAnsi" w:hAnsiTheme="minorHAnsi" w:cstheme="minorHAnsi"/>
          <w:lang w:eastAsia="en-US"/>
        </w:rPr>
        <w:t>Ugyanakkor feltétlenül kihangsúlyozandó, hogy a BKV Zrt. ezen hatékonyságjavítási elvárásnak egy olyan kiemelt jelentőséggel bíró időszakban készül megfelelni, melyben folyamatos létszámhiány mellett és folyamatosan bizonytalan teljesítményi elvárásokhoz alkalmazkodva szükséges zavarmentes közszolgáltatást biztosítania az utazóközönség számára.</w:t>
      </w:r>
    </w:p>
    <w:p w14:paraId="2B4D6F33" w14:textId="77777777" w:rsidR="00975255" w:rsidRPr="00787AB7" w:rsidRDefault="00975255" w:rsidP="00975255">
      <w:pPr>
        <w:jc w:val="both"/>
        <w:rPr>
          <w:rFonts w:asciiTheme="minorHAnsi" w:hAnsiTheme="minorHAnsi" w:cstheme="minorHAnsi"/>
          <w:highlight w:val="yellow"/>
        </w:rPr>
      </w:pPr>
    </w:p>
    <w:p w14:paraId="54AFBD5C" w14:textId="77777777" w:rsidR="0047689D" w:rsidRPr="00787AB7" w:rsidRDefault="009A1A77" w:rsidP="00975255">
      <w:pPr>
        <w:jc w:val="both"/>
        <w:rPr>
          <w:rFonts w:asciiTheme="minorHAnsi" w:hAnsiTheme="minorHAnsi" w:cstheme="minorHAnsi"/>
          <w:lang w:eastAsia="en-US"/>
        </w:rPr>
      </w:pPr>
      <w:r w:rsidRPr="00787AB7">
        <w:rPr>
          <w:rFonts w:asciiTheme="minorHAnsi" w:hAnsiTheme="minorHAnsi" w:cstheme="minorHAnsi"/>
          <w:lang w:eastAsia="en-US"/>
        </w:rPr>
        <w:t>További nehézséget jelentenek egyes törvényi változások, melyek a hatékonyságot negatívan befolyásolják. Kiemelendő például a kockázatkezelés kötelezővé tétele, a 24/2016-os NFM rendelet előírásai, a munkavédelmi felelősök számának növelési kényszere és a járművezetői képzés, illetve vizsgáztatás szigorítása.</w:t>
      </w:r>
    </w:p>
    <w:p w14:paraId="75005759" w14:textId="77777777" w:rsidR="0047689D" w:rsidRPr="00787AB7" w:rsidRDefault="0047689D" w:rsidP="00975255">
      <w:pPr>
        <w:jc w:val="both"/>
        <w:rPr>
          <w:rFonts w:asciiTheme="minorHAnsi" w:hAnsiTheme="minorHAnsi" w:cstheme="minorHAnsi"/>
        </w:rPr>
      </w:pPr>
    </w:p>
    <w:p w14:paraId="2923E4E0" w14:textId="7C21268F" w:rsidR="00F24288" w:rsidRPr="00787AB7" w:rsidRDefault="009A1A77" w:rsidP="00975255">
      <w:pPr>
        <w:jc w:val="both"/>
        <w:rPr>
          <w:rFonts w:asciiTheme="minorHAnsi" w:hAnsiTheme="minorHAnsi" w:cstheme="minorHAnsi"/>
        </w:rPr>
      </w:pPr>
      <w:r w:rsidRPr="00787AB7">
        <w:rPr>
          <w:rFonts w:asciiTheme="minorHAnsi" w:hAnsiTheme="minorHAnsi" w:cstheme="minorHAnsi"/>
        </w:rPr>
        <w:t>Az Üzleti Terv véglegesítése során kivezetésre került az inflációs várakozásoknak megfelelő indexálás hatása a tervből, 327 millió Ft értékben, ami azt jelenti, hogy a BKV Zrt. nem számol sem a meglévő, sem az újrakötésre kerülő szerződéseinek esetében infláció okozta emelkedéssel. Ezen várakozás egyben azt is jelenti, hogy a tervben nem szereplő, de a tény adatokban megjelenő áremelkedéseket a Társaságnak egyéb területek terhére</w:t>
      </w:r>
      <w:r w:rsidR="007423A1">
        <w:rPr>
          <w:rFonts w:asciiTheme="minorHAnsi" w:hAnsiTheme="minorHAnsi" w:cstheme="minorHAnsi"/>
        </w:rPr>
        <w:t>,</w:t>
      </w:r>
      <w:r w:rsidRPr="00787AB7">
        <w:rPr>
          <w:rFonts w:asciiTheme="minorHAnsi" w:hAnsiTheme="minorHAnsi" w:cstheme="minorHAnsi"/>
        </w:rPr>
        <w:t xml:space="preserve"> belső átcsoportosítással szükséges biztosítania. Szintén csökkentésre került, </w:t>
      </w:r>
      <w:r w:rsidR="00CA308E">
        <w:rPr>
          <w:rFonts w:asciiTheme="minorHAnsi" w:hAnsiTheme="minorHAnsi" w:cstheme="minorHAnsi"/>
        </w:rPr>
        <w:t>120</w:t>
      </w:r>
      <w:r w:rsidR="00CA308E" w:rsidRPr="00787AB7">
        <w:rPr>
          <w:rFonts w:asciiTheme="minorHAnsi" w:hAnsiTheme="minorHAnsi" w:cstheme="minorHAnsi"/>
        </w:rPr>
        <w:t xml:space="preserve"> </w:t>
      </w:r>
      <w:r w:rsidRPr="00787AB7">
        <w:rPr>
          <w:rFonts w:asciiTheme="minorHAnsi" w:hAnsiTheme="minorHAnsi" w:cstheme="minorHAnsi"/>
        </w:rPr>
        <w:t>millió Ft-tal, a Fővárosi Közbeszerzés Lebonyolító Kft. részére tervezett 2018. évi keret, figyelembe véve az eddigi tapasztalatokat.</w:t>
      </w:r>
    </w:p>
    <w:p w14:paraId="61101C72" w14:textId="77777777" w:rsidR="00F24288" w:rsidRPr="00787AB7" w:rsidRDefault="00F24288" w:rsidP="00975255">
      <w:pPr>
        <w:jc w:val="both"/>
        <w:rPr>
          <w:rFonts w:asciiTheme="minorHAnsi" w:hAnsiTheme="minorHAnsi" w:cstheme="minorHAnsi"/>
        </w:rPr>
      </w:pPr>
    </w:p>
    <w:p w14:paraId="42202EA9" w14:textId="7CE5713E" w:rsidR="005237C5" w:rsidRPr="00787AB7" w:rsidRDefault="009A1A77" w:rsidP="00975255">
      <w:pPr>
        <w:jc w:val="both"/>
        <w:rPr>
          <w:rFonts w:asciiTheme="minorHAnsi" w:hAnsiTheme="minorHAnsi" w:cstheme="minorHAnsi"/>
        </w:rPr>
      </w:pPr>
      <w:r w:rsidRPr="00787AB7">
        <w:rPr>
          <w:rFonts w:asciiTheme="minorHAnsi" w:hAnsiTheme="minorHAnsi" w:cstheme="minorHAnsi"/>
        </w:rPr>
        <w:t xml:space="preserve">A fentiekben vázolt – tényleges költség megtakarítással járó – hatékonyságjavító intézkedések hatására </w:t>
      </w:r>
      <w:r w:rsidRPr="00787AB7">
        <w:rPr>
          <w:rFonts w:asciiTheme="minorHAnsi" w:hAnsiTheme="minorHAnsi" w:cstheme="minorHAnsi"/>
          <w:b/>
        </w:rPr>
        <w:t xml:space="preserve">nagyságrendi csökkenést ért el a BKV Zrt. a kompenzációs igény </w:t>
      </w:r>
      <w:r w:rsidRPr="00787AB7">
        <w:rPr>
          <w:rFonts w:asciiTheme="minorHAnsi" w:hAnsiTheme="minorHAnsi" w:cstheme="minorHAnsi"/>
        </w:rPr>
        <w:t xml:space="preserve">tekintetében. A 2017. évi </w:t>
      </w:r>
      <w:r w:rsidR="003730CE">
        <w:rPr>
          <w:rFonts w:asciiTheme="minorHAnsi" w:hAnsiTheme="minorHAnsi" w:cstheme="minorHAnsi"/>
        </w:rPr>
        <w:t xml:space="preserve">– alulkompenzáció </w:t>
      </w:r>
      <w:r w:rsidR="00666500">
        <w:rPr>
          <w:rFonts w:asciiTheme="minorHAnsi" w:hAnsiTheme="minorHAnsi" w:cstheme="minorHAnsi"/>
        </w:rPr>
        <w:t xml:space="preserve">és észszerű nyereség </w:t>
      </w:r>
      <w:r w:rsidR="003730CE">
        <w:rPr>
          <w:rFonts w:asciiTheme="minorHAnsi" w:hAnsiTheme="minorHAnsi" w:cstheme="minorHAnsi"/>
        </w:rPr>
        <w:t>nélkül számolt –</w:t>
      </w:r>
      <w:r w:rsidRPr="00787AB7">
        <w:rPr>
          <w:rFonts w:asciiTheme="minorHAnsi" w:hAnsiTheme="minorHAnsi" w:cstheme="minorHAnsi"/>
        </w:rPr>
        <w:t xml:space="preserve"> kompenzációs</w:t>
      </w:r>
      <w:r w:rsidR="003730CE">
        <w:rPr>
          <w:rFonts w:asciiTheme="minorHAnsi" w:hAnsiTheme="minorHAnsi" w:cstheme="minorHAnsi"/>
        </w:rPr>
        <w:t xml:space="preserve"> </w:t>
      </w:r>
      <w:r w:rsidRPr="00787AB7">
        <w:rPr>
          <w:rFonts w:asciiTheme="minorHAnsi" w:hAnsiTheme="minorHAnsi" w:cstheme="minorHAnsi"/>
        </w:rPr>
        <w:t xml:space="preserve">díjat </w:t>
      </w:r>
      <w:r w:rsidRPr="007A0BFA">
        <w:rPr>
          <w:rFonts w:asciiTheme="minorHAnsi" w:hAnsiTheme="minorHAnsi" w:cstheme="minorHAnsi"/>
        </w:rPr>
        <w:t>9,3</w:t>
      </w:r>
      <w:r w:rsidR="003730CE" w:rsidRPr="003730CE">
        <w:rPr>
          <w:rFonts w:asciiTheme="minorHAnsi" w:hAnsiTheme="minorHAnsi" w:cstheme="minorHAnsi"/>
        </w:rPr>
        <w:t> </w:t>
      </w:r>
      <w:r w:rsidRPr="00787AB7">
        <w:rPr>
          <w:rFonts w:asciiTheme="minorHAnsi" w:hAnsiTheme="minorHAnsi" w:cstheme="minorHAnsi"/>
        </w:rPr>
        <w:t>milliárd</w:t>
      </w:r>
      <w:r w:rsidR="003730CE" w:rsidRPr="003730CE">
        <w:rPr>
          <w:rFonts w:asciiTheme="minorHAnsi" w:hAnsiTheme="minorHAnsi" w:cstheme="minorHAnsi"/>
        </w:rPr>
        <w:t> </w:t>
      </w:r>
      <w:r w:rsidRPr="00787AB7">
        <w:rPr>
          <w:rFonts w:asciiTheme="minorHAnsi" w:hAnsiTheme="minorHAnsi" w:cstheme="minorHAnsi"/>
        </w:rPr>
        <w:t xml:space="preserve">Ft-tal haladja meg a 2018. évi finanszírozási igény, miközben </w:t>
      </w:r>
      <w:r w:rsidRPr="00787AB7">
        <w:rPr>
          <w:rFonts w:asciiTheme="minorHAnsi" w:hAnsiTheme="minorHAnsi" w:cstheme="minorHAnsi"/>
        </w:rPr>
        <w:lastRenderedPageBreak/>
        <w:t>a megvalósuló bérfejlesztés és a teljes évben zajló metró</w:t>
      </w:r>
      <w:r w:rsidR="00CA308E">
        <w:rPr>
          <w:rFonts w:asciiTheme="minorHAnsi" w:hAnsiTheme="minorHAnsi" w:cstheme="minorHAnsi"/>
        </w:rPr>
        <w:t xml:space="preserve"> </w:t>
      </w:r>
      <w:r w:rsidRPr="00787AB7">
        <w:rPr>
          <w:rFonts w:asciiTheme="minorHAnsi" w:hAnsiTheme="minorHAnsi" w:cstheme="minorHAnsi"/>
        </w:rPr>
        <w:t xml:space="preserve">rekonstrukció 11 milliárd Ft-os emelkedést indokolnának. Fontos kiemelni, hogy a kompenzációs díjban foglalt megtakarítások annak ellenére valósultak meg, hogy a törvényi, jogszabályi előírások, valamint az egyes nagy szerződésekbe épített kötelező áremelések a finanszírozási igény növekedését indukálták volna, ami mutatja, hogy az egyéb gazdálkodási és </w:t>
      </w:r>
      <w:r w:rsidRPr="00787AB7">
        <w:rPr>
          <w:rFonts w:asciiTheme="minorHAnsi" w:hAnsiTheme="minorHAnsi" w:cstheme="minorHAnsi"/>
          <w:b/>
        </w:rPr>
        <w:t>üzemeltetési területeken jelentős költség visszafogás valósul meg</w:t>
      </w:r>
      <w:r w:rsidRPr="00787AB7">
        <w:rPr>
          <w:rFonts w:asciiTheme="minorHAnsi" w:hAnsiTheme="minorHAnsi" w:cstheme="minorHAnsi"/>
        </w:rPr>
        <w:t>.</w:t>
      </w:r>
    </w:p>
    <w:p w14:paraId="67AADCCA" w14:textId="77777777" w:rsidR="005237C5" w:rsidRPr="00787AB7" w:rsidRDefault="005237C5" w:rsidP="00975255">
      <w:pPr>
        <w:jc w:val="both"/>
        <w:rPr>
          <w:rFonts w:asciiTheme="minorHAnsi" w:hAnsiTheme="minorHAnsi" w:cstheme="minorHAnsi"/>
        </w:rPr>
      </w:pPr>
    </w:p>
    <w:p w14:paraId="20E51198" w14:textId="77777777" w:rsidR="002E7426" w:rsidRPr="00787AB7" w:rsidRDefault="009A1A77" w:rsidP="005A538C">
      <w:pPr>
        <w:jc w:val="both"/>
        <w:rPr>
          <w:rFonts w:ascii="Calibri" w:eastAsia="Calibri" w:hAnsi="Calibri" w:cs="Calibri"/>
          <w:b/>
          <w:lang w:eastAsia="en-US"/>
        </w:rPr>
      </w:pPr>
      <w:bookmarkStart w:id="76" w:name="_Toc443647480"/>
      <w:bookmarkStart w:id="77" w:name="_Toc494437900"/>
      <w:r w:rsidRPr="00787AB7">
        <w:rPr>
          <w:rFonts w:ascii="Calibri" w:eastAsia="Calibri" w:hAnsi="Calibri" w:cs="Calibri"/>
          <w:b/>
          <w:lang w:eastAsia="en-US"/>
        </w:rPr>
        <w:t>Egyéb hatékonyságjavítási intézkedések rövid összefoglalása</w:t>
      </w:r>
      <w:bookmarkEnd w:id="76"/>
      <w:bookmarkEnd w:id="77"/>
    </w:p>
    <w:p w14:paraId="0EE0B064" w14:textId="77777777" w:rsidR="005A538C" w:rsidRPr="00787AB7" w:rsidRDefault="005A538C" w:rsidP="005A538C">
      <w:pPr>
        <w:jc w:val="both"/>
        <w:rPr>
          <w:rFonts w:ascii="Calibri" w:eastAsia="Calibri" w:hAnsi="Calibri" w:cs="Calibri"/>
          <w:b/>
          <w:highlight w:val="yellow"/>
          <w:lang w:eastAsia="en-US"/>
        </w:rPr>
      </w:pPr>
    </w:p>
    <w:p w14:paraId="5CDB9A55" w14:textId="1ED14119" w:rsidR="002E7426" w:rsidRPr="00787AB7" w:rsidRDefault="009A1A77" w:rsidP="001E53B7">
      <w:pPr>
        <w:jc w:val="both"/>
        <w:rPr>
          <w:rFonts w:ascii="Calibri" w:hAnsi="Calibri" w:cs="Calibri"/>
          <w:lang w:eastAsia="ru-RU"/>
        </w:rPr>
      </w:pPr>
      <w:r w:rsidRPr="00787AB7">
        <w:rPr>
          <w:rFonts w:ascii="Calibri" w:hAnsi="Calibri" w:cs="Calibri"/>
          <w:lang w:eastAsia="ru-RU"/>
        </w:rPr>
        <w:t>A BKV Zrt. hatékonyság növelő intézkedések megvalósítására irányuló projektjeinek legfontosabb célja az adott körülmények között a feladat ellátása során elérhető „legjobb módszerek” megtalálása. A hatékonyság növelése irányulhat költség megtakarításra, de a hatékonyság növelését jelenti az is, ha adott költségszint mellett magasabb minőségű szolgáltatást biztosít a Társaság. A költségcsökkentés</w:t>
      </w:r>
      <w:r w:rsidR="00CA308E">
        <w:rPr>
          <w:rFonts w:ascii="Calibri" w:hAnsi="Calibri" w:cs="Calibri"/>
          <w:lang w:eastAsia="ru-RU"/>
        </w:rPr>
        <w:t>t eredményező</w:t>
      </w:r>
      <w:r w:rsidRPr="00787AB7">
        <w:rPr>
          <w:rFonts w:ascii="Calibri" w:hAnsi="Calibri" w:cs="Calibri"/>
          <w:lang w:eastAsia="ru-RU"/>
        </w:rPr>
        <w:t xml:space="preserve"> projektek/alprojektek jelentős hányadában elsődleges szerepet kaptak az energia megtakarítást célzó intézkedések.</w:t>
      </w:r>
    </w:p>
    <w:p w14:paraId="6FBC9CF2" w14:textId="77777777" w:rsidR="001A2714" w:rsidRPr="00787AB7" w:rsidRDefault="001A2714" w:rsidP="001E53B7">
      <w:pPr>
        <w:jc w:val="both"/>
        <w:rPr>
          <w:rFonts w:ascii="Calibri" w:hAnsi="Calibri" w:cs="Calibri"/>
          <w:highlight w:val="yellow"/>
          <w:lang w:eastAsia="ru-RU"/>
        </w:rPr>
      </w:pPr>
    </w:p>
    <w:p w14:paraId="31DDE999" w14:textId="77777777" w:rsidR="00313088" w:rsidRPr="00787AB7" w:rsidRDefault="009A1A77" w:rsidP="001A2714">
      <w:pPr>
        <w:jc w:val="both"/>
        <w:rPr>
          <w:rFonts w:ascii="Calibri" w:hAnsi="Calibri"/>
          <w:lang w:eastAsia="ru-RU"/>
        </w:rPr>
      </w:pPr>
      <w:r w:rsidRPr="00787AB7">
        <w:rPr>
          <w:rFonts w:ascii="Calibri" w:hAnsi="Calibri"/>
          <w:lang w:eastAsia="ru-RU"/>
        </w:rPr>
        <w:t>A metró ágazatban kiemelkedik a végrehajtott járműcsere az M2 vonalon, mely éves szinten 300 millió Ft-ot meghaladó megtakarítást jelent. Ezen felül az elmúlt években már realizált energiafogyasztás – és ezzel együtt költség – csökkenést eredményező intézkedések során a csarnok épületek és metró állomások LED lámpás világítással lettek ellátva.</w:t>
      </w:r>
    </w:p>
    <w:p w14:paraId="29576BD3" w14:textId="77777777" w:rsidR="006131CD" w:rsidRPr="00787AB7" w:rsidRDefault="006131CD" w:rsidP="001A2714">
      <w:pPr>
        <w:jc w:val="both"/>
        <w:rPr>
          <w:rFonts w:ascii="Calibri" w:hAnsi="Calibri"/>
          <w:highlight w:val="yellow"/>
          <w:lang w:eastAsia="ru-RU"/>
        </w:rPr>
      </w:pPr>
    </w:p>
    <w:p w14:paraId="19D03DF2" w14:textId="5CBB2D61" w:rsidR="0047689D" w:rsidRPr="00787AB7" w:rsidRDefault="009A1A77" w:rsidP="0047689D">
      <w:pPr>
        <w:jc w:val="both"/>
        <w:rPr>
          <w:rFonts w:ascii="Calibri" w:hAnsi="Calibri"/>
          <w:lang w:eastAsia="ru-RU"/>
        </w:rPr>
      </w:pPr>
      <w:r w:rsidRPr="00787AB7">
        <w:rPr>
          <w:rFonts w:ascii="Calibri" w:hAnsi="Calibri"/>
          <w:lang w:eastAsia="ru-RU"/>
        </w:rPr>
        <w:t xml:space="preserve">A villamos ágazat esetében több kocsiszín (Zugló, Száva Szép Ilona) fűtéskorszerűsítése valósult meg, valamint világítás-korszerűsítés is történt járműveken, telephelyeken és egyes villamos megállóhelyeken. A folyamatban lévő villamos jármű korszerűsítések eredményeként a közszolgáltatás </w:t>
      </w:r>
      <w:r w:rsidR="007423A1">
        <w:rPr>
          <w:rFonts w:ascii="Calibri" w:hAnsi="Calibri"/>
          <w:lang w:eastAsia="ru-RU"/>
        </w:rPr>
        <w:t xml:space="preserve">ellátásához </w:t>
      </w:r>
      <w:r w:rsidRPr="00787AB7">
        <w:rPr>
          <w:rFonts w:ascii="Calibri" w:hAnsi="Calibri"/>
          <w:lang w:eastAsia="ru-RU"/>
        </w:rPr>
        <w:t>szükséges energia felhasználás is mérséklődött.</w:t>
      </w:r>
    </w:p>
    <w:p w14:paraId="64E51A8B" w14:textId="77777777" w:rsidR="0047689D" w:rsidRPr="00787AB7" w:rsidRDefault="0047689D" w:rsidP="0047689D">
      <w:pPr>
        <w:jc w:val="both"/>
        <w:rPr>
          <w:rFonts w:ascii="Calibri" w:hAnsi="Calibri"/>
          <w:highlight w:val="yellow"/>
          <w:lang w:eastAsia="ru-RU"/>
        </w:rPr>
      </w:pPr>
    </w:p>
    <w:p w14:paraId="44383816" w14:textId="77777777" w:rsidR="0047689D" w:rsidRPr="00787AB7" w:rsidRDefault="009A1A77" w:rsidP="0047689D">
      <w:pPr>
        <w:jc w:val="both"/>
        <w:rPr>
          <w:rFonts w:ascii="Calibri" w:hAnsi="Calibri"/>
          <w:lang w:eastAsia="ru-RU"/>
        </w:rPr>
      </w:pPr>
      <w:r w:rsidRPr="00787AB7">
        <w:rPr>
          <w:rFonts w:ascii="Calibri" w:hAnsi="Calibri"/>
          <w:lang w:eastAsia="ru-RU"/>
        </w:rPr>
        <w:t>Az autóbusz és trolibusz ágazat is folyamatosan állítja forgalomba a korszerűbb, alacsonyabb káros anyag kibocsátású autóbuszokat, valamint a trolibusz ágazatban megvalósult járműbeszerzés is hozzájárult az energiafelhasználás csökkentéséhez.</w:t>
      </w:r>
    </w:p>
    <w:p w14:paraId="3BCC8BEB" w14:textId="77777777" w:rsidR="0047689D" w:rsidRPr="00787AB7" w:rsidRDefault="0047689D" w:rsidP="0047689D">
      <w:pPr>
        <w:jc w:val="both"/>
        <w:rPr>
          <w:rFonts w:ascii="Calibri" w:hAnsi="Calibri"/>
          <w:lang w:eastAsia="ru-RU"/>
        </w:rPr>
      </w:pPr>
    </w:p>
    <w:p w14:paraId="31208DBD" w14:textId="77777777" w:rsidR="0047689D" w:rsidRPr="00787AB7" w:rsidRDefault="009A1A77" w:rsidP="0047689D">
      <w:pPr>
        <w:jc w:val="both"/>
        <w:rPr>
          <w:rFonts w:ascii="Calibri" w:hAnsi="Calibri"/>
          <w:lang w:eastAsia="ru-RU"/>
        </w:rPr>
      </w:pPr>
      <w:r w:rsidRPr="00787AB7">
        <w:rPr>
          <w:rFonts w:ascii="Calibri" w:hAnsi="Calibri"/>
          <w:lang w:eastAsia="ru-RU"/>
        </w:rPr>
        <w:t xml:space="preserve">Az Energiatudatos Vállalat címet viselő Társaság korszerűsítette több telephely és irodaépület fűtési rendszerét, valamint alacsonyabb energia felhasználású világító testeket alkalmaz irodahelységeiben. </w:t>
      </w:r>
    </w:p>
    <w:p w14:paraId="48EA5D8E" w14:textId="77777777" w:rsidR="00313088" w:rsidRPr="00787AB7" w:rsidRDefault="00313088" w:rsidP="001A2714">
      <w:pPr>
        <w:jc w:val="both"/>
        <w:rPr>
          <w:rFonts w:ascii="Calibri" w:hAnsi="Calibri"/>
          <w:lang w:eastAsia="ru-RU"/>
        </w:rPr>
      </w:pPr>
    </w:p>
    <w:p w14:paraId="6213FEE1" w14:textId="77777777" w:rsidR="00313088" w:rsidRPr="00787AB7" w:rsidRDefault="009A1A77" w:rsidP="001A2714">
      <w:pPr>
        <w:jc w:val="both"/>
        <w:rPr>
          <w:rFonts w:ascii="Calibri" w:hAnsi="Calibri"/>
          <w:lang w:eastAsia="ru-RU"/>
        </w:rPr>
      </w:pPr>
      <w:r w:rsidRPr="00787AB7">
        <w:rPr>
          <w:rFonts w:ascii="Calibri" w:hAnsi="Calibri"/>
          <w:lang w:eastAsia="ru-RU"/>
        </w:rPr>
        <w:t>A 2018. évi villamos energia és földgáz tervek a korábbi években megvalósult fejlesztések hatását a tényleges energia-fogyasztáson keresztül már tartalmazzák.</w:t>
      </w:r>
    </w:p>
    <w:p w14:paraId="3425E5F7" w14:textId="77777777" w:rsidR="005A538C" w:rsidRPr="00787AB7" w:rsidRDefault="005A538C" w:rsidP="001A2714">
      <w:pPr>
        <w:jc w:val="both"/>
        <w:rPr>
          <w:rFonts w:ascii="Calibri" w:hAnsi="Calibri"/>
          <w:lang w:eastAsia="ru-RU"/>
        </w:rPr>
      </w:pPr>
    </w:p>
    <w:p w14:paraId="2CF4019C" w14:textId="77777777" w:rsidR="002E7426" w:rsidRPr="00787AB7" w:rsidRDefault="009A1A77" w:rsidP="001A2714">
      <w:pPr>
        <w:jc w:val="both"/>
        <w:rPr>
          <w:rFonts w:ascii="Calibri" w:eastAsia="Calibri" w:hAnsi="Calibri" w:cs="Calibri"/>
          <w:lang w:eastAsia="ru-RU"/>
        </w:rPr>
      </w:pPr>
      <w:r w:rsidRPr="00787AB7">
        <w:rPr>
          <w:rFonts w:ascii="Calibri" w:eastAsia="Calibri" w:hAnsi="Calibri" w:cs="Calibri"/>
          <w:lang w:eastAsia="ru-RU"/>
        </w:rPr>
        <w:t>Az autóbusz ágazatban ugyanakkor a metrópótlás által támasztott teljesítményelvárások a 2017. évben forgalomba állt új autóbuszok ellenére a koros járműpark tovább üzemeltetését teszik szükségessé. A BKK által megadott járműkiadási igény a metrópótló és kapcsolódó sűrítő járatok teljesítményével maximális esetben 876 db autóbusz forgalomba adását írják elő, amit csak az eredetileg tervezett korszerűtlen járművek kivonása nélkül képes teljesíteni a Társaság, tekintettel arra, hogy a járműállomány állapota erősen diverzifikált.</w:t>
      </w:r>
    </w:p>
    <w:p w14:paraId="27EE7F16" w14:textId="77777777" w:rsidR="006131CD" w:rsidRPr="00787AB7" w:rsidRDefault="006131CD" w:rsidP="001E53B7">
      <w:pPr>
        <w:jc w:val="both"/>
        <w:rPr>
          <w:rFonts w:ascii="Calibri" w:eastAsia="Calibri" w:hAnsi="Calibri" w:cs="Calibri"/>
          <w:lang w:eastAsia="ru-RU"/>
        </w:rPr>
      </w:pPr>
    </w:p>
    <w:p w14:paraId="038E386D" w14:textId="77777777" w:rsidR="002E7426" w:rsidRPr="00787AB7" w:rsidRDefault="009A1A77" w:rsidP="001E53B7">
      <w:pPr>
        <w:jc w:val="both"/>
        <w:rPr>
          <w:rFonts w:ascii="Calibri" w:eastAsia="Calibri" w:hAnsi="Calibri" w:cs="Calibri"/>
          <w:lang w:eastAsia="ru-RU"/>
        </w:rPr>
      </w:pPr>
      <w:r w:rsidRPr="00787AB7">
        <w:rPr>
          <w:rFonts w:ascii="Calibri" w:eastAsia="Calibri" w:hAnsi="Calibri" w:cs="Calibri"/>
          <w:lang w:eastAsia="ru-RU"/>
        </w:rPr>
        <w:t xml:space="preserve">A trolibusz állomány is sok esetben a hasznos élettartamát meghaladó, illetve azt megközelítő járművekből áll. Hatékonyságjavulással abban az esetben számolhatunk a </w:t>
      </w:r>
      <w:r w:rsidRPr="00787AB7">
        <w:rPr>
          <w:rFonts w:ascii="Calibri" w:eastAsia="Calibri" w:hAnsi="Calibri" w:cs="Calibri"/>
          <w:lang w:eastAsia="ru-RU"/>
        </w:rPr>
        <w:lastRenderedPageBreak/>
        <w:t xml:space="preserve">tervezés során, amennyiben végleges döntés születik az új járművek beszerzéséről, járműopciók lehívásáról. </w:t>
      </w:r>
    </w:p>
    <w:p w14:paraId="02176161" w14:textId="77777777" w:rsidR="006131CD" w:rsidRPr="00787AB7" w:rsidRDefault="006131CD" w:rsidP="00AD64AD">
      <w:pPr>
        <w:jc w:val="both"/>
        <w:rPr>
          <w:rFonts w:ascii="Calibri" w:eastAsia="Calibri" w:hAnsi="Calibri" w:cs="Calibri"/>
          <w:b/>
          <w:highlight w:val="yellow"/>
          <w:lang w:eastAsia="en-US"/>
        </w:rPr>
      </w:pPr>
      <w:bookmarkStart w:id="78" w:name="_Toc465246383"/>
      <w:bookmarkEnd w:id="75"/>
    </w:p>
    <w:p w14:paraId="55FF670E" w14:textId="77777777" w:rsidR="00975255" w:rsidRPr="00787AB7" w:rsidRDefault="009A1A77" w:rsidP="00AD64AD">
      <w:pPr>
        <w:jc w:val="both"/>
        <w:rPr>
          <w:rFonts w:ascii="Calibri" w:eastAsia="Calibri" w:hAnsi="Calibri" w:cs="Calibri"/>
          <w:b/>
          <w:lang w:eastAsia="en-US"/>
        </w:rPr>
      </w:pPr>
      <w:r w:rsidRPr="00787AB7">
        <w:rPr>
          <w:rFonts w:ascii="Calibri" w:eastAsia="Calibri" w:hAnsi="Calibri" w:cs="Calibri"/>
          <w:b/>
          <w:lang w:eastAsia="en-US"/>
        </w:rPr>
        <w:t>Hatékonysági mutatók</w:t>
      </w:r>
      <w:bookmarkEnd w:id="78"/>
    </w:p>
    <w:p w14:paraId="4221735B" w14:textId="77777777" w:rsidR="00142721" w:rsidRPr="00787AB7" w:rsidRDefault="00142721" w:rsidP="00AD64AD">
      <w:pPr>
        <w:jc w:val="both"/>
        <w:rPr>
          <w:rFonts w:ascii="Calibri" w:eastAsia="Calibri" w:hAnsi="Calibri" w:cs="Calibri"/>
          <w:b/>
          <w:lang w:eastAsia="en-US"/>
        </w:rPr>
      </w:pPr>
    </w:p>
    <w:p w14:paraId="185350CA" w14:textId="77777777" w:rsidR="00143013" w:rsidRPr="00787AB7" w:rsidRDefault="009A1A77" w:rsidP="001E53B7">
      <w:pPr>
        <w:jc w:val="both"/>
        <w:rPr>
          <w:rFonts w:ascii="Calibri" w:eastAsia="Calibri" w:hAnsi="Calibri" w:cs="Calibri"/>
          <w:lang w:eastAsia="ru-RU"/>
        </w:rPr>
      </w:pPr>
      <w:r w:rsidRPr="00787AB7">
        <w:rPr>
          <w:rFonts w:ascii="Calibri" w:eastAsia="Calibri" w:hAnsi="Calibri" w:cs="Calibri"/>
          <w:lang w:eastAsia="ru-RU"/>
        </w:rPr>
        <w:t>A BKK Zrt. a BKV Zrt. hatékonyságának mérésére megalkotta a következő, közszolgáltatási illetve társasági szintű mutatószámokat:</w:t>
      </w:r>
    </w:p>
    <w:p w14:paraId="263ECFA8" w14:textId="77777777" w:rsidR="004B752F" w:rsidRPr="00787AB7" w:rsidRDefault="004B752F" w:rsidP="00787AB7">
      <w:pPr>
        <w:rPr>
          <w:rFonts w:ascii="Calibri" w:eastAsia="Calibri" w:hAnsi="Calibri" w:cs="Calibri"/>
          <w:lang w:eastAsia="ru-RU"/>
        </w:rPr>
      </w:pPr>
    </w:p>
    <w:p w14:paraId="52B121F8"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Ezer fhkm teljesítményre vetített kompenzáció (Ft/ezer fhkm)</w:t>
      </w:r>
    </w:p>
    <w:p w14:paraId="7070FAF0" w14:textId="77777777" w:rsidR="00143013"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 xml:space="preserve">E mutató mértékéből látható, hogy egységnyi teljesítményre mekkora kompenzáció jut. </w:t>
      </w:r>
    </w:p>
    <w:p w14:paraId="3957ACD8" w14:textId="77777777" w:rsidR="00143013" w:rsidRPr="00787AB7" w:rsidRDefault="00143013" w:rsidP="006131CD">
      <w:pPr>
        <w:jc w:val="both"/>
        <w:rPr>
          <w:rFonts w:ascii="Calibri" w:eastAsia="Calibri" w:hAnsi="Calibri" w:cs="Calibri"/>
          <w:lang w:eastAsia="ru-RU"/>
        </w:rPr>
      </w:pPr>
    </w:p>
    <w:p w14:paraId="738EA46C"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 xml:space="preserve">Üzemképes járműállomány/átlagos járműállomány (kocsi) aránya (%), </w:t>
      </w:r>
    </w:p>
    <w:p w14:paraId="4246A7CA"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Átlagos forgalmi/ átlagos állományi jármű (kocsi) darabszám</w:t>
      </w:r>
    </w:p>
    <w:p w14:paraId="2B9FC13B" w14:textId="77777777" w:rsidR="00143013"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E két mutató segítségével elemezhetjük, hogy az egyes ágazatok járműparkjai mennyire öregedtek el. Jelentősebb beruházás, eszközpótlás után ezek a számok erőteljesen lecsökkenhetnek, míg a régi eszköz selejtezésével újra megugorhatnak.</w:t>
      </w:r>
    </w:p>
    <w:p w14:paraId="2AC4CDE6" w14:textId="77777777" w:rsidR="00143013" w:rsidRPr="00787AB7" w:rsidRDefault="00143013" w:rsidP="006131CD">
      <w:pPr>
        <w:jc w:val="both"/>
        <w:rPr>
          <w:rFonts w:ascii="Calibri" w:eastAsia="Calibri" w:hAnsi="Calibri" w:cs="Calibri"/>
          <w:lang w:eastAsia="ru-RU"/>
        </w:rPr>
      </w:pPr>
    </w:p>
    <w:p w14:paraId="5B1BC5BF"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Egy állományi járműre jutó hasznos kocsikilométer (kkm/db)</w:t>
      </w:r>
    </w:p>
    <w:p w14:paraId="537E1E61" w14:textId="77777777" w:rsidR="00143013"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Az ágazatok sajátosságaiból fakadó különbségek ennél a mutatónál jól látszanak. Az előző mutatókhoz hasonlóan nagyobb beruházás, eszközpótlás illetve selejtezés nagymértékben befolyásolja a mértékét.</w:t>
      </w:r>
    </w:p>
    <w:p w14:paraId="286061F5" w14:textId="77777777" w:rsidR="00143013" w:rsidRPr="00787AB7" w:rsidRDefault="00143013" w:rsidP="006131CD">
      <w:pPr>
        <w:jc w:val="both"/>
        <w:rPr>
          <w:rFonts w:ascii="Calibri" w:eastAsia="Calibri" w:hAnsi="Calibri" w:cs="Calibri"/>
          <w:lang w:eastAsia="ru-RU"/>
        </w:rPr>
      </w:pPr>
    </w:p>
    <w:p w14:paraId="149AAB01"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Járművezetői összes teljesített munkaidő/ üzemóra</w:t>
      </w:r>
    </w:p>
    <w:p w14:paraId="0C9F0548" w14:textId="77777777" w:rsidR="00143013"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A hatékonysági mutatószám az ágazati adatok kombinálásával jött létre, oly módon, hogy a busz és troli ágazatoknál kocsiüzemórában, a villamos és metró ágazatoknál pedig vonat üzemórában számoltuk.</w:t>
      </w:r>
    </w:p>
    <w:p w14:paraId="4B9A4C4F" w14:textId="77777777" w:rsidR="00143013" w:rsidRPr="00787AB7" w:rsidRDefault="00143013" w:rsidP="006131CD">
      <w:pPr>
        <w:jc w:val="both"/>
        <w:rPr>
          <w:rFonts w:ascii="Calibri" w:eastAsia="Calibri" w:hAnsi="Calibri" w:cs="Calibri"/>
          <w:lang w:eastAsia="ru-RU"/>
        </w:rPr>
      </w:pPr>
    </w:p>
    <w:p w14:paraId="796E5288"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Állományi jármű darabszám/ egyéb fizikai átlagos létszáma (db/fő)</w:t>
      </w:r>
    </w:p>
    <w:p w14:paraId="18611176" w14:textId="77777777" w:rsidR="00143013"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 xml:space="preserve">A kötött pályás ágazatoknál alacsonyabb az értéke, az infrastruktúra fenntartása miatt. </w:t>
      </w:r>
    </w:p>
    <w:p w14:paraId="5EE79EA0" w14:textId="77777777" w:rsidR="00143013" w:rsidRPr="00787AB7" w:rsidRDefault="00143013" w:rsidP="006131CD">
      <w:pPr>
        <w:jc w:val="both"/>
        <w:rPr>
          <w:rFonts w:ascii="Calibri" w:eastAsia="Calibri" w:hAnsi="Calibri" w:cs="Calibri"/>
          <w:lang w:eastAsia="ru-RU"/>
        </w:rPr>
      </w:pPr>
    </w:p>
    <w:p w14:paraId="76BD5A41"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 xml:space="preserve">Rezsi kkm/hasznos kkm </w:t>
      </w:r>
    </w:p>
    <w:p w14:paraId="593C72A9" w14:textId="77777777" w:rsidR="00143013"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Itt is látszik, hogy a kötöttpályás járművek esetében kisebb a garázsmenet, míg főleg a busz esetében jelentős távolságok lehetnek a garázstól az üzembeállásig.</w:t>
      </w:r>
    </w:p>
    <w:p w14:paraId="7F07B1C1" w14:textId="77777777" w:rsidR="00143013" w:rsidRPr="00787AB7" w:rsidRDefault="00143013" w:rsidP="006131CD">
      <w:pPr>
        <w:jc w:val="both"/>
        <w:rPr>
          <w:rFonts w:ascii="Calibri" w:eastAsia="Calibri" w:hAnsi="Calibri" w:cs="Calibri"/>
          <w:lang w:eastAsia="ru-RU"/>
        </w:rPr>
      </w:pPr>
    </w:p>
    <w:p w14:paraId="653B3CAF"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[Társaságirányítás (IV.</w:t>
      </w:r>
      <w:r w:rsidR="00636D00">
        <w:rPr>
          <w:rFonts w:ascii="Calibri" w:hAnsi="Calibri" w:cs="Calibri"/>
          <w:lang w:eastAsia="ru-RU"/>
        </w:rPr>
        <w:t xml:space="preserve"> </w:t>
      </w:r>
      <w:r w:rsidRPr="00787AB7">
        <w:rPr>
          <w:rFonts w:ascii="Calibri" w:hAnsi="Calibri" w:cs="Calibri"/>
          <w:lang w:eastAsia="ru-RU"/>
        </w:rPr>
        <w:t>sor)+ felosztott műszaki és forgalmi állandó költségek</w:t>
      </w:r>
      <w:r w:rsidRPr="00787AB7">
        <w:rPr>
          <w:rFonts w:ascii="Calibri" w:hAnsi="Calibri" w:cs="Calibri"/>
          <w:lang w:eastAsia="ru-RU"/>
        </w:rPr>
        <w:br/>
        <w:t>(III/3 sor)]/közvetlenül elszámolt változó költségek és ráfordítások (III/1.,2 sorok)</w:t>
      </w:r>
    </w:p>
    <w:p w14:paraId="2C940448" w14:textId="77777777" w:rsidR="000B30C6"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Társaságirányítás (IV. sor)/ költségek és ráfordítások (VII. sor)</w:t>
      </w:r>
    </w:p>
    <w:p w14:paraId="4574F78D" w14:textId="77777777" w:rsidR="00143013"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 xml:space="preserve">E két mutató a közvetett költség mértékét szemlélteti két különböző arányszám alkalmazásával. Nagyságrendjüket a közvetlen és a közvetett költségek alakulása határozza meg, de a mutatók értékét befolyásolhatja például az adott évi értékcsökkenés mértéke is. </w:t>
      </w:r>
    </w:p>
    <w:p w14:paraId="3349BB4F" w14:textId="77777777" w:rsidR="00143013" w:rsidRPr="00787AB7" w:rsidRDefault="00143013" w:rsidP="006131CD">
      <w:pPr>
        <w:jc w:val="both"/>
        <w:rPr>
          <w:rFonts w:ascii="Calibri" w:eastAsia="Calibri" w:hAnsi="Calibri" w:cs="Calibri"/>
          <w:highlight w:val="yellow"/>
          <w:lang w:eastAsia="ru-RU"/>
        </w:rPr>
      </w:pPr>
    </w:p>
    <w:p w14:paraId="2EA38C6F" w14:textId="77777777" w:rsidR="00143013" w:rsidRPr="00787AB7" w:rsidRDefault="009A1A77" w:rsidP="00F07EFC">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Szellemi/ összes fizikai átlagos létszám (%)</w:t>
      </w:r>
    </w:p>
    <w:p w14:paraId="534F43C8" w14:textId="77777777" w:rsidR="00143013"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Általános mutatószám, mely a Társaság fizikai munkavállalóira vonatkoztatva mutatja be a szellemi munkavállalók arányát.</w:t>
      </w:r>
    </w:p>
    <w:p w14:paraId="22E8381C" w14:textId="77777777" w:rsidR="000B30C6" w:rsidRPr="00787AB7" w:rsidRDefault="000B30C6" w:rsidP="006131CD">
      <w:pPr>
        <w:jc w:val="both"/>
        <w:rPr>
          <w:rFonts w:ascii="Calibri" w:eastAsia="Calibri" w:hAnsi="Calibri" w:cs="Calibri"/>
          <w:lang w:eastAsia="ru-RU"/>
        </w:rPr>
      </w:pPr>
    </w:p>
    <w:p w14:paraId="41BD4597"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lastRenderedPageBreak/>
        <w:t>Beruházás/ értékcsökkenés (halasztott bevétellel korrigált) (%)</w:t>
      </w:r>
    </w:p>
    <w:p w14:paraId="15238D45" w14:textId="77777777" w:rsidR="00143013"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A Beruházások alakulása az adott időszakra vonatkozó értékcsökkenéshez viszonyítva kerül bemutatásra, jelezve, hogy a minimálisan elvárt, számviteli szempontból szükséges beruházások milyen mértékben valósultak meg.</w:t>
      </w:r>
    </w:p>
    <w:p w14:paraId="0FEF5AA0" w14:textId="77777777" w:rsidR="000B30C6" w:rsidRPr="00787AB7" w:rsidRDefault="000B30C6" w:rsidP="006131CD">
      <w:pPr>
        <w:jc w:val="both"/>
        <w:rPr>
          <w:rFonts w:ascii="Calibri" w:eastAsia="Calibri" w:hAnsi="Calibri" w:cs="Calibri"/>
          <w:lang w:eastAsia="ru-RU"/>
        </w:rPr>
      </w:pPr>
    </w:p>
    <w:p w14:paraId="6C745555" w14:textId="77777777" w:rsidR="00143013" w:rsidRPr="00787AB7" w:rsidRDefault="009A1A77" w:rsidP="00CB159D">
      <w:pPr>
        <w:keepNext/>
        <w:numPr>
          <w:ilvl w:val="0"/>
          <w:numId w:val="11"/>
        </w:numPr>
        <w:ind w:left="714" w:hanging="357"/>
        <w:contextualSpacing/>
        <w:jc w:val="both"/>
        <w:rPr>
          <w:rFonts w:ascii="Calibri" w:hAnsi="Calibri" w:cs="Calibri"/>
          <w:lang w:eastAsia="ru-RU"/>
        </w:rPr>
      </w:pPr>
      <w:r w:rsidRPr="00787AB7">
        <w:rPr>
          <w:rFonts w:ascii="Calibri" w:hAnsi="Calibri" w:cs="Calibri"/>
          <w:lang w:eastAsia="ru-RU"/>
        </w:rPr>
        <w:t>Igénybe vett anyagjellegű szolgáltatás / (anyagjellegű + személyi jellegű ráfordítás) (%)</w:t>
      </w:r>
    </w:p>
    <w:p w14:paraId="45FA9A56" w14:textId="77777777" w:rsidR="00C329B7" w:rsidRPr="00787AB7" w:rsidRDefault="009A1A77" w:rsidP="006131CD">
      <w:pPr>
        <w:jc w:val="both"/>
        <w:rPr>
          <w:rFonts w:ascii="Calibri" w:eastAsia="Calibri" w:hAnsi="Calibri" w:cs="Calibri"/>
          <w:lang w:eastAsia="ru-RU"/>
        </w:rPr>
      </w:pPr>
      <w:r w:rsidRPr="00787AB7">
        <w:rPr>
          <w:rFonts w:ascii="Calibri" w:eastAsia="Calibri" w:hAnsi="Calibri" w:cs="Calibri"/>
          <w:lang w:eastAsia="ru-RU"/>
        </w:rPr>
        <w:t>A mutatószám azt szemlélteti, hogy a Társaság milyen mértékben vesz igénybe külső felektől szolgáltatásokat.</w:t>
      </w:r>
    </w:p>
    <w:p w14:paraId="1F3D5DB4" w14:textId="77777777" w:rsidR="006131CD" w:rsidRPr="00787AB7" w:rsidRDefault="006131CD" w:rsidP="00623998">
      <w:pPr>
        <w:jc w:val="both"/>
        <w:rPr>
          <w:rFonts w:ascii="Calibri" w:eastAsia="Calibri" w:hAnsi="Calibri" w:cs="Calibri"/>
          <w:highlight w:val="yellow"/>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328"/>
        <w:gridCol w:w="1358"/>
        <w:gridCol w:w="1507"/>
        <w:gridCol w:w="1358"/>
      </w:tblGrid>
      <w:tr w:rsidR="005561A5" w:rsidRPr="005561A5" w14:paraId="6F41B2A9" w14:textId="77777777" w:rsidTr="004962C6">
        <w:trPr>
          <w:trHeight w:val="742"/>
          <w:jc w:val="center"/>
        </w:trPr>
        <w:tc>
          <w:tcPr>
            <w:tcW w:w="735" w:type="dxa"/>
            <w:shd w:val="clear" w:color="auto" w:fill="2528A3"/>
            <w:vAlign w:val="center"/>
          </w:tcPr>
          <w:p w14:paraId="104079C4" w14:textId="77777777" w:rsidR="00C23779" w:rsidRPr="00787AB7" w:rsidRDefault="00C23779" w:rsidP="00C23779">
            <w:pPr>
              <w:rPr>
                <w:rFonts w:ascii="Calibri" w:hAnsi="Calibri"/>
                <w:b/>
                <w:color w:val="FFFFFF" w:themeColor="background1"/>
                <w:sz w:val="20"/>
                <w:szCs w:val="20"/>
              </w:rPr>
            </w:pPr>
            <w:r w:rsidRPr="00787AB7">
              <w:rPr>
                <w:rFonts w:ascii="Calibri" w:hAnsi="Calibri"/>
                <w:b/>
                <w:color w:val="FFFFFF" w:themeColor="background1"/>
                <w:sz w:val="20"/>
                <w:szCs w:val="20"/>
              </w:rPr>
              <w:t>Sors</w:t>
            </w:r>
            <w:r w:rsidR="0052220B" w:rsidRPr="00787AB7">
              <w:rPr>
                <w:rFonts w:ascii="Calibri" w:hAnsi="Calibri"/>
                <w:b/>
                <w:color w:val="FFFFFF" w:themeColor="background1"/>
                <w:sz w:val="20"/>
                <w:szCs w:val="20"/>
              </w:rPr>
              <w:t>z.</w:t>
            </w:r>
          </w:p>
        </w:tc>
        <w:tc>
          <w:tcPr>
            <w:tcW w:w="4328" w:type="dxa"/>
            <w:shd w:val="clear" w:color="auto" w:fill="2528A3"/>
            <w:vAlign w:val="center"/>
          </w:tcPr>
          <w:p w14:paraId="148C1099" w14:textId="77777777" w:rsidR="00C23779" w:rsidRPr="00787AB7" w:rsidRDefault="00C23779" w:rsidP="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Megnevezés</w:t>
            </w:r>
          </w:p>
        </w:tc>
        <w:tc>
          <w:tcPr>
            <w:tcW w:w="1358" w:type="dxa"/>
            <w:shd w:val="clear" w:color="auto" w:fill="2528A3"/>
            <w:vAlign w:val="center"/>
          </w:tcPr>
          <w:p w14:paraId="5C65807E" w14:textId="77777777" w:rsidR="00C23779" w:rsidRPr="00787AB7" w:rsidRDefault="00C23779" w:rsidP="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2016. évi</w:t>
            </w:r>
            <w:r w:rsidRPr="00787AB7">
              <w:rPr>
                <w:rFonts w:ascii="Calibri" w:hAnsi="Calibri"/>
                <w:b/>
                <w:color w:val="FFFFFF" w:themeColor="background1"/>
                <w:sz w:val="20"/>
                <w:szCs w:val="20"/>
              </w:rPr>
              <w:br/>
              <w:t>Tény</w:t>
            </w:r>
          </w:p>
        </w:tc>
        <w:tc>
          <w:tcPr>
            <w:tcW w:w="1507" w:type="dxa"/>
            <w:shd w:val="clear" w:color="auto" w:fill="2528A3"/>
            <w:vAlign w:val="center"/>
          </w:tcPr>
          <w:p w14:paraId="3CFF437B" w14:textId="464BA0A9" w:rsidR="00C23779" w:rsidRPr="00787AB7" w:rsidRDefault="00C23779">
            <w:pPr>
              <w:jc w:val="center"/>
              <w:rPr>
                <w:rFonts w:ascii="Calibri" w:hAnsi="Calibri" w:cs="Calibri"/>
                <w:b/>
                <w:bCs/>
                <w:color w:val="FFFFFF" w:themeColor="background1"/>
                <w:sz w:val="20"/>
                <w:szCs w:val="20"/>
              </w:rPr>
            </w:pPr>
            <w:r w:rsidRPr="00787AB7">
              <w:rPr>
                <w:rFonts w:ascii="Calibri" w:hAnsi="Calibri"/>
                <w:b/>
                <w:color w:val="FFFFFF" w:themeColor="background1"/>
                <w:sz w:val="20"/>
                <w:szCs w:val="20"/>
              </w:rPr>
              <w:t>2017. évi</w:t>
            </w:r>
            <w:r w:rsidRPr="00787AB7">
              <w:rPr>
                <w:rFonts w:ascii="Calibri" w:hAnsi="Calibri"/>
                <w:b/>
                <w:color w:val="FFFFFF" w:themeColor="background1"/>
                <w:sz w:val="20"/>
                <w:szCs w:val="20"/>
              </w:rPr>
              <w:br/>
            </w:r>
            <w:r w:rsidR="005561A5">
              <w:rPr>
                <w:rFonts w:ascii="Calibri" w:hAnsi="Calibri"/>
                <w:b/>
                <w:color w:val="FFFFFF" w:themeColor="background1"/>
                <w:sz w:val="20"/>
                <w:szCs w:val="20"/>
              </w:rPr>
              <w:t>Tény</w:t>
            </w:r>
          </w:p>
        </w:tc>
        <w:tc>
          <w:tcPr>
            <w:tcW w:w="1358" w:type="dxa"/>
            <w:shd w:val="clear" w:color="auto" w:fill="2528A3"/>
            <w:vAlign w:val="center"/>
          </w:tcPr>
          <w:p w14:paraId="27CC9A21" w14:textId="77777777" w:rsidR="00C23779" w:rsidRPr="00787AB7" w:rsidRDefault="00C23779" w:rsidP="00013947">
            <w:pPr>
              <w:jc w:val="center"/>
              <w:rPr>
                <w:rFonts w:ascii="Calibri" w:hAnsi="Calibri" w:cs="Calibri"/>
                <w:b/>
                <w:bCs/>
                <w:color w:val="FFFFFF" w:themeColor="background1"/>
                <w:sz w:val="20"/>
                <w:szCs w:val="20"/>
              </w:rPr>
            </w:pPr>
            <w:r w:rsidRPr="00787AB7">
              <w:rPr>
                <w:rFonts w:ascii="Calibri" w:hAnsi="Calibri"/>
                <w:b/>
                <w:color w:val="FFFFFF" w:themeColor="background1"/>
                <w:sz w:val="20"/>
                <w:szCs w:val="20"/>
              </w:rPr>
              <w:t>2018. évi</w:t>
            </w:r>
            <w:r w:rsidRPr="00787AB7">
              <w:rPr>
                <w:rFonts w:ascii="Calibri" w:hAnsi="Calibri"/>
                <w:b/>
                <w:color w:val="FFFFFF" w:themeColor="background1"/>
                <w:sz w:val="20"/>
                <w:szCs w:val="20"/>
              </w:rPr>
              <w:br/>
              <w:t>Terv</w:t>
            </w:r>
          </w:p>
        </w:tc>
      </w:tr>
      <w:tr w:rsidR="005561A5" w:rsidRPr="005561A5" w14:paraId="662BD274" w14:textId="77777777" w:rsidTr="004962C6">
        <w:trPr>
          <w:trHeight w:val="360"/>
          <w:jc w:val="center"/>
        </w:trPr>
        <w:tc>
          <w:tcPr>
            <w:tcW w:w="735" w:type="dxa"/>
            <w:vAlign w:val="center"/>
          </w:tcPr>
          <w:p w14:paraId="466FF2F5" w14:textId="77777777" w:rsidR="005561A5" w:rsidRPr="00787AB7" w:rsidRDefault="005561A5" w:rsidP="00C23779">
            <w:pPr>
              <w:ind w:left="233" w:hanging="233"/>
              <w:rPr>
                <w:rFonts w:ascii="Calibri" w:hAnsi="Calibri"/>
                <w:bCs/>
                <w:sz w:val="18"/>
                <w:szCs w:val="18"/>
              </w:rPr>
            </w:pPr>
            <w:r w:rsidRPr="00787AB7">
              <w:rPr>
                <w:rFonts w:ascii="Calibri" w:hAnsi="Calibri"/>
                <w:bCs/>
                <w:sz w:val="18"/>
                <w:szCs w:val="18"/>
              </w:rPr>
              <w:t>1.</w:t>
            </w:r>
          </w:p>
        </w:tc>
        <w:tc>
          <w:tcPr>
            <w:tcW w:w="4328" w:type="dxa"/>
            <w:shd w:val="clear" w:color="auto" w:fill="auto"/>
            <w:vAlign w:val="center"/>
          </w:tcPr>
          <w:p w14:paraId="4FC87AB1" w14:textId="77777777" w:rsidR="005561A5" w:rsidRPr="00787AB7" w:rsidRDefault="005561A5" w:rsidP="004D7395">
            <w:pPr>
              <w:ind w:left="16" w:hanging="16"/>
              <w:rPr>
                <w:rFonts w:asciiTheme="minorHAnsi" w:hAnsiTheme="minorHAnsi" w:cstheme="minorHAnsi"/>
                <w:bCs/>
                <w:sz w:val="18"/>
                <w:szCs w:val="18"/>
              </w:rPr>
            </w:pPr>
            <w:r w:rsidRPr="00787AB7">
              <w:rPr>
                <w:rFonts w:ascii="Calibri" w:hAnsi="Calibri"/>
                <w:bCs/>
                <w:sz w:val="18"/>
                <w:szCs w:val="18"/>
              </w:rPr>
              <w:t>Ezer fhkm teljesítményre vetített kompenzáció</w:t>
            </w:r>
            <w:r w:rsidRPr="00787AB7">
              <w:rPr>
                <w:rFonts w:ascii="Calibri" w:hAnsi="Calibri"/>
                <w:bCs/>
                <w:sz w:val="18"/>
                <w:szCs w:val="18"/>
              </w:rPr>
              <w:br/>
              <w:t>(Ft/ezer fhkm)</w:t>
            </w:r>
          </w:p>
        </w:tc>
        <w:tc>
          <w:tcPr>
            <w:tcW w:w="1358" w:type="dxa"/>
            <w:vAlign w:val="center"/>
          </w:tcPr>
          <w:p w14:paraId="5917C266" w14:textId="5E5F3E19" w:rsidR="005561A5" w:rsidRPr="00787AB7" w:rsidRDefault="005561A5" w:rsidP="0052220B">
            <w:pPr>
              <w:jc w:val="right"/>
              <w:rPr>
                <w:rFonts w:ascii="Calibri" w:hAnsi="Calibri"/>
                <w:sz w:val="18"/>
                <w:szCs w:val="18"/>
              </w:rPr>
            </w:pPr>
            <w:r w:rsidRPr="00787AB7">
              <w:rPr>
                <w:rFonts w:ascii="Calibri" w:hAnsi="Calibri"/>
                <w:sz w:val="18"/>
                <w:szCs w:val="18"/>
              </w:rPr>
              <w:t>7 662</w:t>
            </w:r>
          </w:p>
        </w:tc>
        <w:tc>
          <w:tcPr>
            <w:tcW w:w="1507" w:type="dxa"/>
            <w:vAlign w:val="center"/>
          </w:tcPr>
          <w:p w14:paraId="7F89A4AF" w14:textId="06DE2299" w:rsidR="005561A5" w:rsidRPr="00787AB7" w:rsidRDefault="005561A5" w:rsidP="0052220B">
            <w:pPr>
              <w:jc w:val="right"/>
              <w:rPr>
                <w:rFonts w:ascii="Calibri" w:hAnsi="Calibri" w:cs="Calibri"/>
                <w:sz w:val="18"/>
                <w:szCs w:val="18"/>
              </w:rPr>
            </w:pPr>
            <w:r w:rsidRPr="00787AB7">
              <w:rPr>
                <w:rFonts w:ascii="Calibri" w:hAnsi="Calibri"/>
                <w:sz w:val="18"/>
                <w:szCs w:val="18"/>
              </w:rPr>
              <w:t>8 023</w:t>
            </w:r>
          </w:p>
        </w:tc>
        <w:tc>
          <w:tcPr>
            <w:tcW w:w="1358" w:type="dxa"/>
            <w:vAlign w:val="center"/>
          </w:tcPr>
          <w:p w14:paraId="5E7FC169" w14:textId="12E1EF13" w:rsidR="005561A5" w:rsidRPr="00787AB7" w:rsidRDefault="005561A5" w:rsidP="0052220B">
            <w:pPr>
              <w:jc w:val="right"/>
              <w:rPr>
                <w:rFonts w:ascii="Calibri" w:hAnsi="Calibri"/>
                <w:sz w:val="18"/>
                <w:szCs w:val="18"/>
              </w:rPr>
            </w:pPr>
            <w:r w:rsidRPr="00787AB7">
              <w:rPr>
                <w:rFonts w:ascii="Calibri" w:hAnsi="Calibri"/>
                <w:sz w:val="18"/>
                <w:szCs w:val="18"/>
              </w:rPr>
              <w:t>8 798</w:t>
            </w:r>
          </w:p>
        </w:tc>
      </w:tr>
      <w:tr w:rsidR="005561A5" w:rsidRPr="005561A5" w14:paraId="627B83E0" w14:textId="77777777" w:rsidTr="004962C6">
        <w:trPr>
          <w:trHeight w:val="360"/>
          <w:jc w:val="center"/>
        </w:trPr>
        <w:tc>
          <w:tcPr>
            <w:tcW w:w="735" w:type="dxa"/>
            <w:vAlign w:val="center"/>
          </w:tcPr>
          <w:p w14:paraId="3A3588E7" w14:textId="77777777" w:rsidR="005561A5" w:rsidRPr="00787AB7" w:rsidRDefault="005561A5" w:rsidP="00C23779">
            <w:pPr>
              <w:rPr>
                <w:rFonts w:ascii="Calibri" w:hAnsi="Calibri"/>
                <w:bCs/>
                <w:sz w:val="18"/>
                <w:szCs w:val="18"/>
              </w:rPr>
            </w:pPr>
            <w:r w:rsidRPr="00787AB7">
              <w:rPr>
                <w:rFonts w:ascii="Calibri" w:hAnsi="Calibri"/>
                <w:bCs/>
                <w:sz w:val="18"/>
                <w:szCs w:val="18"/>
              </w:rPr>
              <w:t>2.</w:t>
            </w:r>
          </w:p>
        </w:tc>
        <w:tc>
          <w:tcPr>
            <w:tcW w:w="4328" w:type="dxa"/>
            <w:shd w:val="clear" w:color="auto" w:fill="auto"/>
            <w:vAlign w:val="center"/>
          </w:tcPr>
          <w:p w14:paraId="32D1DAD0" w14:textId="77777777" w:rsidR="005561A5" w:rsidRPr="00787AB7" w:rsidRDefault="005561A5" w:rsidP="00C23779">
            <w:pPr>
              <w:rPr>
                <w:rFonts w:asciiTheme="minorHAnsi" w:hAnsiTheme="minorHAnsi" w:cstheme="minorHAnsi"/>
                <w:bCs/>
                <w:sz w:val="18"/>
                <w:szCs w:val="18"/>
              </w:rPr>
            </w:pPr>
            <w:r w:rsidRPr="00787AB7">
              <w:rPr>
                <w:rFonts w:ascii="Calibri" w:hAnsi="Calibri"/>
                <w:bCs/>
                <w:sz w:val="18"/>
                <w:szCs w:val="18"/>
              </w:rPr>
              <w:t>Üzemképes járműállomány/átlagos járműállomány</w:t>
            </w:r>
            <w:r w:rsidRPr="00787AB7">
              <w:rPr>
                <w:rFonts w:ascii="Calibri" w:hAnsi="Calibri"/>
                <w:bCs/>
                <w:sz w:val="18"/>
                <w:szCs w:val="18"/>
              </w:rPr>
              <w:br/>
              <w:t>(kocsi) aránya (%)</w:t>
            </w:r>
          </w:p>
        </w:tc>
        <w:tc>
          <w:tcPr>
            <w:tcW w:w="1358" w:type="dxa"/>
            <w:vAlign w:val="center"/>
          </w:tcPr>
          <w:p w14:paraId="37C42FAF" w14:textId="009D54D1" w:rsidR="005561A5" w:rsidRPr="00787AB7" w:rsidRDefault="005561A5" w:rsidP="0052220B">
            <w:pPr>
              <w:jc w:val="right"/>
              <w:rPr>
                <w:rFonts w:ascii="Calibri" w:hAnsi="Calibri"/>
                <w:sz w:val="18"/>
                <w:szCs w:val="18"/>
              </w:rPr>
            </w:pPr>
            <w:r w:rsidRPr="00787AB7">
              <w:rPr>
                <w:rFonts w:ascii="Calibri" w:hAnsi="Calibri"/>
                <w:sz w:val="18"/>
                <w:szCs w:val="18"/>
              </w:rPr>
              <w:t>86%</w:t>
            </w:r>
          </w:p>
        </w:tc>
        <w:tc>
          <w:tcPr>
            <w:tcW w:w="1507" w:type="dxa"/>
            <w:vAlign w:val="center"/>
          </w:tcPr>
          <w:p w14:paraId="7C662968" w14:textId="2ECB9025" w:rsidR="005561A5" w:rsidRPr="00787AB7" w:rsidRDefault="005561A5" w:rsidP="0052220B">
            <w:pPr>
              <w:jc w:val="right"/>
              <w:rPr>
                <w:rFonts w:ascii="Calibri" w:hAnsi="Calibri" w:cs="Calibri"/>
                <w:sz w:val="18"/>
                <w:szCs w:val="18"/>
              </w:rPr>
            </w:pPr>
            <w:r w:rsidRPr="00787AB7">
              <w:rPr>
                <w:rFonts w:ascii="Calibri" w:hAnsi="Calibri"/>
                <w:sz w:val="18"/>
                <w:szCs w:val="18"/>
              </w:rPr>
              <w:t>86%</w:t>
            </w:r>
          </w:p>
        </w:tc>
        <w:tc>
          <w:tcPr>
            <w:tcW w:w="1358" w:type="dxa"/>
            <w:vAlign w:val="center"/>
          </w:tcPr>
          <w:p w14:paraId="764F7D01" w14:textId="5265BA73" w:rsidR="005561A5" w:rsidRPr="00787AB7" w:rsidRDefault="005561A5" w:rsidP="0052220B">
            <w:pPr>
              <w:jc w:val="right"/>
              <w:rPr>
                <w:rFonts w:ascii="Calibri" w:hAnsi="Calibri"/>
                <w:sz w:val="18"/>
                <w:szCs w:val="18"/>
              </w:rPr>
            </w:pPr>
            <w:r w:rsidRPr="00787AB7">
              <w:rPr>
                <w:rFonts w:ascii="Calibri" w:hAnsi="Calibri"/>
                <w:sz w:val="18"/>
                <w:szCs w:val="18"/>
              </w:rPr>
              <w:t>86%</w:t>
            </w:r>
          </w:p>
        </w:tc>
      </w:tr>
      <w:tr w:rsidR="005561A5" w:rsidRPr="005561A5" w14:paraId="18A00838" w14:textId="77777777" w:rsidTr="004962C6">
        <w:trPr>
          <w:trHeight w:val="360"/>
          <w:jc w:val="center"/>
        </w:trPr>
        <w:tc>
          <w:tcPr>
            <w:tcW w:w="735" w:type="dxa"/>
            <w:vAlign w:val="center"/>
          </w:tcPr>
          <w:p w14:paraId="377F1399" w14:textId="77777777" w:rsidR="005561A5" w:rsidRPr="00787AB7" w:rsidRDefault="005561A5" w:rsidP="00C23779">
            <w:pPr>
              <w:rPr>
                <w:rFonts w:ascii="Calibri" w:hAnsi="Calibri"/>
                <w:bCs/>
                <w:sz w:val="18"/>
                <w:szCs w:val="18"/>
              </w:rPr>
            </w:pPr>
            <w:r w:rsidRPr="00787AB7">
              <w:rPr>
                <w:rFonts w:ascii="Calibri" w:hAnsi="Calibri"/>
                <w:bCs/>
                <w:sz w:val="18"/>
                <w:szCs w:val="18"/>
              </w:rPr>
              <w:t>3.</w:t>
            </w:r>
          </w:p>
        </w:tc>
        <w:tc>
          <w:tcPr>
            <w:tcW w:w="4328" w:type="dxa"/>
            <w:shd w:val="clear" w:color="auto" w:fill="auto"/>
            <w:vAlign w:val="center"/>
          </w:tcPr>
          <w:p w14:paraId="211FABA7" w14:textId="77777777" w:rsidR="005561A5" w:rsidRPr="00787AB7" w:rsidRDefault="005561A5" w:rsidP="00C23779">
            <w:pPr>
              <w:rPr>
                <w:rFonts w:asciiTheme="minorHAnsi" w:hAnsiTheme="minorHAnsi" w:cstheme="minorHAnsi"/>
                <w:bCs/>
                <w:sz w:val="18"/>
                <w:szCs w:val="18"/>
              </w:rPr>
            </w:pPr>
            <w:r w:rsidRPr="00787AB7">
              <w:rPr>
                <w:rFonts w:ascii="Calibri" w:hAnsi="Calibri"/>
                <w:bCs/>
                <w:sz w:val="18"/>
                <w:szCs w:val="18"/>
              </w:rPr>
              <w:t>Átlagos forgalmi/ átlagos állományi jármű (kocsi)</w:t>
            </w:r>
            <w:r w:rsidRPr="00787AB7">
              <w:rPr>
                <w:rFonts w:ascii="Calibri" w:hAnsi="Calibri"/>
                <w:bCs/>
                <w:sz w:val="18"/>
                <w:szCs w:val="18"/>
              </w:rPr>
              <w:br/>
              <w:t>darabszám (%)</w:t>
            </w:r>
          </w:p>
        </w:tc>
        <w:tc>
          <w:tcPr>
            <w:tcW w:w="1358" w:type="dxa"/>
            <w:vAlign w:val="center"/>
          </w:tcPr>
          <w:p w14:paraId="5708DBB1" w14:textId="23AEBF68" w:rsidR="005561A5" w:rsidRPr="00787AB7" w:rsidRDefault="005561A5" w:rsidP="0052220B">
            <w:pPr>
              <w:jc w:val="right"/>
              <w:rPr>
                <w:rFonts w:ascii="Calibri" w:hAnsi="Calibri"/>
                <w:sz w:val="18"/>
                <w:szCs w:val="18"/>
              </w:rPr>
            </w:pPr>
            <w:r w:rsidRPr="00787AB7">
              <w:rPr>
                <w:rFonts w:ascii="Calibri" w:hAnsi="Calibri"/>
                <w:sz w:val="18"/>
                <w:szCs w:val="18"/>
              </w:rPr>
              <w:t>74%</w:t>
            </w:r>
          </w:p>
        </w:tc>
        <w:tc>
          <w:tcPr>
            <w:tcW w:w="1507" w:type="dxa"/>
            <w:vAlign w:val="center"/>
          </w:tcPr>
          <w:p w14:paraId="09E0EDB8" w14:textId="01F1D10D" w:rsidR="005561A5" w:rsidRPr="00787AB7" w:rsidRDefault="005561A5" w:rsidP="0052220B">
            <w:pPr>
              <w:jc w:val="right"/>
              <w:rPr>
                <w:rFonts w:ascii="Calibri" w:hAnsi="Calibri" w:cs="Calibri"/>
                <w:sz w:val="18"/>
                <w:szCs w:val="18"/>
              </w:rPr>
            </w:pPr>
            <w:r w:rsidRPr="00787AB7">
              <w:rPr>
                <w:rFonts w:ascii="Calibri" w:hAnsi="Calibri"/>
                <w:sz w:val="18"/>
                <w:szCs w:val="18"/>
              </w:rPr>
              <w:t>73%</w:t>
            </w:r>
          </w:p>
        </w:tc>
        <w:tc>
          <w:tcPr>
            <w:tcW w:w="1358" w:type="dxa"/>
            <w:vAlign w:val="center"/>
          </w:tcPr>
          <w:p w14:paraId="150C6C36" w14:textId="34ED9227" w:rsidR="005561A5" w:rsidRPr="00787AB7" w:rsidRDefault="005561A5" w:rsidP="0052220B">
            <w:pPr>
              <w:jc w:val="right"/>
              <w:rPr>
                <w:rFonts w:ascii="Calibri" w:hAnsi="Calibri"/>
                <w:sz w:val="18"/>
                <w:szCs w:val="18"/>
              </w:rPr>
            </w:pPr>
            <w:r w:rsidRPr="00787AB7">
              <w:rPr>
                <w:rFonts w:ascii="Calibri" w:hAnsi="Calibri"/>
                <w:sz w:val="18"/>
                <w:szCs w:val="18"/>
              </w:rPr>
              <w:t>76%</w:t>
            </w:r>
          </w:p>
        </w:tc>
      </w:tr>
      <w:tr w:rsidR="005561A5" w:rsidRPr="005561A5" w14:paraId="0CE58856" w14:textId="77777777" w:rsidTr="004962C6">
        <w:trPr>
          <w:trHeight w:val="360"/>
          <w:jc w:val="center"/>
        </w:trPr>
        <w:tc>
          <w:tcPr>
            <w:tcW w:w="735" w:type="dxa"/>
            <w:vAlign w:val="center"/>
          </w:tcPr>
          <w:p w14:paraId="4E681373" w14:textId="77777777" w:rsidR="005561A5" w:rsidRPr="00787AB7" w:rsidRDefault="005561A5" w:rsidP="00C23779">
            <w:pPr>
              <w:rPr>
                <w:rFonts w:ascii="Calibri" w:hAnsi="Calibri"/>
                <w:bCs/>
                <w:sz w:val="18"/>
                <w:szCs w:val="18"/>
              </w:rPr>
            </w:pPr>
            <w:r w:rsidRPr="00787AB7">
              <w:rPr>
                <w:rFonts w:ascii="Calibri" w:hAnsi="Calibri"/>
                <w:bCs/>
                <w:sz w:val="18"/>
                <w:szCs w:val="18"/>
              </w:rPr>
              <w:t>4.</w:t>
            </w:r>
          </w:p>
        </w:tc>
        <w:tc>
          <w:tcPr>
            <w:tcW w:w="4328" w:type="dxa"/>
            <w:shd w:val="clear" w:color="auto" w:fill="auto"/>
            <w:vAlign w:val="center"/>
          </w:tcPr>
          <w:p w14:paraId="09BF0B15" w14:textId="77777777" w:rsidR="005561A5" w:rsidRPr="00787AB7" w:rsidRDefault="005561A5" w:rsidP="00C23779">
            <w:pPr>
              <w:rPr>
                <w:rFonts w:ascii="Calibri" w:hAnsi="Calibri"/>
                <w:bCs/>
                <w:sz w:val="18"/>
                <w:szCs w:val="18"/>
              </w:rPr>
            </w:pPr>
            <w:r w:rsidRPr="00787AB7">
              <w:rPr>
                <w:rFonts w:ascii="Calibri" w:hAnsi="Calibri"/>
                <w:bCs/>
                <w:sz w:val="18"/>
                <w:szCs w:val="18"/>
              </w:rPr>
              <w:t>Egy állományi járműre jutó hasznos kocsikilométer</w:t>
            </w:r>
          </w:p>
          <w:p w14:paraId="0118D21D" w14:textId="77777777" w:rsidR="005561A5" w:rsidRPr="00787AB7" w:rsidRDefault="005561A5" w:rsidP="004D7395">
            <w:pPr>
              <w:rPr>
                <w:rFonts w:asciiTheme="minorHAnsi" w:hAnsiTheme="minorHAnsi" w:cstheme="minorHAnsi"/>
                <w:bCs/>
                <w:sz w:val="18"/>
                <w:szCs w:val="18"/>
              </w:rPr>
            </w:pPr>
            <w:r w:rsidRPr="00787AB7">
              <w:rPr>
                <w:rFonts w:ascii="Calibri" w:hAnsi="Calibri"/>
                <w:bCs/>
                <w:sz w:val="18"/>
                <w:szCs w:val="18"/>
              </w:rPr>
              <w:t>(kkm/db)</w:t>
            </w:r>
          </w:p>
        </w:tc>
        <w:tc>
          <w:tcPr>
            <w:tcW w:w="1358" w:type="dxa"/>
            <w:vAlign w:val="center"/>
          </w:tcPr>
          <w:p w14:paraId="30415FD4" w14:textId="190C9F04" w:rsidR="005561A5" w:rsidRPr="00787AB7" w:rsidRDefault="005561A5" w:rsidP="0052220B">
            <w:pPr>
              <w:jc w:val="right"/>
              <w:rPr>
                <w:rFonts w:ascii="Calibri" w:hAnsi="Calibri"/>
                <w:sz w:val="18"/>
                <w:szCs w:val="18"/>
              </w:rPr>
            </w:pPr>
            <w:r w:rsidRPr="00787AB7">
              <w:rPr>
                <w:rFonts w:ascii="Calibri" w:hAnsi="Calibri"/>
                <w:sz w:val="18"/>
                <w:szCs w:val="18"/>
              </w:rPr>
              <w:t>55 489</w:t>
            </w:r>
          </w:p>
        </w:tc>
        <w:tc>
          <w:tcPr>
            <w:tcW w:w="1507" w:type="dxa"/>
            <w:vAlign w:val="center"/>
          </w:tcPr>
          <w:p w14:paraId="570611D2" w14:textId="143D1374" w:rsidR="005561A5" w:rsidRPr="00787AB7" w:rsidRDefault="005561A5" w:rsidP="0052220B">
            <w:pPr>
              <w:jc w:val="right"/>
              <w:rPr>
                <w:rFonts w:ascii="Calibri" w:hAnsi="Calibri" w:cs="Calibri"/>
                <w:sz w:val="18"/>
                <w:szCs w:val="18"/>
              </w:rPr>
            </w:pPr>
            <w:r w:rsidRPr="00787AB7">
              <w:rPr>
                <w:rFonts w:ascii="Calibri" w:hAnsi="Calibri"/>
                <w:sz w:val="18"/>
                <w:szCs w:val="18"/>
              </w:rPr>
              <w:t>53 719</w:t>
            </w:r>
          </w:p>
        </w:tc>
        <w:tc>
          <w:tcPr>
            <w:tcW w:w="1358" w:type="dxa"/>
            <w:vAlign w:val="center"/>
          </w:tcPr>
          <w:p w14:paraId="1EE68769" w14:textId="0620090F" w:rsidR="005561A5" w:rsidRPr="00787AB7" w:rsidRDefault="005561A5">
            <w:pPr>
              <w:jc w:val="right"/>
              <w:rPr>
                <w:rFonts w:ascii="Calibri" w:hAnsi="Calibri"/>
                <w:sz w:val="18"/>
                <w:szCs w:val="18"/>
              </w:rPr>
            </w:pPr>
            <w:r w:rsidRPr="00787AB7">
              <w:rPr>
                <w:rFonts w:ascii="Calibri" w:hAnsi="Calibri"/>
                <w:sz w:val="18"/>
                <w:szCs w:val="18"/>
              </w:rPr>
              <w:t>53 437</w:t>
            </w:r>
          </w:p>
        </w:tc>
      </w:tr>
      <w:tr w:rsidR="005561A5" w:rsidRPr="005561A5" w14:paraId="464D8E0A" w14:textId="77777777" w:rsidTr="004962C6">
        <w:trPr>
          <w:trHeight w:val="360"/>
          <w:jc w:val="center"/>
        </w:trPr>
        <w:tc>
          <w:tcPr>
            <w:tcW w:w="735" w:type="dxa"/>
            <w:vAlign w:val="center"/>
          </w:tcPr>
          <w:p w14:paraId="5CABFFC4" w14:textId="77777777" w:rsidR="005561A5" w:rsidRPr="00787AB7" w:rsidRDefault="005561A5" w:rsidP="00C23779">
            <w:pPr>
              <w:rPr>
                <w:rFonts w:ascii="Calibri" w:hAnsi="Calibri"/>
                <w:bCs/>
                <w:sz w:val="18"/>
                <w:szCs w:val="18"/>
              </w:rPr>
            </w:pPr>
            <w:r w:rsidRPr="00787AB7">
              <w:rPr>
                <w:rFonts w:ascii="Calibri" w:hAnsi="Calibri"/>
                <w:bCs/>
                <w:sz w:val="18"/>
                <w:szCs w:val="18"/>
              </w:rPr>
              <w:t>5.</w:t>
            </w:r>
          </w:p>
        </w:tc>
        <w:tc>
          <w:tcPr>
            <w:tcW w:w="4328" w:type="dxa"/>
            <w:shd w:val="clear" w:color="auto" w:fill="auto"/>
            <w:vAlign w:val="center"/>
          </w:tcPr>
          <w:p w14:paraId="4D7FE8B4" w14:textId="77777777" w:rsidR="005561A5" w:rsidRPr="00787AB7" w:rsidRDefault="005561A5" w:rsidP="00C23779">
            <w:pPr>
              <w:rPr>
                <w:rFonts w:asciiTheme="minorHAnsi" w:hAnsiTheme="minorHAnsi" w:cstheme="minorHAnsi"/>
                <w:bCs/>
                <w:sz w:val="18"/>
                <w:szCs w:val="18"/>
              </w:rPr>
            </w:pPr>
            <w:r w:rsidRPr="00787AB7">
              <w:rPr>
                <w:rFonts w:ascii="Calibri" w:hAnsi="Calibri"/>
                <w:bCs/>
                <w:sz w:val="18"/>
                <w:szCs w:val="18"/>
              </w:rPr>
              <w:t>Járművezetői összes teljesített munkaidő/ üzemóra</w:t>
            </w:r>
          </w:p>
        </w:tc>
        <w:tc>
          <w:tcPr>
            <w:tcW w:w="1358" w:type="dxa"/>
            <w:vAlign w:val="center"/>
          </w:tcPr>
          <w:p w14:paraId="3F0F2DD0" w14:textId="1608359B" w:rsidR="005561A5" w:rsidRPr="00787AB7" w:rsidRDefault="005561A5" w:rsidP="0052220B">
            <w:pPr>
              <w:jc w:val="right"/>
              <w:rPr>
                <w:rFonts w:ascii="Calibri" w:hAnsi="Calibri"/>
                <w:sz w:val="18"/>
                <w:szCs w:val="18"/>
              </w:rPr>
            </w:pPr>
            <w:r w:rsidRPr="00787AB7">
              <w:rPr>
                <w:rFonts w:ascii="Calibri" w:hAnsi="Calibri"/>
                <w:sz w:val="18"/>
                <w:szCs w:val="18"/>
              </w:rPr>
              <w:t>1,33</w:t>
            </w:r>
          </w:p>
        </w:tc>
        <w:tc>
          <w:tcPr>
            <w:tcW w:w="1507" w:type="dxa"/>
            <w:vAlign w:val="center"/>
          </w:tcPr>
          <w:p w14:paraId="445D5808" w14:textId="53FD34C7" w:rsidR="005561A5" w:rsidRPr="00787AB7" w:rsidRDefault="005561A5" w:rsidP="0052220B">
            <w:pPr>
              <w:jc w:val="right"/>
              <w:rPr>
                <w:rFonts w:ascii="Calibri" w:hAnsi="Calibri" w:cs="Calibri"/>
                <w:sz w:val="18"/>
                <w:szCs w:val="18"/>
              </w:rPr>
            </w:pPr>
            <w:r w:rsidRPr="00787AB7">
              <w:rPr>
                <w:rFonts w:ascii="Calibri" w:hAnsi="Calibri"/>
                <w:sz w:val="18"/>
                <w:szCs w:val="18"/>
              </w:rPr>
              <w:t>1,32</w:t>
            </w:r>
          </w:p>
        </w:tc>
        <w:tc>
          <w:tcPr>
            <w:tcW w:w="1358" w:type="dxa"/>
            <w:vAlign w:val="center"/>
          </w:tcPr>
          <w:p w14:paraId="4C071215" w14:textId="33DE9C59" w:rsidR="005561A5" w:rsidRPr="00787AB7" w:rsidRDefault="005561A5" w:rsidP="0052220B">
            <w:pPr>
              <w:jc w:val="right"/>
              <w:rPr>
                <w:rFonts w:ascii="Calibri" w:hAnsi="Calibri"/>
                <w:sz w:val="18"/>
                <w:szCs w:val="18"/>
              </w:rPr>
            </w:pPr>
            <w:r w:rsidRPr="00787AB7">
              <w:rPr>
                <w:rFonts w:ascii="Calibri" w:hAnsi="Calibri"/>
                <w:sz w:val="18"/>
                <w:szCs w:val="18"/>
              </w:rPr>
              <w:t>n.a.</w:t>
            </w:r>
          </w:p>
        </w:tc>
      </w:tr>
      <w:tr w:rsidR="00446CBF" w:rsidRPr="005561A5" w14:paraId="56A736A9" w14:textId="77777777" w:rsidTr="004962C6">
        <w:trPr>
          <w:trHeight w:val="360"/>
          <w:jc w:val="center"/>
        </w:trPr>
        <w:tc>
          <w:tcPr>
            <w:tcW w:w="735" w:type="dxa"/>
            <w:vAlign w:val="center"/>
          </w:tcPr>
          <w:p w14:paraId="284EEA61" w14:textId="77777777" w:rsidR="00446CBF" w:rsidRPr="00787AB7" w:rsidRDefault="00446CBF" w:rsidP="00C23779">
            <w:pPr>
              <w:rPr>
                <w:rFonts w:ascii="Calibri" w:hAnsi="Calibri"/>
                <w:bCs/>
                <w:sz w:val="18"/>
                <w:szCs w:val="18"/>
              </w:rPr>
            </w:pPr>
            <w:r w:rsidRPr="00787AB7">
              <w:rPr>
                <w:rFonts w:ascii="Calibri" w:hAnsi="Calibri"/>
                <w:bCs/>
                <w:sz w:val="18"/>
                <w:szCs w:val="18"/>
              </w:rPr>
              <w:t>6.</w:t>
            </w:r>
          </w:p>
        </w:tc>
        <w:tc>
          <w:tcPr>
            <w:tcW w:w="4328" w:type="dxa"/>
            <w:shd w:val="clear" w:color="auto" w:fill="auto"/>
            <w:vAlign w:val="center"/>
          </w:tcPr>
          <w:p w14:paraId="76824F6C" w14:textId="77777777" w:rsidR="00446CBF" w:rsidRPr="00787AB7" w:rsidRDefault="00446CBF" w:rsidP="004D7395">
            <w:pPr>
              <w:rPr>
                <w:rFonts w:asciiTheme="minorHAnsi" w:hAnsiTheme="minorHAnsi" w:cstheme="minorHAnsi"/>
                <w:bCs/>
                <w:sz w:val="18"/>
                <w:szCs w:val="18"/>
              </w:rPr>
            </w:pPr>
            <w:r w:rsidRPr="00787AB7">
              <w:rPr>
                <w:rFonts w:ascii="Calibri" w:hAnsi="Calibri"/>
                <w:bCs/>
                <w:sz w:val="18"/>
                <w:szCs w:val="18"/>
              </w:rPr>
              <w:t>Állományi jármű darabszám,/egyéb fizikai átlagos létszáma (db/fő)</w:t>
            </w:r>
          </w:p>
        </w:tc>
        <w:tc>
          <w:tcPr>
            <w:tcW w:w="1358" w:type="dxa"/>
            <w:vAlign w:val="center"/>
          </w:tcPr>
          <w:p w14:paraId="002DC751" w14:textId="13C8BF27" w:rsidR="00446CBF" w:rsidRPr="00787AB7" w:rsidRDefault="00446CBF" w:rsidP="0052220B">
            <w:pPr>
              <w:jc w:val="right"/>
              <w:rPr>
                <w:rFonts w:ascii="Calibri" w:hAnsi="Calibri"/>
                <w:sz w:val="18"/>
                <w:szCs w:val="18"/>
              </w:rPr>
            </w:pPr>
            <w:r w:rsidRPr="00AE2608">
              <w:rPr>
                <w:rFonts w:ascii="Calibri" w:hAnsi="Calibri"/>
                <w:sz w:val="18"/>
                <w:szCs w:val="18"/>
              </w:rPr>
              <w:t>0,53</w:t>
            </w:r>
          </w:p>
        </w:tc>
        <w:tc>
          <w:tcPr>
            <w:tcW w:w="1507" w:type="dxa"/>
            <w:vAlign w:val="center"/>
          </w:tcPr>
          <w:p w14:paraId="7744233F" w14:textId="1759F7A3" w:rsidR="00446CBF" w:rsidRPr="00446CBF" w:rsidRDefault="00446CBF" w:rsidP="0052220B">
            <w:pPr>
              <w:jc w:val="right"/>
              <w:rPr>
                <w:rFonts w:ascii="Calibri" w:hAnsi="Calibri"/>
                <w:sz w:val="18"/>
                <w:szCs w:val="18"/>
              </w:rPr>
            </w:pPr>
            <w:r w:rsidRPr="00AE2608">
              <w:rPr>
                <w:rFonts w:ascii="Calibri" w:hAnsi="Calibri"/>
                <w:sz w:val="18"/>
                <w:szCs w:val="18"/>
              </w:rPr>
              <w:t>0,53</w:t>
            </w:r>
          </w:p>
        </w:tc>
        <w:tc>
          <w:tcPr>
            <w:tcW w:w="1358" w:type="dxa"/>
            <w:vAlign w:val="center"/>
          </w:tcPr>
          <w:p w14:paraId="0C092A44" w14:textId="717DF217" w:rsidR="00446CBF" w:rsidRPr="00787AB7" w:rsidRDefault="00446CBF" w:rsidP="0052220B">
            <w:pPr>
              <w:jc w:val="right"/>
              <w:rPr>
                <w:rFonts w:ascii="Calibri" w:hAnsi="Calibri"/>
                <w:sz w:val="18"/>
                <w:szCs w:val="18"/>
              </w:rPr>
            </w:pPr>
            <w:r w:rsidRPr="00AE2608">
              <w:rPr>
                <w:rFonts w:ascii="Calibri" w:hAnsi="Calibri"/>
                <w:sz w:val="18"/>
                <w:szCs w:val="18"/>
              </w:rPr>
              <w:t>0,52</w:t>
            </w:r>
          </w:p>
        </w:tc>
      </w:tr>
      <w:tr w:rsidR="005561A5" w:rsidRPr="005561A5" w14:paraId="34E644DF" w14:textId="77777777" w:rsidTr="004962C6">
        <w:trPr>
          <w:trHeight w:val="360"/>
          <w:jc w:val="center"/>
        </w:trPr>
        <w:tc>
          <w:tcPr>
            <w:tcW w:w="735" w:type="dxa"/>
            <w:vAlign w:val="center"/>
          </w:tcPr>
          <w:p w14:paraId="67E8E7EE" w14:textId="77777777" w:rsidR="005561A5" w:rsidRPr="00787AB7" w:rsidRDefault="005561A5" w:rsidP="00C23779">
            <w:pPr>
              <w:rPr>
                <w:rFonts w:ascii="Calibri" w:hAnsi="Calibri"/>
                <w:bCs/>
                <w:sz w:val="18"/>
                <w:szCs w:val="18"/>
              </w:rPr>
            </w:pPr>
            <w:r w:rsidRPr="00787AB7">
              <w:rPr>
                <w:rFonts w:ascii="Calibri" w:hAnsi="Calibri"/>
                <w:bCs/>
                <w:sz w:val="18"/>
                <w:szCs w:val="18"/>
              </w:rPr>
              <w:t>7.</w:t>
            </w:r>
          </w:p>
        </w:tc>
        <w:tc>
          <w:tcPr>
            <w:tcW w:w="4328" w:type="dxa"/>
            <w:shd w:val="clear" w:color="auto" w:fill="auto"/>
            <w:vAlign w:val="center"/>
          </w:tcPr>
          <w:p w14:paraId="6D167CEF" w14:textId="77777777" w:rsidR="005561A5" w:rsidRPr="00787AB7" w:rsidRDefault="005561A5" w:rsidP="00C23779">
            <w:pPr>
              <w:rPr>
                <w:rFonts w:asciiTheme="minorHAnsi" w:hAnsiTheme="minorHAnsi" w:cstheme="minorHAnsi"/>
                <w:bCs/>
                <w:sz w:val="18"/>
                <w:szCs w:val="18"/>
              </w:rPr>
            </w:pPr>
            <w:r w:rsidRPr="00787AB7">
              <w:rPr>
                <w:rFonts w:ascii="Calibri" w:hAnsi="Calibri"/>
                <w:bCs/>
                <w:sz w:val="18"/>
                <w:szCs w:val="18"/>
              </w:rPr>
              <w:t>Rezsi kkm/hasznos kkm</w:t>
            </w:r>
          </w:p>
        </w:tc>
        <w:tc>
          <w:tcPr>
            <w:tcW w:w="1358" w:type="dxa"/>
            <w:vAlign w:val="center"/>
          </w:tcPr>
          <w:p w14:paraId="12C3D71C" w14:textId="02AEC99B" w:rsidR="005561A5" w:rsidRPr="00787AB7" w:rsidRDefault="005561A5" w:rsidP="0052220B">
            <w:pPr>
              <w:jc w:val="right"/>
              <w:rPr>
                <w:rFonts w:ascii="Calibri" w:hAnsi="Calibri"/>
                <w:sz w:val="18"/>
                <w:szCs w:val="18"/>
              </w:rPr>
            </w:pPr>
            <w:r w:rsidRPr="00787AB7">
              <w:rPr>
                <w:rFonts w:ascii="Calibri" w:hAnsi="Calibri"/>
                <w:sz w:val="18"/>
                <w:szCs w:val="18"/>
              </w:rPr>
              <w:t>4,6%</w:t>
            </w:r>
          </w:p>
        </w:tc>
        <w:tc>
          <w:tcPr>
            <w:tcW w:w="1507" w:type="dxa"/>
            <w:vAlign w:val="center"/>
          </w:tcPr>
          <w:p w14:paraId="7E20116E" w14:textId="0678F63C" w:rsidR="005561A5" w:rsidRPr="00787AB7" w:rsidRDefault="005561A5" w:rsidP="0052220B">
            <w:pPr>
              <w:jc w:val="right"/>
              <w:rPr>
                <w:rFonts w:ascii="Calibri" w:hAnsi="Calibri" w:cs="Calibri"/>
                <w:sz w:val="18"/>
                <w:szCs w:val="18"/>
              </w:rPr>
            </w:pPr>
            <w:r w:rsidRPr="00787AB7">
              <w:rPr>
                <w:rFonts w:ascii="Calibri" w:hAnsi="Calibri"/>
                <w:sz w:val="18"/>
                <w:szCs w:val="18"/>
              </w:rPr>
              <w:t>5,5%</w:t>
            </w:r>
          </w:p>
        </w:tc>
        <w:tc>
          <w:tcPr>
            <w:tcW w:w="1358" w:type="dxa"/>
            <w:vAlign w:val="center"/>
          </w:tcPr>
          <w:p w14:paraId="2F499502" w14:textId="698B14BE" w:rsidR="005561A5" w:rsidRPr="00787AB7" w:rsidRDefault="005561A5" w:rsidP="0052220B">
            <w:pPr>
              <w:jc w:val="right"/>
              <w:rPr>
                <w:rFonts w:ascii="Calibri" w:hAnsi="Calibri"/>
                <w:sz w:val="18"/>
                <w:szCs w:val="18"/>
              </w:rPr>
            </w:pPr>
            <w:r w:rsidRPr="00787AB7">
              <w:rPr>
                <w:rFonts w:ascii="Calibri" w:hAnsi="Calibri"/>
                <w:sz w:val="18"/>
                <w:szCs w:val="18"/>
              </w:rPr>
              <w:t>6,0%</w:t>
            </w:r>
          </w:p>
        </w:tc>
      </w:tr>
      <w:tr w:rsidR="005561A5" w:rsidRPr="005561A5" w14:paraId="7B184E05" w14:textId="77777777" w:rsidTr="004962C6">
        <w:trPr>
          <w:trHeight w:val="360"/>
          <w:jc w:val="center"/>
        </w:trPr>
        <w:tc>
          <w:tcPr>
            <w:tcW w:w="735" w:type="dxa"/>
            <w:vAlign w:val="center"/>
          </w:tcPr>
          <w:p w14:paraId="00ECDC02" w14:textId="77777777" w:rsidR="005561A5" w:rsidRPr="00787AB7" w:rsidRDefault="005561A5" w:rsidP="00C23779">
            <w:pPr>
              <w:rPr>
                <w:rFonts w:ascii="Calibri" w:hAnsi="Calibri"/>
                <w:bCs/>
                <w:sz w:val="18"/>
                <w:szCs w:val="18"/>
              </w:rPr>
            </w:pPr>
            <w:r w:rsidRPr="00787AB7">
              <w:rPr>
                <w:rFonts w:ascii="Calibri" w:hAnsi="Calibri"/>
                <w:bCs/>
                <w:sz w:val="18"/>
                <w:szCs w:val="18"/>
              </w:rPr>
              <w:t>8.</w:t>
            </w:r>
          </w:p>
        </w:tc>
        <w:tc>
          <w:tcPr>
            <w:tcW w:w="4328" w:type="dxa"/>
            <w:shd w:val="clear" w:color="auto" w:fill="auto"/>
            <w:vAlign w:val="center"/>
          </w:tcPr>
          <w:p w14:paraId="19C0E6A9" w14:textId="77777777" w:rsidR="005561A5" w:rsidRPr="00787AB7" w:rsidRDefault="005561A5" w:rsidP="00C23779">
            <w:pPr>
              <w:rPr>
                <w:rFonts w:asciiTheme="minorHAnsi" w:hAnsiTheme="minorHAnsi" w:cstheme="minorHAnsi"/>
                <w:bCs/>
                <w:sz w:val="18"/>
                <w:szCs w:val="18"/>
              </w:rPr>
            </w:pPr>
            <w:r w:rsidRPr="00787AB7">
              <w:rPr>
                <w:rFonts w:ascii="Calibri" w:hAnsi="Calibri"/>
                <w:bCs/>
                <w:sz w:val="18"/>
                <w:szCs w:val="18"/>
              </w:rPr>
              <w:t>[Társaságirányítás (IV.sor)+ felosztott műszaki és forgalmi állandó költségek (III/3 sor)]/közvetlenül elszámolt változó költségek és ráfordítások (III/1.,2 sorok)</w:t>
            </w:r>
          </w:p>
        </w:tc>
        <w:tc>
          <w:tcPr>
            <w:tcW w:w="1358" w:type="dxa"/>
            <w:vAlign w:val="center"/>
          </w:tcPr>
          <w:p w14:paraId="185DA223" w14:textId="17A7AFA9" w:rsidR="005561A5" w:rsidRPr="00787AB7" w:rsidRDefault="005561A5" w:rsidP="0052220B">
            <w:pPr>
              <w:jc w:val="right"/>
              <w:rPr>
                <w:rFonts w:ascii="Calibri" w:hAnsi="Calibri"/>
                <w:sz w:val="18"/>
                <w:szCs w:val="18"/>
              </w:rPr>
            </w:pPr>
            <w:r w:rsidRPr="00787AB7">
              <w:rPr>
                <w:rFonts w:ascii="Calibri" w:hAnsi="Calibri"/>
                <w:sz w:val="18"/>
                <w:szCs w:val="18"/>
              </w:rPr>
              <w:t>42%</w:t>
            </w:r>
          </w:p>
        </w:tc>
        <w:tc>
          <w:tcPr>
            <w:tcW w:w="1507" w:type="dxa"/>
            <w:vAlign w:val="center"/>
          </w:tcPr>
          <w:p w14:paraId="5B21D54B" w14:textId="170AB526" w:rsidR="005561A5" w:rsidRPr="00787AB7" w:rsidRDefault="005561A5" w:rsidP="0052220B">
            <w:pPr>
              <w:jc w:val="right"/>
              <w:rPr>
                <w:rFonts w:ascii="Calibri" w:hAnsi="Calibri" w:cs="Calibri"/>
                <w:sz w:val="18"/>
                <w:szCs w:val="18"/>
              </w:rPr>
            </w:pPr>
            <w:r w:rsidRPr="00787AB7">
              <w:rPr>
                <w:rFonts w:ascii="Calibri" w:hAnsi="Calibri"/>
                <w:sz w:val="18"/>
                <w:szCs w:val="18"/>
              </w:rPr>
              <w:t>36%</w:t>
            </w:r>
          </w:p>
        </w:tc>
        <w:tc>
          <w:tcPr>
            <w:tcW w:w="1358" w:type="dxa"/>
            <w:vAlign w:val="center"/>
          </w:tcPr>
          <w:p w14:paraId="3C0085C3" w14:textId="10D4229D" w:rsidR="005561A5" w:rsidRPr="00787AB7" w:rsidRDefault="005561A5" w:rsidP="0052220B">
            <w:pPr>
              <w:jc w:val="right"/>
              <w:rPr>
                <w:rFonts w:ascii="Calibri" w:hAnsi="Calibri"/>
                <w:sz w:val="18"/>
                <w:szCs w:val="18"/>
              </w:rPr>
            </w:pPr>
            <w:r w:rsidRPr="00787AB7">
              <w:rPr>
                <w:rFonts w:ascii="Calibri" w:hAnsi="Calibri"/>
                <w:sz w:val="18"/>
                <w:szCs w:val="18"/>
              </w:rPr>
              <w:t>34%</w:t>
            </w:r>
          </w:p>
        </w:tc>
      </w:tr>
      <w:tr w:rsidR="005561A5" w:rsidRPr="005561A5" w14:paraId="0B185F40" w14:textId="77777777" w:rsidTr="004962C6">
        <w:trPr>
          <w:trHeight w:val="360"/>
          <w:jc w:val="center"/>
        </w:trPr>
        <w:tc>
          <w:tcPr>
            <w:tcW w:w="735" w:type="dxa"/>
            <w:vAlign w:val="center"/>
          </w:tcPr>
          <w:p w14:paraId="6E762141" w14:textId="77777777" w:rsidR="005561A5" w:rsidRPr="00787AB7" w:rsidRDefault="005561A5" w:rsidP="00C23779">
            <w:pPr>
              <w:ind w:left="233" w:hanging="233"/>
              <w:rPr>
                <w:rFonts w:ascii="Calibri" w:hAnsi="Calibri"/>
                <w:bCs/>
                <w:sz w:val="18"/>
                <w:szCs w:val="18"/>
              </w:rPr>
            </w:pPr>
            <w:r w:rsidRPr="00787AB7">
              <w:rPr>
                <w:rFonts w:ascii="Calibri" w:hAnsi="Calibri"/>
                <w:bCs/>
                <w:sz w:val="18"/>
                <w:szCs w:val="18"/>
              </w:rPr>
              <w:t>9.</w:t>
            </w:r>
          </w:p>
        </w:tc>
        <w:tc>
          <w:tcPr>
            <w:tcW w:w="4328" w:type="dxa"/>
            <w:shd w:val="clear" w:color="auto" w:fill="auto"/>
            <w:vAlign w:val="center"/>
          </w:tcPr>
          <w:p w14:paraId="44E6BC2A" w14:textId="77777777" w:rsidR="005561A5" w:rsidRPr="00787AB7" w:rsidRDefault="005561A5" w:rsidP="004D7395">
            <w:pPr>
              <w:rPr>
                <w:rFonts w:asciiTheme="minorHAnsi" w:hAnsiTheme="minorHAnsi" w:cstheme="minorHAnsi"/>
                <w:bCs/>
                <w:sz w:val="18"/>
                <w:szCs w:val="18"/>
              </w:rPr>
            </w:pPr>
            <w:r w:rsidRPr="00787AB7">
              <w:rPr>
                <w:rFonts w:ascii="Calibri" w:hAnsi="Calibri"/>
                <w:bCs/>
                <w:sz w:val="18"/>
                <w:szCs w:val="18"/>
              </w:rPr>
              <w:t>Társaságirányítás (IV. sor)/ költségek és ráfordítások (VII. sor)</w:t>
            </w:r>
          </w:p>
        </w:tc>
        <w:tc>
          <w:tcPr>
            <w:tcW w:w="1358" w:type="dxa"/>
            <w:vAlign w:val="center"/>
          </w:tcPr>
          <w:p w14:paraId="62CD7358" w14:textId="3540902B" w:rsidR="005561A5" w:rsidRPr="00787AB7" w:rsidRDefault="005561A5" w:rsidP="0052220B">
            <w:pPr>
              <w:jc w:val="right"/>
              <w:rPr>
                <w:rFonts w:ascii="Calibri" w:hAnsi="Calibri"/>
                <w:b/>
                <w:sz w:val="18"/>
                <w:szCs w:val="18"/>
              </w:rPr>
            </w:pPr>
            <w:r w:rsidRPr="00787AB7">
              <w:rPr>
                <w:rFonts w:ascii="Calibri" w:hAnsi="Calibri"/>
                <w:sz w:val="18"/>
                <w:szCs w:val="18"/>
              </w:rPr>
              <w:t>14%</w:t>
            </w:r>
          </w:p>
        </w:tc>
        <w:tc>
          <w:tcPr>
            <w:tcW w:w="1507" w:type="dxa"/>
            <w:vAlign w:val="center"/>
          </w:tcPr>
          <w:p w14:paraId="7ECED9DF" w14:textId="08E77EC4" w:rsidR="005561A5" w:rsidRPr="00787AB7" w:rsidRDefault="005561A5" w:rsidP="0052220B">
            <w:pPr>
              <w:jc w:val="right"/>
              <w:rPr>
                <w:rFonts w:ascii="Calibri" w:hAnsi="Calibri" w:cs="Calibri"/>
                <w:sz w:val="18"/>
                <w:szCs w:val="18"/>
              </w:rPr>
            </w:pPr>
            <w:r w:rsidRPr="00787AB7">
              <w:rPr>
                <w:rFonts w:ascii="Calibri" w:hAnsi="Calibri"/>
                <w:sz w:val="18"/>
                <w:szCs w:val="18"/>
              </w:rPr>
              <w:t>10%</w:t>
            </w:r>
          </w:p>
        </w:tc>
        <w:tc>
          <w:tcPr>
            <w:tcW w:w="1358" w:type="dxa"/>
            <w:vAlign w:val="center"/>
          </w:tcPr>
          <w:p w14:paraId="60893739" w14:textId="33F6E112" w:rsidR="005561A5" w:rsidRPr="00787AB7" w:rsidRDefault="005561A5" w:rsidP="0052220B">
            <w:pPr>
              <w:jc w:val="right"/>
              <w:rPr>
                <w:rFonts w:ascii="Calibri" w:hAnsi="Calibri"/>
                <w:sz w:val="18"/>
                <w:szCs w:val="18"/>
              </w:rPr>
            </w:pPr>
            <w:r w:rsidRPr="00787AB7">
              <w:rPr>
                <w:rFonts w:ascii="Calibri" w:hAnsi="Calibri"/>
                <w:sz w:val="18"/>
                <w:szCs w:val="18"/>
              </w:rPr>
              <w:t>10%</w:t>
            </w:r>
          </w:p>
        </w:tc>
      </w:tr>
      <w:tr w:rsidR="005561A5" w:rsidRPr="005561A5" w14:paraId="563F1C4C" w14:textId="77777777" w:rsidTr="004962C6">
        <w:trPr>
          <w:trHeight w:val="360"/>
          <w:jc w:val="center"/>
        </w:trPr>
        <w:tc>
          <w:tcPr>
            <w:tcW w:w="735" w:type="dxa"/>
            <w:vAlign w:val="center"/>
          </w:tcPr>
          <w:p w14:paraId="410AD00C" w14:textId="77777777" w:rsidR="005561A5" w:rsidRPr="00787AB7" w:rsidRDefault="005561A5" w:rsidP="00C23779">
            <w:pPr>
              <w:rPr>
                <w:rFonts w:ascii="Calibri" w:hAnsi="Calibri"/>
                <w:bCs/>
                <w:sz w:val="18"/>
                <w:szCs w:val="18"/>
              </w:rPr>
            </w:pPr>
            <w:r w:rsidRPr="00787AB7">
              <w:rPr>
                <w:rFonts w:ascii="Calibri" w:hAnsi="Calibri"/>
                <w:bCs/>
                <w:sz w:val="18"/>
                <w:szCs w:val="18"/>
              </w:rPr>
              <w:t>10.</w:t>
            </w:r>
          </w:p>
        </w:tc>
        <w:tc>
          <w:tcPr>
            <w:tcW w:w="4328" w:type="dxa"/>
            <w:shd w:val="clear" w:color="auto" w:fill="auto"/>
            <w:vAlign w:val="center"/>
          </w:tcPr>
          <w:p w14:paraId="56DC463B" w14:textId="77777777" w:rsidR="005561A5" w:rsidRPr="00787AB7" w:rsidRDefault="005561A5" w:rsidP="00C23779">
            <w:pPr>
              <w:rPr>
                <w:rFonts w:asciiTheme="minorHAnsi" w:hAnsiTheme="minorHAnsi" w:cstheme="minorHAnsi"/>
                <w:bCs/>
                <w:sz w:val="18"/>
                <w:szCs w:val="18"/>
              </w:rPr>
            </w:pPr>
            <w:r w:rsidRPr="00787AB7">
              <w:rPr>
                <w:rFonts w:ascii="Calibri" w:hAnsi="Calibri"/>
                <w:bCs/>
                <w:sz w:val="18"/>
                <w:szCs w:val="18"/>
              </w:rPr>
              <w:t>Szellemi/ összes fizikai átlagos létszám (%)</w:t>
            </w:r>
          </w:p>
        </w:tc>
        <w:tc>
          <w:tcPr>
            <w:tcW w:w="1358" w:type="dxa"/>
            <w:vAlign w:val="center"/>
          </w:tcPr>
          <w:p w14:paraId="5B7F3886" w14:textId="21254E67" w:rsidR="005561A5" w:rsidRPr="00787AB7" w:rsidRDefault="005561A5" w:rsidP="0052220B">
            <w:pPr>
              <w:jc w:val="right"/>
              <w:rPr>
                <w:rFonts w:ascii="Calibri" w:hAnsi="Calibri"/>
                <w:b/>
                <w:sz w:val="18"/>
                <w:szCs w:val="18"/>
              </w:rPr>
            </w:pPr>
            <w:r w:rsidRPr="00787AB7">
              <w:rPr>
                <w:rFonts w:ascii="Calibri" w:hAnsi="Calibri"/>
                <w:sz w:val="18"/>
                <w:szCs w:val="18"/>
              </w:rPr>
              <w:t>19%</w:t>
            </w:r>
          </w:p>
        </w:tc>
        <w:tc>
          <w:tcPr>
            <w:tcW w:w="1507" w:type="dxa"/>
            <w:vAlign w:val="center"/>
          </w:tcPr>
          <w:p w14:paraId="3AA84685" w14:textId="2F3D773F" w:rsidR="005561A5" w:rsidRPr="00787AB7" w:rsidRDefault="005561A5" w:rsidP="0052220B">
            <w:pPr>
              <w:jc w:val="right"/>
              <w:rPr>
                <w:rFonts w:ascii="Calibri" w:hAnsi="Calibri" w:cs="Calibri"/>
                <w:sz w:val="18"/>
                <w:szCs w:val="18"/>
              </w:rPr>
            </w:pPr>
            <w:r w:rsidRPr="00787AB7">
              <w:rPr>
                <w:rFonts w:ascii="Calibri" w:hAnsi="Calibri"/>
                <w:sz w:val="18"/>
                <w:szCs w:val="18"/>
              </w:rPr>
              <w:t>19%</w:t>
            </w:r>
          </w:p>
        </w:tc>
        <w:tc>
          <w:tcPr>
            <w:tcW w:w="1358" w:type="dxa"/>
            <w:vAlign w:val="center"/>
          </w:tcPr>
          <w:p w14:paraId="64A62DFD" w14:textId="64147DB5" w:rsidR="005561A5" w:rsidRPr="00787AB7" w:rsidRDefault="005561A5" w:rsidP="0052220B">
            <w:pPr>
              <w:jc w:val="right"/>
              <w:rPr>
                <w:rFonts w:ascii="Calibri" w:hAnsi="Calibri"/>
                <w:sz w:val="18"/>
                <w:szCs w:val="18"/>
              </w:rPr>
            </w:pPr>
            <w:r w:rsidRPr="00787AB7">
              <w:rPr>
                <w:rFonts w:ascii="Calibri" w:hAnsi="Calibri"/>
                <w:sz w:val="18"/>
                <w:szCs w:val="18"/>
              </w:rPr>
              <w:t>20%</w:t>
            </w:r>
          </w:p>
        </w:tc>
      </w:tr>
      <w:tr w:rsidR="005561A5" w:rsidRPr="005561A5" w14:paraId="6C9F35F0" w14:textId="77777777" w:rsidTr="004962C6">
        <w:trPr>
          <w:trHeight w:val="360"/>
          <w:jc w:val="center"/>
        </w:trPr>
        <w:tc>
          <w:tcPr>
            <w:tcW w:w="735" w:type="dxa"/>
            <w:vAlign w:val="center"/>
          </w:tcPr>
          <w:p w14:paraId="4E2D8432" w14:textId="77777777" w:rsidR="005561A5" w:rsidRPr="00787AB7" w:rsidRDefault="005561A5" w:rsidP="00C23779">
            <w:pPr>
              <w:rPr>
                <w:rFonts w:ascii="Calibri" w:hAnsi="Calibri"/>
                <w:bCs/>
                <w:sz w:val="18"/>
                <w:szCs w:val="18"/>
              </w:rPr>
            </w:pPr>
            <w:r w:rsidRPr="00787AB7">
              <w:rPr>
                <w:rFonts w:ascii="Calibri" w:hAnsi="Calibri"/>
                <w:bCs/>
                <w:sz w:val="18"/>
                <w:szCs w:val="18"/>
              </w:rPr>
              <w:t>11.</w:t>
            </w:r>
          </w:p>
        </w:tc>
        <w:tc>
          <w:tcPr>
            <w:tcW w:w="4328" w:type="dxa"/>
            <w:shd w:val="clear" w:color="auto" w:fill="auto"/>
            <w:vAlign w:val="center"/>
          </w:tcPr>
          <w:p w14:paraId="43356448" w14:textId="77777777" w:rsidR="005561A5" w:rsidRPr="00787AB7" w:rsidRDefault="005561A5" w:rsidP="00C23779">
            <w:pPr>
              <w:rPr>
                <w:rFonts w:asciiTheme="minorHAnsi" w:hAnsiTheme="minorHAnsi" w:cstheme="minorHAnsi"/>
                <w:bCs/>
                <w:sz w:val="18"/>
                <w:szCs w:val="18"/>
              </w:rPr>
            </w:pPr>
            <w:r w:rsidRPr="00787AB7">
              <w:rPr>
                <w:rFonts w:ascii="Calibri" w:hAnsi="Calibri"/>
                <w:bCs/>
                <w:sz w:val="18"/>
                <w:szCs w:val="18"/>
              </w:rPr>
              <w:t>Beruházás/ értékcsökkenés (halasztott bevétellel korrigált) (%)</w:t>
            </w:r>
          </w:p>
        </w:tc>
        <w:tc>
          <w:tcPr>
            <w:tcW w:w="1358" w:type="dxa"/>
            <w:vAlign w:val="center"/>
          </w:tcPr>
          <w:p w14:paraId="7254EA21" w14:textId="01277016" w:rsidR="005561A5" w:rsidRPr="00787AB7" w:rsidRDefault="005561A5" w:rsidP="0052220B">
            <w:pPr>
              <w:jc w:val="right"/>
              <w:rPr>
                <w:rFonts w:ascii="Calibri" w:hAnsi="Calibri"/>
                <w:b/>
                <w:sz w:val="18"/>
                <w:szCs w:val="18"/>
              </w:rPr>
            </w:pPr>
            <w:r w:rsidRPr="00787AB7">
              <w:rPr>
                <w:rFonts w:ascii="Calibri" w:hAnsi="Calibri"/>
                <w:sz w:val="18"/>
                <w:szCs w:val="18"/>
              </w:rPr>
              <w:t>43%</w:t>
            </w:r>
          </w:p>
        </w:tc>
        <w:tc>
          <w:tcPr>
            <w:tcW w:w="1507" w:type="dxa"/>
            <w:vAlign w:val="center"/>
          </w:tcPr>
          <w:p w14:paraId="3EA6FB3C" w14:textId="61039B9C" w:rsidR="005561A5" w:rsidRPr="00787AB7" w:rsidRDefault="005561A5" w:rsidP="0052220B">
            <w:pPr>
              <w:jc w:val="right"/>
              <w:rPr>
                <w:rFonts w:ascii="Calibri" w:hAnsi="Calibri" w:cs="Calibri"/>
                <w:sz w:val="18"/>
                <w:szCs w:val="18"/>
              </w:rPr>
            </w:pPr>
            <w:r w:rsidRPr="00787AB7">
              <w:rPr>
                <w:rFonts w:ascii="Calibri" w:hAnsi="Calibri"/>
                <w:sz w:val="18"/>
                <w:szCs w:val="18"/>
              </w:rPr>
              <w:t>88%</w:t>
            </w:r>
          </w:p>
        </w:tc>
        <w:tc>
          <w:tcPr>
            <w:tcW w:w="1358" w:type="dxa"/>
            <w:vAlign w:val="center"/>
          </w:tcPr>
          <w:p w14:paraId="27010165" w14:textId="6275A289" w:rsidR="005561A5" w:rsidRPr="00787AB7" w:rsidRDefault="005561A5" w:rsidP="0052220B">
            <w:pPr>
              <w:jc w:val="right"/>
              <w:rPr>
                <w:rFonts w:ascii="Calibri" w:hAnsi="Calibri"/>
                <w:sz w:val="18"/>
                <w:szCs w:val="18"/>
              </w:rPr>
            </w:pPr>
            <w:r w:rsidRPr="00787AB7">
              <w:rPr>
                <w:rFonts w:ascii="Calibri" w:hAnsi="Calibri"/>
                <w:sz w:val="18"/>
                <w:szCs w:val="18"/>
              </w:rPr>
              <w:t>88%</w:t>
            </w:r>
          </w:p>
        </w:tc>
      </w:tr>
      <w:tr w:rsidR="005561A5" w:rsidRPr="005561A5" w14:paraId="4AEC7466" w14:textId="77777777" w:rsidTr="004962C6">
        <w:trPr>
          <w:trHeight w:val="360"/>
          <w:jc w:val="center"/>
        </w:trPr>
        <w:tc>
          <w:tcPr>
            <w:tcW w:w="735" w:type="dxa"/>
            <w:vAlign w:val="center"/>
          </w:tcPr>
          <w:p w14:paraId="32E52582" w14:textId="77777777" w:rsidR="005561A5" w:rsidRPr="00787AB7" w:rsidRDefault="005561A5" w:rsidP="00C23779">
            <w:pPr>
              <w:rPr>
                <w:rFonts w:ascii="Calibri" w:hAnsi="Calibri"/>
                <w:bCs/>
                <w:sz w:val="18"/>
                <w:szCs w:val="18"/>
              </w:rPr>
            </w:pPr>
            <w:r w:rsidRPr="00787AB7">
              <w:rPr>
                <w:rFonts w:ascii="Calibri" w:hAnsi="Calibri"/>
                <w:bCs/>
                <w:sz w:val="18"/>
                <w:szCs w:val="18"/>
              </w:rPr>
              <w:t>12.</w:t>
            </w:r>
          </w:p>
        </w:tc>
        <w:tc>
          <w:tcPr>
            <w:tcW w:w="4328" w:type="dxa"/>
            <w:shd w:val="clear" w:color="auto" w:fill="auto"/>
            <w:vAlign w:val="center"/>
          </w:tcPr>
          <w:p w14:paraId="1BDCC6AB" w14:textId="77777777" w:rsidR="005561A5" w:rsidRPr="00787AB7" w:rsidRDefault="005561A5" w:rsidP="00C23779">
            <w:pPr>
              <w:rPr>
                <w:rFonts w:asciiTheme="minorHAnsi" w:hAnsiTheme="minorHAnsi" w:cstheme="minorHAnsi"/>
                <w:bCs/>
                <w:sz w:val="18"/>
                <w:szCs w:val="18"/>
              </w:rPr>
            </w:pPr>
            <w:r w:rsidRPr="00787AB7">
              <w:rPr>
                <w:rFonts w:ascii="Calibri" w:hAnsi="Calibri"/>
                <w:bCs/>
                <w:sz w:val="18"/>
                <w:szCs w:val="18"/>
              </w:rPr>
              <w:t>Igénybe vett anyagjellegű szolgáltatás / (anyagjellegű</w:t>
            </w:r>
            <w:r w:rsidRPr="00787AB7">
              <w:rPr>
                <w:rFonts w:ascii="Calibri" w:hAnsi="Calibri"/>
                <w:bCs/>
                <w:sz w:val="18"/>
                <w:szCs w:val="18"/>
              </w:rPr>
              <w:br/>
              <w:t>+ személyi jellegű ráfordítás) (%)</w:t>
            </w:r>
          </w:p>
        </w:tc>
        <w:tc>
          <w:tcPr>
            <w:tcW w:w="1358" w:type="dxa"/>
            <w:vAlign w:val="center"/>
          </w:tcPr>
          <w:p w14:paraId="7FBE4ACF" w14:textId="55E95888" w:rsidR="005561A5" w:rsidRPr="00787AB7" w:rsidRDefault="005561A5" w:rsidP="0052220B">
            <w:pPr>
              <w:jc w:val="right"/>
              <w:rPr>
                <w:rFonts w:ascii="Calibri" w:hAnsi="Calibri"/>
                <w:b/>
                <w:sz w:val="18"/>
                <w:szCs w:val="18"/>
              </w:rPr>
            </w:pPr>
            <w:r w:rsidRPr="00787AB7">
              <w:rPr>
                <w:rFonts w:ascii="Calibri" w:hAnsi="Calibri"/>
                <w:sz w:val="18"/>
                <w:szCs w:val="18"/>
              </w:rPr>
              <w:t>19%</w:t>
            </w:r>
          </w:p>
        </w:tc>
        <w:tc>
          <w:tcPr>
            <w:tcW w:w="1507" w:type="dxa"/>
            <w:vAlign w:val="center"/>
          </w:tcPr>
          <w:p w14:paraId="4248EC59" w14:textId="73F62F6C" w:rsidR="005561A5" w:rsidRPr="00787AB7" w:rsidRDefault="005561A5" w:rsidP="0052220B">
            <w:pPr>
              <w:jc w:val="right"/>
              <w:rPr>
                <w:rFonts w:ascii="Calibri" w:hAnsi="Calibri" w:cs="Calibri"/>
                <w:sz w:val="18"/>
                <w:szCs w:val="18"/>
              </w:rPr>
            </w:pPr>
            <w:r w:rsidRPr="00787AB7">
              <w:rPr>
                <w:rFonts w:ascii="Calibri" w:hAnsi="Calibri"/>
                <w:sz w:val="18"/>
                <w:szCs w:val="18"/>
              </w:rPr>
              <w:t>21%</w:t>
            </w:r>
          </w:p>
        </w:tc>
        <w:tc>
          <w:tcPr>
            <w:tcW w:w="1358" w:type="dxa"/>
            <w:vAlign w:val="center"/>
          </w:tcPr>
          <w:p w14:paraId="029FE3A2" w14:textId="46863027" w:rsidR="005561A5" w:rsidRPr="00787AB7" w:rsidRDefault="005561A5" w:rsidP="0052220B">
            <w:pPr>
              <w:jc w:val="right"/>
              <w:rPr>
                <w:rFonts w:ascii="Calibri" w:hAnsi="Calibri"/>
                <w:sz w:val="18"/>
                <w:szCs w:val="18"/>
              </w:rPr>
            </w:pPr>
            <w:r w:rsidRPr="00787AB7">
              <w:rPr>
                <w:rFonts w:ascii="Calibri" w:hAnsi="Calibri"/>
                <w:sz w:val="18"/>
                <w:szCs w:val="18"/>
              </w:rPr>
              <w:t>21%</w:t>
            </w:r>
          </w:p>
        </w:tc>
      </w:tr>
    </w:tbl>
    <w:p w14:paraId="6C3A4FE3" w14:textId="77777777" w:rsidR="003F4FB4" w:rsidRPr="00787AB7" w:rsidRDefault="003F4FB4" w:rsidP="006D1498">
      <w:pPr>
        <w:spacing w:beforeLines="60" w:before="144" w:afterLines="60" w:after="144" w:line="23" w:lineRule="atLeast"/>
        <w:jc w:val="both"/>
        <w:rPr>
          <w:rFonts w:ascii="Calibri" w:eastAsia="Calibri" w:hAnsi="Calibri" w:cs="Calibri"/>
          <w:highlight w:val="yellow"/>
          <w:lang w:eastAsia="ru-RU"/>
        </w:rPr>
      </w:pPr>
    </w:p>
    <w:p w14:paraId="1417985A" w14:textId="77777777" w:rsidR="00A17757" w:rsidRPr="00787AB7" w:rsidRDefault="009A1A77" w:rsidP="00A17757">
      <w:pPr>
        <w:jc w:val="both"/>
        <w:rPr>
          <w:rFonts w:ascii="Calibri" w:eastAsia="Calibri" w:hAnsi="Calibri" w:cs="Calibri"/>
          <w:lang w:eastAsia="ru-RU"/>
        </w:rPr>
      </w:pPr>
      <w:r w:rsidRPr="00787AB7">
        <w:rPr>
          <w:rFonts w:ascii="Calibri" w:eastAsia="Calibri" w:hAnsi="Calibri" w:cs="Calibri"/>
          <w:lang w:eastAsia="ru-RU"/>
        </w:rPr>
        <w:t xml:space="preserve">A 2018. évi terv adatok alapján az ezer fhkm teljesítményre vetített kompenzációs díj növekszik, melynek oka az M3 metrópótlás egyszeri hatása, valamint a minden területet érintő bérfejlesztés. </w:t>
      </w:r>
    </w:p>
    <w:p w14:paraId="683C62ED" w14:textId="77777777" w:rsidR="00A17757" w:rsidRPr="00787AB7" w:rsidRDefault="009A1A77" w:rsidP="00A17757">
      <w:pPr>
        <w:jc w:val="both"/>
        <w:rPr>
          <w:rFonts w:ascii="Calibri" w:eastAsia="Calibri" w:hAnsi="Calibri" w:cs="Calibri"/>
          <w:lang w:eastAsia="ru-RU"/>
        </w:rPr>
      </w:pPr>
      <w:r w:rsidRPr="00787AB7">
        <w:rPr>
          <w:rFonts w:ascii="Calibri" w:eastAsia="Calibri" w:hAnsi="Calibri" w:cs="Calibri"/>
          <w:lang w:eastAsia="ru-RU"/>
        </w:rPr>
        <w:t>Az ágazati hatékonysági mutatók alapján kijelenthető, hogy az M3 rekonstrukció következtében emelkedik meg első sorban az 1. mutató. A metró ágazatban a leállás miatt jelentős teljesítménycsökkenés következik be, ugyanakkor a költségek a leállás átmeneti jellege miatt nem esnek vissza hasonló mértékben. Jellemzően a személyi jellegű ráfordítások esetében mérsékelt a megtakarítás, mivel a rendelkezésre álló humán állomány megtartásra kerül a rekonstrukció ideje alatt.</w:t>
      </w:r>
    </w:p>
    <w:p w14:paraId="6FABFAB5" w14:textId="77777777" w:rsidR="00FA6B41" w:rsidRPr="00787AB7" w:rsidRDefault="00FA6B41" w:rsidP="00A17757">
      <w:pPr>
        <w:jc w:val="both"/>
        <w:rPr>
          <w:rFonts w:ascii="Calibri" w:eastAsia="Calibri" w:hAnsi="Calibri" w:cs="Calibri"/>
          <w:lang w:eastAsia="ru-RU"/>
        </w:rPr>
      </w:pPr>
    </w:p>
    <w:p w14:paraId="33BDDF13" w14:textId="77777777" w:rsidR="00FA6B41" w:rsidRPr="00787AB7" w:rsidRDefault="009A1A77" w:rsidP="00A17757">
      <w:pPr>
        <w:jc w:val="both"/>
        <w:rPr>
          <w:rFonts w:ascii="Calibri" w:eastAsia="Calibri" w:hAnsi="Calibri" w:cs="Calibri"/>
          <w:lang w:eastAsia="ru-RU"/>
        </w:rPr>
      </w:pPr>
      <w:r w:rsidRPr="00787AB7">
        <w:rPr>
          <w:rFonts w:ascii="Calibri" w:eastAsia="Calibri" w:hAnsi="Calibri" w:cs="Calibri"/>
          <w:lang w:eastAsia="ru-RU"/>
        </w:rPr>
        <w:t>Pozitív változást jelent, hogy a BKV Zrt. járműállományának mind nagyobb részét teszik ki a forgalomba adott járművek, ami az emelkedő teljesítményeknek köszönhető.</w:t>
      </w:r>
    </w:p>
    <w:p w14:paraId="1623B658" w14:textId="77777777" w:rsidR="00FA6B41" w:rsidRPr="00787AB7" w:rsidRDefault="00FA6B41" w:rsidP="00A17757">
      <w:pPr>
        <w:jc w:val="both"/>
        <w:rPr>
          <w:rFonts w:ascii="Calibri" w:eastAsia="Calibri" w:hAnsi="Calibri" w:cs="Calibri"/>
          <w:lang w:eastAsia="ru-RU"/>
        </w:rPr>
      </w:pPr>
    </w:p>
    <w:p w14:paraId="73170AA8" w14:textId="77777777" w:rsidR="00A17757" w:rsidRPr="00787AB7" w:rsidRDefault="009A1A77" w:rsidP="00A17757">
      <w:pPr>
        <w:jc w:val="both"/>
        <w:rPr>
          <w:rFonts w:ascii="Calibri" w:eastAsia="Calibri" w:hAnsi="Calibri" w:cs="Calibri"/>
          <w:lang w:eastAsia="ru-RU"/>
        </w:rPr>
      </w:pPr>
      <w:r w:rsidRPr="00787AB7">
        <w:rPr>
          <w:rFonts w:ascii="Calibri" w:eastAsia="Calibri" w:hAnsi="Calibri" w:cs="Calibri"/>
          <w:lang w:eastAsia="ru-RU"/>
        </w:rPr>
        <w:lastRenderedPageBreak/>
        <w:t>A társaságirányítás költségeivel kapcsolatos mutatószámok nagymértékben csökkennek a 2018. évi tervben, mely pozitív változás annak köszönhető, hogy a tervezés során figyelembe vett – teljesítmény alapú – többletköltségek jellemzően a közvetlen költséget érintik.</w:t>
      </w:r>
    </w:p>
    <w:p w14:paraId="5600D42E" w14:textId="77777777" w:rsidR="00FA6B41" w:rsidRPr="00787AB7" w:rsidRDefault="00FA6B41" w:rsidP="00A17757">
      <w:pPr>
        <w:jc w:val="both"/>
        <w:rPr>
          <w:rFonts w:ascii="Calibri" w:eastAsia="Calibri" w:hAnsi="Calibri" w:cs="Calibri"/>
          <w:lang w:eastAsia="ru-RU"/>
        </w:rPr>
      </w:pPr>
    </w:p>
    <w:p w14:paraId="78D8BA01" w14:textId="77777777" w:rsidR="00A17757" w:rsidRPr="00787AB7" w:rsidRDefault="009A1A77" w:rsidP="00A17757">
      <w:pPr>
        <w:jc w:val="both"/>
        <w:rPr>
          <w:rFonts w:ascii="Calibri" w:eastAsia="Calibri" w:hAnsi="Calibri" w:cs="Calibri"/>
          <w:lang w:eastAsia="ru-RU"/>
        </w:rPr>
      </w:pPr>
      <w:r w:rsidRPr="00787AB7">
        <w:rPr>
          <w:rFonts w:ascii="Calibri" w:eastAsia="Calibri" w:hAnsi="Calibri" w:cs="Calibri"/>
          <w:lang w:eastAsia="ru-RU"/>
        </w:rPr>
        <w:t>A beruházások 2017. évi várható és 2018. évi terv értéke jelentős mértékű emelkedést mutat a 2016. évi tény értékhez viszonyítva annak köszönhetően, hogy a 2017. évben megindult a pótberuházási terv végrehajtása, ami a 2018. évben folytatódik.</w:t>
      </w:r>
    </w:p>
    <w:p w14:paraId="08A2793E" w14:textId="77777777" w:rsidR="002F6464" w:rsidRPr="00787AB7" w:rsidRDefault="002F6464" w:rsidP="00A23278">
      <w:pPr>
        <w:rPr>
          <w:rFonts w:ascii="Calibri" w:eastAsia="Calibri" w:hAnsi="Calibri" w:cs="Calibri"/>
          <w:lang w:eastAsia="ru-RU"/>
        </w:rPr>
      </w:pPr>
    </w:p>
    <w:p w14:paraId="3833D235" w14:textId="77777777" w:rsidR="00143013" w:rsidRPr="00787AB7" w:rsidRDefault="00143013" w:rsidP="00A23278">
      <w:pPr>
        <w:rPr>
          <w:rFonts w:ascii="Calibri" w:eastAsia="Calibri" w:hAnsi="Calibri" w:cs="Calibri"/>
          <w:lang w:eastAsia="ru-RU"/>
        </w:rPr>
      </w:pPr>
      <w:r w:rsidRPr="00787AB7">
        <w:rPr>
          <w:rFonts w:ascii="Calibri" w:eastAsia="Calibri" w:hAnsi="Calibri" w:cs="Calibri"/>
          <w:lang w:eastAsia="ru-RU"/>
        </w:rPr>
        <w:t>A hatékonysági mutatók ágazati bontását az alábbi táblázatok tartalmazzák:</w:t>
      </w:r>
    </w:p>
    <w:p w14:paraId="37140668" w14:textId="77777777" w:rsidR="00C23779" w:rsidRPr="00787AB7" w:rsidRDefault="00C23779">
      <w:pPr>
        <w:rPr>
          <w:rFonts w:ascii="Calibri" w:eastAsia="Calibri" w:hAnsi="Calibri" w:cs="Calibri"/>
          <w:sz w:val="22"/>
          <w:szCs w:val="22"/>
          <w:highlight w:val="yellow"/>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002"/>
        <w:gridCol w:w="1289"/>
        <w:gridCol w:w="1210"/>
        <w:gridCol w:w="1142"/>
        <w:gridCol w:w="929"/>
        <w:gridCol w:w="998"/>
      </w:tblGrid>
      <w:tr w:rsidR="005561A5" w:rsidRPr="005561A5" w14:paraId="19B05825" w14:textId="77777777" w:rsidTr="005561A5">
        <w:trPr>
          <w:trHeight w:val="742"/>
          <w:jc w:val="center"/>
        </w:trPr>
        <w:tc>
          <w:tcPr>
            <w:tcW w:w="716" w:type="dxa"/>
            <w:shd w:val="clear" w:color="auto" w:fill="2528A3"/>
            <w:vAlign w:val="center"/>
          </w:tcPr>
          <w:p w14:paraId="1646A4BE" w14:textId="042A6A8B" w:rsidR="0052220B" w:rsidRPr="00787AB7" w:rsidRDefault="0052220B" w:rsidP="0052220B">
            <w:pPr>
              <w:rPr>
                <w:rFonts w:ascii="Calibri" w:hAnsi="Calibri"/>
                <w:b/>
                <w:color w:val="FFFFFF" w:themeColor="background1"/>
                <w:sz w:val="20"/>
                <w:szCs w:val="20"/>
              </w:rPr>
            </w:pPr>
            <w:r w:rsidRPr="00787AB7">
              <w:rPr>
                <w:rFonts w:ascii="Calibri" w:hAnsi="Calibri"/>
                <w:b/>
                <w:color w:val="FFFFFF" w:themeColor="background1"/>
                <w:sz w:val="20"/>
                <w:szCs w:val="20"/>
              </w:rPr>
              <w:t>Sorsz.</w:t>
            </w:r>
          </w:p>
        </w:tc>
        <w:tc>
          <w:tcPr>
            <w:tcW w:w="3002" w:type="dxa"/>
            <w:shd w:val="clear" w:color="auto" w:fill="2528A3"/>
            <w:vAlign w:val="center"/>
          </w:tcPr>
          <w:p w14:paraId="2F2AC226" w14:textId="40331E9E" w:rsidR="0052220B" w:rsidRPr="00787AB7" w:rsidRDefault="0052220B" w:rsidP="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Megnevezés</w:t>
            </w:r>
          </w:p>
        </w:tc>
        <w:tc>
          <w:tcPr>
            <w:tcW w:w="1289" w:type="dxa"/>
            <w:shd w:val="clear" w:color="auto" w:fill="2528A3"/>
            <w:vAlign w:val="center"/>
          </w:tcPr>
          <w:p w14:paraId="1666FD54" w14:textId="4AA0CCC4" w:rsidR="0052220B" w:rsidRPr="00787AB7" w:rsidRDefault="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 xml:space="preserve">2017. évi </w:t>
            </w:r>
            <w:r w:rsidR="005561A5" w:rsidRPr="00787AB7">
              <w:rPr>
                <w:rFonts w:ascii="Calibri" w:hAnsi="Calibri"/>
                <w:b/>
                <w:color w:val="FFFFFF" w:themeColor="background1"/>
                <w:sz w:val="20"/>
                <w:szCs w:val="20"/>
              </w:rPr>
              <w:t>Tény</w:t>
            </w:r>
          </w:p>
        </w:tc>
        <w:tc>
          <w:tcPr>
            <w:tcW w:w="1210" w:type="dxa"/>
            <w:shd w:val="clear" w:color="auto" w:fill="2528A3"/>
            <w:vAlign w:val="center"/>
          </w:tcPr>
          <w:p w14:paraId="08114AF9" w14:textId="41ED60A1" w:rsidR="0052220B" w:rsidRPr="00787AB7" w:rsidRDefault="0052220B" w:rsidP="0052220B">
            <w:pPr>
              <w:jc w:val="center"/>
              <w:rPr>
                <w:rFonts w:ascii="Calibri" w:hAnsi="Calibri" w:cs="Calibri"/>
                <w:b/>
                <w:bCs/>
                <w:color w:val="FFFFFF" w:themeColor="background1"/>
                <w:sz w:val="20"/>
                <w:szCs w:val="20"/>
              </w:rPr>
            </w:pPr>
            <w:r w:rsidRPr="00787AB7">
              <w:rPr>
                <w:rFonts w:ascii="Calibri" w:hAnsi="Calibri" w:cs="Calibri"/>
                <w:b/>
                <w:bCs/>
                <w:color w:val="FFFFFF" w:themeColor="background1"/>
                <w:sz w:val="20"/>
                <w:szCs w:val="20"/>
              </w:rPr>
              <w:t>Autóbusz ágazat</w:t>
            </w:r>
          </w:p>
        </w:tc>
        <w:tc>
          <w:tcPr>
            <w:tcW w:w="1142" w:type="dxa"/>
            <w:shd w:val="clear" w:color="auto" w:fill="2528A3"/>
            <w:vAlign w:val="center"/>
          </w:tcPr>
          <w:p w14:paraId="1A75E290" w14:textId="1AFB9E1C" w:rsidR="0052220B" w:rsidRPr="00787AB7" w:rsidRDefault="0052220B" w:rsidP="0052220B">
            <w:pPr>
              <w:jc w:val="center"/>
              <w:rPr>
                <w:rFonts w:ascii="Calibri" w:hAnsi="Calibri" w:cs="Calibri"/>
                <w:b/>
                <w:bCs/>
                <w:color w:val="FFFFFF" w:themeColor="background1"/>
                <w:sz w:val="20"/>
                <w:szCs w:val="20"/>
              </w:rPr>
            </w:pPr>
            <w:r w:rsidRPr="00787AB7">
              <w:rPr>
                <w:rFonts w:ascii="Calibri" w:hAnsi="Calibri" w:cs="Calibri"/>
                <w:b/>
                <w:bCs/>
                <w:color w:val="FFFFFF" w:themeColor="background1"/>
                <w:sz w:val="20"/>
                <w:szCs w:val="20"/>
              </w:rPr>
              <w:t>Trolibusz ágazat</w:t>
            </w:r>
          </w:p>
        </w:tc>
        <w:tc>
          <w:tcPr>
            <w:tcW w:w="929" w:type="dxa"/>
            <w:shd w:val="clear" w:color="auto" w:fill="2528A3"/>
            <w:vAlign w:val="center"/>
          </w:tcPr>
          <w:p w14:paraId="37817951" w14:textId="5E23B5A0" w:rsidR="0052220B" w:rsidRPr="00787AB7" w:rsidRDefault="0052220B" w:rsidP="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Metró ágazat</w:t>
            </w:r>
          </w:p>
        </w:tc>
        <w:tc>
          <w:tcPr>
            <w:tcW w:w="998" w:type="dxa"/>
            <w:shd w:val="clear" w:color="auto" w:fill="2528A3"/>
            <w:vAlign w:val="center"/>
          </w:tcPr>
          <w:p w14:paraId="7D17EB71" w14:textId="021E4402" w:rsidR="0052220B" w:rsidRPr="00787AB7" w:rsidRDefault="0052220B" w:rsidP="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Villamos ágazat</w:t>
            </w:r>
          </w:p>
        </w:tc>
      </w:tr>
      <w:tr w:rsidR="005561A5" w:rsidRPr="0056690E" w14:paraId="34C8676E" w14:textId="77777777" w:rsidTr="005561A5">
        <w:trPr>
          <w:trHeight w:val="360"/>
          <w:jc w:val="center"/>
        </w:trPr>
        <w:tc>
          <w:tcPr>
            <w:tcW w:w="716" w:type="dxa"/>
            <w:vAlign w:val="center"/>
          </w:tcPr>
          <w:p w14:paraId="1D32544B" w14:textId="77777777" w:rsidR="005561A5" w:rsidRPr="00787AB7" w:rsidRDefault="005561A5" w:rsidP="0052220B">
            <w:pPr>
              <w:ind w:left="233" w:hanging="233"/>
              <w:rPr>
                <w:rFonts w:ascii="Calibri" w:hAnsi="Calibri"/>
                <w:bCs/>
                <w:sz w:val="18"/>
                <w:szCs w:val="18"/>
              </w:rPr>
            </w:pPr>
            <w:r w:rsidRPr="00787AB7">
              <w:rPr>
                <w:rFonts w:ascii="Calibri" w:hAnsi="Calibri"/>
                <w:bCs/>
                <w:sz w:val="18"/>
                <w:szCs w:val="18"/>
              </w:rPr>
              <w:t>1.</w:t>
            </w:r>
          </w:p>
        </w:tc>
        <w:tc>
          <w:tcPr>
            <w:tcW w:w="3002" w:type="dxa"/>
            <w:shd w:val="clear" w:color="auto" w:fill="auto"/>
            <w:vAlign w:val="center"/>
          </w:tcPr>
          <w:p w14:paraId="2ED87459" w14:textId="77777777" w:rsidR="005561A5" w:rsidRPr="00787AB7" w:rsidRDefault="005561A5" w:rsidP="00CB159D">
            <w:pPr>
              <w:rPr>
                <w:rFonts w:asciiTheme="minorHAnsi" w:hAnsiTheme="minorHAnsi" w:cstheme="minorHAnsi"/>
                <w:bCs/>
                <w:sz w:val="18"/>
                <w:szCs w:val="18"/>
              </w:rPr>
            </w:pPr>
            <w:r w:rsidRPr="00787AB7">
              <w:rPr>
                <w:rFonts w:ascii="Calibri" w:hAnsi="Calibri"/>
                <w:bCs/>
                <w:sz w:val="18"/>
                <w:szCs w:val="18"/>
              </w:rPr>
              <w:t>Ezer fhkm teljesítményre vetített kompenzáció (Ft/ezer fhkm)</w:t>
            </w:r>
          </w:p>
        </w:tc>
        <w:tc>
          <w:tcPr>
            <w:tcW w:w="1289" w:type="dxa"/>
            <w:vAlign w:val="center"/>
          </w:tcPr>
          <w:p w14:paraId="40F44F87" w14:textId="21FDC26C" w:rsidR="005561A5" w:rsidRPr="00787AB7" w:rsidRDefault="005561A5" w:rsidP="00B67637">
            <w:pPr>
              <w:jc w:val="right"/>
              <w:rPr>
                <w:rFonts w:ascii="Calibri" w:hAnsi="Calibri"/>
                <w:sz w:val="18"/>
                <w:szCs w:val="18"/>
              </w:rPr>
            </w:pPr>
            <w:r w:rsidRPr="00787AB7">
              <w:rPr>
                <w:rFonts w:ascii="Calibri" w:hAnsi="Calibri"/>
                <w:sz w:val="18"/>
                <w:szCs w:val="18"/>
              </w:rPr>
              <w:t xml:space="preserve">8 </w:t>
            </w:r>
            <w:r w:rsidR="00B67637">
              <w:rPr>
                <w:rFonts w:ascii="Calibri" w:hAnsi="Calibri"/>
                <w:sz w:val="18"/>
                <w:szCs w:val="18"/>
              </w:rPr>
              <w:t>432</w:t>
            </w:r>
          </w:p>
        </w:tc>
        <w:tc>
          <w:tcPr>
            <w:tcW w:w="1210" w:type="dxa"/>
            <w:vAlign w:val="center"/>
          </w:tcPr>
          <w:p w14:paraId="779BB5AC" w14:textId="667EC392" w:rsidR="005561A5" w:rsidRPr="00787AB7" w:rsidRDefault="005561A5">
            <w:pPr>
              <w:jc w:val="right"/>
              <w:rPr>
                <w:rFonts w:ascii="Calibri" w:hAnsi="Calibri" w:cs="Calibri"/>
                <w:sz w:val="18"/>
                <w:szCs w:val="18"/>
              </w:rPr>
            </w:pPr>
            <w:r w:rsidRPr="00787AB7">
              <w:rPr>
                <w:rFonts w:ascii="Calibri" w:hAnsi="Calibri"/>
                <w:sz w:val="18"/>
                <w:szCs w:val="18"/>
              </w:rPr>
              <w:t xml:space="preserve">10 </w:t>
            </w:r>
            <w:r w:rsidR="00E5733C">
              <w:rPr>
                <w:rFonts w:ascii="Calibri" w:hAnsi="Calibri"/>
                <w:sz w:val="18"/>
                <w:szCs w:val="18"/>
              </w:rPr>
              <w:t>271</w:t>
            </w:r>
          </w:p>
        </w:tc>
        <w:tc>
          <w:tcPr>
            <w:tcW w:w="1142" w:type="dxa"/>
            <w:vAlign w:val="center"/>
          </w:tcPr>
          <w:p w14:paraId="2B957A33" w14:textId="2821AD3B" w:rsidR="005561A5" w:rsidRPr="00787AB7" w:rsidRDefault="005561A5">
            <w:pPr>
              <w:jc w:val="right"/>
              <w:rPr>
                <w:rFonts w:ascii="Calibri" w:hAnsi="Calibri"/>
                <w:sz w:val="18"/>
                <w:szCs w:val="18"/>
              </w:rPr>
            </w:pPr>
            <w:r w:rsidRPr="00787AB7">
              <w:rPr>
                <w:rFonts w:ascii="Calibri" w:hAnsi="Calibri"/>
                <w:sz w:val="18"/>
                <w:szCs w:val="18"/>
              </w:rPr>
              <w:t xml:space="preserve">10 </w:t>
            </w:r>
            <w:r w:rsidR="00E5733C">
              <w:rPr>
                <w:rFonts w:ascii="Calibri" w:hAnsi="Calibri"/>
                <w:sz w:val="18"/>
                <w:szCs w:val="18"/>
              </w:rPr>
              <w:t>702</w:t>
            </w:r>
          </w:p>
        </w:tc>
        <w:tc>
          <w:tcPr>
            <w:tcW w:w="929" w:type="dxa"/>
            <w:vAlign w:val="center"/>
          </w:tcPr>
          <w:p w14:paraId="207DD3F7" w14:textId="2EFF6735" w:rsidR="005561A5" w:rsidRPr="00787AB7" w:rsidRDefault="005561A5">
            <w:pPr>
              <w:jc w:val="right"/>
              <w:rPr>
                <w:rFonts w:ascii="Calibri" w:hAnsi="Calibri"/>
                <w:sz w:val="18"/>
                <w:szCs w:val="18"/>
              </w:rPr>
            </w:pPr>
            <w:r w:rsidRPr="00787AB7">
              <w:rPr>
                <w:rFonts w:ascii="Calibri" w:hAnsi="Calibri"/>
                <w:sz w:val="18"/>
                <w:szCs w:val="18"/>
              </w:rPr>
              <w:t xml:space="preserve">6 </w:t>
            </w:r>
            <w:r w:rsidR="00E5733C">
              <w:rPr>
                <w:rFonts w:ascii="Calibri" w:hAnsi="Calibri"/>
                <w:sz w:val="18"/>
                <w:szCs w:val="18"/>
              </w:rPr>
              <w:t>747</w:t>
            </w:r>
          </w:p>
        </w:tc>
        <w:tc>
          <w:tcPr>
            <w:tcW w:w="998" w:type="dxa"/>
            <w:vAlign w:val="center"/>
          </w:tcPr>
          <w:p w14:paraId="1639719E" w14:textId="6A46137C" w:rsidR="005561A5" w:rsidRPr="00787AB7" w:rsidRDefault="005561A5" w:rsidP="0052220B">
            <w:pPr>
              <w:jc w:val="right"/>
              <w:rPr>
                <w:rFonts w:ascii="Calibri" w:hAnsi="Calibri"/>
                <w:sz w:val="18"/>
                <w:szCs w:val="18"/>
              </w:rPr>
            </w:pPr>
            <w:r w:rsidRPr="00787AB7">
              <w:rPr>
                <w:rFonts w:ascii="Calibri" w:hAnsi="Calibri"/>
                <w:sz w:val="18"/>
                <w:szCs w:val="18"/>
              </w:rPr>
              <w:t>8 520</w:t>
            </w:r>
          </w:p>
        </w:tc>
      </w:tr>
      <w:tr w:rsidR="005561A5" w:rsidRPr="0056690E" w14:paraId="6077ABAF" w14:textId="77777777" w:rsidTr="005561A5">
        <w:trPr>
          <w:trHeight w:val="360"/>
          <w:jc w:val="center"/>
        </w:trPr>
        <w:tc>
          <w:tcPr>
            <w:tcW w:w="716" w:type="dxa"/>
            <w:vAlign w:val="center"/>
          </w:tcPr>
          <w:p w14:paraId="0734C72C" w14:textId="77777777" w:rsidR="005561A5" w:rsidRPr="00787AB7" w:rsidRDefault="005561A5" w:rsidP="0052220B">
            <w:pPr>
              <w:rPr>
                <w:rFonts w:ascii="Calibri" w:hAnsi="Calibri"/>
                <w:bCs/>
                <w:sz w:val="18"/>
                <w:szCs w:val="18"/>
              </w:rPr>
            </w:pPr>
            <w:r w:rsidRPr="00787AB7">
              <w:rPr>
                <w:rFonts w:ascii="Calibri" w:hAnsi="Calibri"/>
                <w:bCs/>
                <w:sz w:val="18"/>
                <w:szCs w:val="18"/>
              </w:rPr>
              <w:t>2.</w:t>
            </w:r>
          </w:p>
        </w:tc>
        <w:tc>
          <w:tcPr>
            <w:tcW w:w="3002" w:type="dxa"/>
            <w:shd w:val="clear" w:color="auto" w:fill="auto"/>
            <w:vAlign w:val="center"/>
          </w:tcPr>
          <w:p w14:paraId="0EC99F28" w14:textId="77777777" w:rsidR="005561A5" w:rsidRPr="00787AB7" w:rsidRDefault="005561A5" w:rsidP="0052220B">
            <w:pPr>
              <w:rPr>
                <w:rFonts w:asciiTheme="minorHAnsi" w:hAnsiTheme="minorHAnsi" w:cstheme="minorHAnsi"/>
                <w:bCs/>
                <w:sz w:val="18"/>
                <w:szCs w:val="18"/>
              </w:rPr>
            </w:pPr>
            <w:r w:rsidRPr="00787AB7">
              <w:rPr>
                <w:rFonts w:ascii="Calibri" w:hAnsi="Calibri"/>
                <w:bCs/>
                <w:sz w:val="18"/>
                <w:szCs w:val="18"/>
              </w:rPr>
              <w:t>Üzemképes járműállomány/átlagos járműállomány (kocsi) aránya (%)</w:t>
            </w:r>
          </w:p>
        </w:tc>
        <w:tc>
          <w:tcPr>
            <w:tcW w:w="1289" w:type="dxa"/>
            <w:vAlign w:val="center"/>
          </w:tcPr>
          <w:p w14:paraId="67EB6F89" w14:textId="2CE46FB7" w:rsidR="005561A5" w:rsidRPr="00787AB7" w:rsidRDefault="005561A5" w:rsidP="0052220B">
            <w:pPr>
              <w:jc w:val="right"/>
              <w:rPr>
                <w:rFonts w:ascii="Calibri" w:hAnsi="Calibri"/>
                <w:sz w:val="18"/>
                <w:szCs w:val="18"/>
              </w:rPr>
            </w:pPr>
            <w:r w:rsidRPr="00787AB7">
              <w:rPr>
                <w:rFonts w:ascii="Calibri" w:hAnsi="Calibri"/>
                <w:sz w:val="18"/>
                <w:szCs w:val="18"/>
              </w:rPr>
              <w:t>86%</w:t>
            </w:r>
          </w:p>
        </w:tc>
        <w:tc>
          <w:tcPr>
            <w:tcW w:w="1210" w:type="dxa"/>
            <w:vAlign w:val="center"/>
          </w:tcPr>
          <w:p w14:paraId="4E22C8D7" w14:textId="529E8A7C" w:rsidR="005561A5" w:rsidRPr="00787AB7" w:rsidRDefault="005561A5" w:rsidP="0052220B">
            <w:pPr>
              <w:jc w:val="right"/>
              <w:rPr>
                <w:rFonts w:ascii="Calibri" w:hAnsi="Calibri" w:cs="Calibri"/>
                <w:sz w:val="18"/>
                <w:szCs w:val="18"/>
              </w:rPr>
            </w:pPr>
            <w:r w:rsidRPr="00787AB7">
              <w:rPr>
                <w:rFonts w:ascii="Calibri" w:hAnsi="Calibri"/>
                <w:sz w:val="18"/>
                <w:szCs w:val="18"/>
              </w:rPr>
              <w:t>90%</w:t>
            </w:r>
          </w:p>
        </w:tc>
        <w:tc>
          <w:tcPr>
            <w:tcW w:w="1142" w:type="dxa"/>
            <w:vAlign w:val="center"/>
          </w:tcPr>
          <w:p w14:paraId="277FB36D" w14:textId="27338A12" w:rsidR="005561A5" w:rsidRPr="00787AB7" w:rsidRDefault="005561A5" w:rsidP="0052220B">
            <w:pPr>
              <w:jc w:val="right"/>
              <w:rPr>
                <w:rFonts w:ascii="Calibri" w:hAnsi="Calibri"/>
                <w:sz w:val="18"/>
                <w:szCs w:val="18"/>
              </w:rPr>
            </w:pPr>
            <w:r w:rsidRPr="00787AB7">
              <w:rPr>
                <w:rFonts w:ascii="Calibri" w:hAnsi="Calibri"/>
                <w:sz w:val="18"/>
                <w:szCs w:val="18"/>
              </w:rPr>
              <w:t>85%</w:t>
            </w:r>
          </w:p>
        </w:tc>
        <w:tc>
          <w:tcPr>
            <w:tcW w:w="929" w:type="dxa"/>
            <w:vAlign w:val="center"/>
          </w:tcPr>
          <w:p w14:paraId="691335D6" w14:textId="7F4491E7" w:rsidR="005561A5" w:rsidRPr="00787AB7" w:rsidRDefault="005561A5" w:rsidP="0052220B">
            <w:pPr>
              <w:jc w:val="right"/>
              <w:rPr>
                <w:rFonts w:ascii="Calibri" w:hAnsi="Calibri"/>
                <w:sz w:val="18"/>
                <w:szCs w:val="18"/>
              </w:rPr>
            </w:pPr>
            <w:r w:rsidRPr="00787AB7">
              <w:rPr>
                <w:rFonts w:ascii="Calibri" w:hAnsi="Calibri"/>
                <w:sz w:val="18"/>
                <w:szCs w:val="18"/>
              </w:rPr>
              <w:t>81%</w:t>
            </w:r>
          </w:p>
        </w:tc>
        <w:tc>
          <w:tcPr>
            <w:tcW w:w="998" w:type="dxa"/>
            <w:vAlign w:val="center"/>
          </w:tcPr>
          <w:p w14:paraId="21053965" w14:textId="4C5BAF02" w:rsidR="005561A5" w:rsidRPr="00787AB7" w:rsidRDefault="005561A5" w:rsidP="0052220B">
            <w:pPr>
              <w:jc w:val="right"/>
              <w:rPr>
                <w:rFonts w:ascii="Calibri" w:hAnsi="Calibri"/>
                <w:sz w:val="18"/>
                <w:szCs w:val="18"/>
              </w:rPr>
            </w:pPr>
            <w:r w:rsidRPr="00787AB7">
              <w:rPr>
                <w:rFonts w:ascii="Calibri" w:hAnsi="Calibri"/>
                <w:sz w:val="18"/>
                <w:szCs w:val="18"/>
              </w:rPr>
              <w:t>83%</w:t>
            </w:r>
          </w:p>
        </w:tc>
      </w:tr>
      <w:tr w:rsidR="005561A5" w:rsidRPr="0056690E" w14:paraId="6BA425AA" w14:textId="77777777" w:rsidTr="005561A5">
        <w:trPr>
          <w:trHeight w:val="360"/>
          <w:jc w:val="center"/>
        </w:trPr>
        <w:tc>
          <w:tcPr>
            <w:tcW w:w="716" w:type="dxa"/>
            <w:vAlign w:val="center"/>
          </w:tcPr>
          <w:p w14:paraId="6A024A2A" w14:textId="77777777" w:rsidR="005561A5" w:rsidRPr="00787AB7" w:rsidRDefault="005561A5" w:rsidP="0052220B">
            <w:pPr>
              <w:rPr>
                <w:rFonts w:ascii="Calibri" w:hAnsi="Calibri"/>
                <w:bCs/>
                <w:sz w:val="18"/>
                <w:szCs w:val="18"/>
              </w:rPr>
            </w:pPr>
            <w:r w:rsidRPr="00787AB7">
              <w:rPr>
                <w:rFonts w:ascii="Calibri" w:hAnsi="Calibri"/>
                <w:bCs/>
                <w:sz w:val="18"/>
                <w:szCs w:val="18"/>
              </w:rPr>
              <w:t>3.</w:t>
            </w:r>
          </w:p>
        </w:tc>
        <w:tc>
          <w:tcPr>
            <w:tcW w:w="3002" w:type="dxa"/>
            <w:shd w:val="clear" w:color="auto" w:fill="auto"/>
            <w:vAlign w:val="center"/>
          </w:tcPr>
          <w:p w14:paraId="74E4152E" w14:textId="77777777" w:rsidR="005561A5" w:rsidRPr="00787AB7" w:rsidRDefault="005561A5" w:rsidP="0052220B">
            <w:pPr>
              <w:rPr>
                <w:rFonts w:asciiTheme="minorHAnsi" w:hAnsiTheme="minorHAnsi" w:cstheme="minorHAnsi"/>
                <w:bCs/>
                <w:sz w:val="18"/>
                <w:szCs w:val="18"/>
              </w:rPr>
            </w:pPr>
            <w:r w:rsidRPr="00787AB7">
              <w:rPr>
                <w:rFonts w:ascii="Calibri" w:hAnsi="Calibri"/>
                <w:bCs/>
                <w:sz w:val="18"/>
                <w:szCs w:val="18"/>
              </w:rPr>
              <w:t>Átlagos forgalmi/ átlagos állományi jármű (kocsi) darabszám (%)</w:t>
            </w:r>
          </w:p>
        </w:tc>
        <w:tc>
          <w:tcPr>
            <w:tcW w:w="1289" w:type="dxa"/>
            <w:vAlign w:val="center"/>
          </w:tcPr>
          <w:p w14:paraId="6D0D8370" w14:textId="4658E595" w:rsidR="005561A5" w:rsidRPr="00787AB7" w:rsidRDefault="005561A5" w:rsidP="0052220B">
            <w:pPr>
              <w:jc w:val="right"/>
              <w:rPr>
                <w:rFonts w:ascii="Calibri" w:hAnsi="Calibri"/>
                <w:sz w:val="18"/>
                <w:szCs w:val="18"/>
              </w:rPr>
            </w:pPr>
            <w:r w:rsidRPr="00787AB7">
              <w:rPr>
                <w:rFonts w:ascii="Calibri" w:hAnsi="Calibri"/>
                <w:sz w:val="18"/>
                <w:szCs w:val="18"/>
              </w:rPr>
              <w:t>73%</w:t>
            </w:r>
          </w:p>
        </w:tc>
        <w:tc>
          <w:tcPr>
            <w:tcW w:w="1210" w:type="dxa"/>
            <w:vAlign w:val="center"/>
          </w:tcPr>
          <w:p w14:paraId="3A785819" w14:textId="5B6C5E71" w:rsidR="005561A5" w:rsidRPr="00787AB7" w:rsidRDefault="005561A5" w:rsidP="0052220B">
            <w:pPr>
              <w:jc w:val="right"/>
              <w:rPr>
                <w:rFonts w:ascii="Calibri" w:hAnsi="Calibri" w:cs="Calibri"/>
                <w:sz w:val="18"/>
                <w:szCs w:val="18"/>
              </w:rPr>
            </w:pPr>
            <w:r w:rsidRPr="00787AB7">
              <w:rPr>
                <w:rFonts w:ascii="Calibri" w:hAnsi="Calibri"/>
                <w:sz w:val="18"/>
                <w:szCs w:val="18"/>
              </w:rPr>
              <w:t>76%</w:t>
            </w:r>
          </w:p>
        </w:tc>
        <w:tc>
          <w:tcPr>
            <w:tcW w:w="1142" w:type="dxa"/>
            <w:vAlign w:val="center"/>
          </w:tcPr>
          <w:p w14:paraId="35D88D07" w14:textId="677002AB" w:rsidR="005561A5" w:rsidRPr="00787AB7" w:rsidRDefault="005561A5" w:rsidP="0052220B">
            <w:pPr>
              <w:jc w:val="right"/>
              <w:rPr>
                <w:rFonts w:ascii="Calibri" w:hAnsi="Calibri"/>
                <w:sz w:val="18"/>
                <w:szCs w:val="18"/>
              </w:rPr>
            </w:pPr>
            <w:r w:rsidRPr="00787AB7">
              <w:rPr>
                <w:rFonts w:ascii="Calibri" w:hAnsi="Calibri"/>
                <w:sz w:val="18"/>
                <w:szCs w:val="18"/>
              </w:rPr>
              <w:t>74%</w:t>
            </w:r>
          </w:p>
        </w:tc>
        <w:tc>
          <w:tcPr>
            <w:tcW w:w="929" w:type="dxa"/>
            <w:vAlign w:val="center"/>
          </w:tcPr>
          <w:p w14:paraId="4FA70621" w14:textId="4F23505B" w:rsidR="005561A5" w:rsidRPr="00787AB7" w:rsidRDefault="005561A5" w:rsidP="0052220B">
            <w:pPr>
              <w:jc w:val="right"/>
              <w:rPr>
                <w:rFonts w:ascii="Calibri" w:hAnsi="Calibri"/>
                <w:sz w:val="18"/>
                <w:szCs w:val="18"/>
              </w:rPr>
            </w:pPr>
            <w:r w:rsidRPr="00787AB7">
              <w:rPr>
                <w:rFonts w:ascii="Calibri" w:hAnsi="Calibri"/>
                <w:sz w:val="18"/>
                <w:szCs w:val="18"/>
              </w:rPr>
              <w:t>68%</w:t>
            </w:r>
          </w:p>
        </w:tc>
        <w:tc>
          <w:tcPr>
            <w:tcW w:w="998" w:type="dxa"/>
            <w:vAlign w:val="center"/>
          </w:tcPr>
          <w:p w14:paraId="55A30FDB" w14:textId="06DCA07F" w:rsidR="005561A5" w:rsidRPr="00787AB7" w:rsidRDefault="005561A5" w:rsidP="0052220B">
            <w:pPr>
              <w:jc w:val="right"/>
              <w:rPr>
                <w:rFonts w:ascii="Calibri" w:hAnsi="Calibri"/>
                <w:sz w:val="18"/>
                <w:szCs w:val="18"/>
              </w:rPr>
            </w:pPr>
            <w:r w:rsidRPr="00787AB7">
              <w:rPr>
                <w:rFonts w:ascii="Calibri" w:hAnsi="Calibri"/>
                <w:sz w:val="18"/>
                <w:szCs w:val="18"/>
              </w:rPr>
              <w:t>71%</w:t>
            </w:r>
          </w:p>
        </w:tc>
      </w:tr>
      <w:tr w:rsidR="005561A5" w:rsidRPr="0056690E" w14:paraId="72546954" w14:textId="77777777" w:rsidTr="005561A5">
        <w:trPr>
          <w:trHeight w:val="360"/>
          <w:jc w:val="center"/>
        </w:trPr>
        <w:tc>
          <w:tcPr>
            <w:tcW w:w="716" w:type="dxa"/>
            <w:vAlign w:val="center"/>
          </w:tcPr>
          <w:p w14:paraId="1345D42F" w14:textId="77777777" w:rsidR="005561A5" w:rsidRPr="00787AB7" w:rsidRDefault="005561A5" w:rsidP="0052220B">
            <w:pPr>
              <w:rPr>
                <w:rFonts w:ascii="Calibri" w:hAnsi="Calibri"/>
                <w:bCs/>
                <w:sz w:val="18"/>
                <w:szCs w:val="18"/>
              </w:rPr>
            </w:pPr>
            <w:r w:rsidRPr="00787AB7">
              <w:rPr>
                <w:rFonts w:ascii="Calibri" w:hAnsi="Calibri"/>
                <w:bCs/>
                <w:sz w:val="18"/>
                <w:szCs w:val="18"/>
              </w:rPr>
              <w:t>4.</w:t>
            </w:r>
          </w:p>
        </w:tc>
        <w:tc>
          <w:tcPr>
            <w:tcW w:w="3002" w:type="dxa"/>
            <w:shd w:val="clear" w:color="auto" w:fill="auto"/>
            <w:vAlign w:val="center"/>
          </w:tcPr>
          <w:p w14:paraId="78E9D86D" w14:textId="77777777" w:rsidR="005561A5" w:rsidRPr="00787AB7" w:rsidRDefault="005561A5" w:rsidP="00846F35">
            <w:pPr>
              <w:rPr>
                <w:rFonts w:ascii="Calibri" w:hAnsi="Calibri"/>
                <w:bCs/>
                <w:sz w:val="18"/>
                <w:szCs w:val="18"/>
              </w:rPr>
            </w:pPr>
            <w:r w:rsidRPr="00787AB7">
              <w:rPr>
                <w:rFonts w:ascii="Calibri" w:hAnsi="Calibri"/>
                <w:bCs/>
                <w:sz w:val="18"/>
                <w:szCs w:val="18"/>
              </w:rPr>
              <w:t>Egy állományi járműre jutó hasznos kocsikilométer</w:t>
            </w:r>
          </w:p>
          <w:p w14:paraId="3E20C722" w14:textId="77777777" w:rsidR="005561A5" w:rsidRPr="00787AB7" w:rsidRDefault="005561A5" w:rsidP="00846F35">
            <w:pPr>
              <w:rPr>
                <w:rFonts w:asciiTheme="minorHAnsi" w:hAnsiTheme="minorHAnsi" w:cstheme="minorHAnsi"/>
                <w:bCs/>
                <w:sz w:val="18"/>
                <w:szCs w:val="18"/>
              </w:rPr>
            </w:pPr>
            <w:r w:rsidRPr="00787AB7">
              <w:rPr>
                <w:rFonts w:ascii="Calibri" w:hAnsi="Calibri"/>
                <w:bCs/>
                <w:sz w:val="18"/>
                <w:szCs w:val="18"/>
              </w:rPr>
              <w:t>(kkm/db)</w:t>
            </w:r>
          </w:p>
        </w:tc>
        <w:tc>
          <w:tcPr>
            <w:tcW w:w="1289" w:type="dxa"/>
            <w:vAlign w:val="center"/>
          </w:tcPr>
          <w:p w14:paraId="0A842ECF" w14:textId="4A9DBB95" w:rsidR="005561A5" w:rsidRPr="00787AB7" w:rsidRDefault="005561A5" w:rsidP="0052220B">
            <w:pPr>
              <w:jc w:val="right"/>
              <w:rPr>
                <w:rFonts w:ascii="Calibri" w:hAnsi="Calibri"/>
                <w:sz w:val="18"/>
                <w:szCs w:val="18"/>
              </w:rPr>
            </w:pPr>
            <w:r w:rsidRPr="00787AB7">
              <w:rPr>
                <w:rFonts w:ascii="Calibri" w:hAnsi="Calibri"/>
                <w:sz w:val="18"/>
                <w:szCs w:val="18"/>
              </w:rPr>
              <w:t>53 719</w:t>
            </w:r>
          </w:p>
        </w:tc>
        <w:tc>
          <w:tcPr>
            <w:tcW w:w="1210" w:type="dxa"/>
            <w:vAlign w:val="center"/>
          </w:tcPr>
          <w:p w14:paraId="0C046B4F" w14:textId="20322C41" w:rsidR="005561A5" w:rsidRPr="00787AB7" w:rsidRDefault="005561A5" w:rsidP="0052220B">
            <w:pPr>
              <w:jc w:val="right"/>
              <w:rPr>
                <w:rFonts w:ascii="Calibri" w:hAnsi="Calibri" w:cs="Calibri"/>
                <w:sz w:val="18"/>
                <w:szCs w:val="18"/>
              </w:rPr>
            </w:pPr>
            <w:r w:rsidRPr="00787AB7">
              <w:rPr>
                <w:rFonts w:ascii="Calibri" w:hAnsi="Calibri"/>
                <w:sz w:val="18"/>
                <w:szCs w:val="18"/>
              </w:rPr>
              <w:t>51 520</w:t>
            </w:r>
          </w:p>
        </w:tc>
        <w:tc>
          <w:tcPr>
            <w:tcW w:w="1142" w:type="dxa"/>
            <w:vAlign w:val="center"/>
          </w:tcPr>
          <w:p w14:paraId="20955A57" w14:textId="3FD88D62" w:rsidR="005561A5" w:rsidRPr="00787AB7" w:rsidRDefault="005561A5" w:rsidP="0052220B">
            <w:pPr>
              <w:jc w:val="right"/>
              <w:rPr>
                <w:rFonts w:ascii="Calibri" w:hAnsi="Calibri"/>
                <w:sz w:val="18"/>
                <w:szCs w:val="18"/>
              </w:rPr>
            </w:pPr>
            <w:r w:rsidRPr="00787AB7">
              <w:rPr>
                <w:rFonts w:ascii="Calibri" w:hAnsi="Calibri"/>
                <w:sz w:val="18"/>
                <w:szCs w:val="18"/>
              </w:rPr>
              <w:t>38 021</w:t>
            </w:r>
          </w:p>
        </w:tc>
        <w:tc>
          <w:tcPr>
            <w:tcW w:w="929" w:type="dxa"/>
            <w:vAlign w:val="center"/>
          </w:tcPr>
          <w:p w14:paraId="1CB78EA1" w14:textId="71B4C549" w:rsidR="005561A5" w:rsidRPr="00787AB7" w:rsidRDefault="005561A5" w:rsidP="0052220B">
            <w:pPr>
              <w:jc w:val="right"/>
              <w:rPr>
                <w:rFonts w:ascii="Calibri" w:hAnsi="Calibri"/>
                <w:sz w:val="18"/>
                <w:szCs w:val="18"/>
              </w:rPr>
            </w:pPr>
            <w:r w:rsidRPr="00787AB7">
              <w:rPr>
                <w:rFonts w:ascii="Calibri" w:hAnsi="Calibri"/>
                <w:sz w:val="18"/>
                <w:szCs w:val="18"/>
              </w:rPr>
              <w:t>73 650</w:t>
            </w:r>
          </w:p>
        </w:tc>
        <w:tc>
          <w:tcPr>
            <w:tcW w:w="998" w:type="dxa"/>
            <w:vAlign w:val="center"/>
          </w:tcPr>
          <w:p w14:paraId="48E773DB" w14:textId="1B869C49" w:rsidR="005561A5" w:rsidRPr="00787AB7" w:rsidRDefault="005561A5" w:rsidP="0052220B">
            <w:pPr>
              <w:jc w:val="right"/>
              <w:rPr>
                <w:rFonts w:ascii="Calibri" w:hAnsi="Calibri"/>
                <w:sz w:val="18"/>
                <w:szCs w:val="18"/>
              </w:rPr>
            </w:pPr>
            <w:r w:rsidRPr="00787AB7">
              <w:rPr>
                <w:rFonts w:ascii="Calibri" w:hAnsi="Calibri"/>
                <w:sz w:val="18"/>
                <w:szCs w:val="18"/>
              </w:rPr>
              <w:t>46 126</w:t>
            </w:r>
          </w:p>
        </w:tc>
      </w:tr>
      <w:tr w:rsidR="005561A5" w:rsidRPr="0056690E" w14:paraId="2C4EE931" w14:textId="77777777" w:rsidTr="005561A5">
        <w:trPr>
          <w:trHeight w:val="360"/>
          <w:jc w:val="center"/>
        </w:trPr>
        <w:tc>
          <w:tcPr>
            <w:tcW w:w="716" w:type="dxa"/>
            <w:vAlign w:val="center"/>
          </w:tcPr>
          <w:p w14:paraId="2B59B460" w14:textId="77777777" w:rsidR="005561A5" w:rsidRPr="00787AB7" w:rsidRDefault="005561A5" w:rsidP="0052220B">
            <w:pPr>
              <w:rPr>
                <w:rFonts w:ascii="Calibri" w:hAnsi="Calibri"/>
                <w:bCs/>
                <w:sz w:val="18"/>
                <w:szCs w:val="18"/>
              </w:rPr>
            </w:pPr>
            <w:r w:rsidRPr="00787AB7">
              <w:rPr>
                <w:rFonts w:ascii="Calibri" w:hAnsi="Calibri"/>
                <w:bCs/>
                <w:sz w:val="18"/>
                <w:szCs w:val="18"/>
              </w:rPr>
              <w:t>5.</w:t>
            </w:r>
          </w:p>
        </w:tc>
        <w:tc>
          <w:tcPr>
            <w:tcW w:w="3002" w:type="dxa"/>
            <w:shd w:val="clear" w:color="auto" w:fill="auto"/>
            <w:vAlign w:val="center"/>
          </w:tcPr>
          <w:p w14:paraId="2B69A044" w14:textId="77777777" w:rsidR="005561A5" w:rsidRPr="00787AB7" w:rsidRDefault="005561A5" w:rsidP="0052220B">
            <w:pPr>
              <w:rPr>
                <w:rFonts w:asciiTheme="minorHAnsi" w:hAnsiTheme="minorHAnsi" w:cstheme="minorHAnsi"/>
                <w:bCs/>
                <w:sz w:val="18"/>
                <w:szCs w:val="18"/>
              </w:rPr>
            </w:pPr>
            <w:r w:rsidRPr="00787AB7">
              <w:rPr>
                <w:rFonts w:ascii="Calibri" w:hAnsi="Calibri"/>
                <w:bCs/>
                <w:sz w:val="18"/>
                <w:szCs w:val="18"/>
              </w:rPr>
              <w:t>Járművezetői összes teljesített munkaidő/ üzemóra</w:t>
            </w:r>
          </w:p>
        </w:tc>
        <w:tc>
          <w:tcPr>
            <w:tcW w:w="1289" w:type="dxa"/>
            <w:vAlign w:val="center"/>
          </w:tcPr>
          <w:p w14:paraId="0E361EEE" w14:textId="36115C71" w:rsidR="005561A5" w:rsidRPr="00787AB7" w:rsidRDefault="005561A5" w:rsidP="0052220B">
            <w:pPr>
              <w:jc w:val="right"/>
              <w:rPr>
                <w:rFonts w:ascii="Calibri" w:hAnsi="Calibri"/>
                <w:sz w:val="18"/>
                <w:szCs w:val="18"/>
              </w:rPr>
            </w:pPr>
            <w:r w:rsidRPr="00787AB7">
              <w:rPr>
                <w:rFonts w:ascii="Calibri" w:hAnsi="Calibri"/>
                <w:sz w:val="18"/>
                <w:szCs w:val="18"/>
              </w:rPr>
              <w:t>1,32</w:t>
            </w:r>
          </w:p>
        </w:tc>
        <w:tc>
          <w:tcPr>
            <w:tcW w:w="1210" w:type="dxa"/>
            <w:vAlign w:val="center"/>
          </w:tcPr>
          <w:p w14:paraId="4D4D5C37" w14:textId="53143783" w:rsidR="005561A5" w:rsidRPr="00787AB7" w:rsidRDefault="005561A5" w:rsidP="0052220B">
            <w:pPr>
              <w:jc w:val="right"/>
              <w:rPr>
                <w:rFonts w:ascii="Calibri" w:hAnsi="Calibri" w:cs="Calibri"/>
                <w:sz w:val="18"/>
                <w:szCs w:val="18"/>
              </w:rPr>
            </w:pPr>
            <w:r w:rsidRPr="00787AB7">
              <w:rPr>
                <w:rFonts w:ascii="Calibri" w:hAnsi="Calibri"/>
                <w:sz w:val="18"/>
                <w:szCs w:val="18"/>
              </w:rPr>
              <w:t>1,38</w:t>
            </w:r>
          </w:p>
        </w:tc>
        <w:tc>
          <w:tcPr>
            <w:tcW w:w="1142" w:type="dxa"/>
            <w:vAlign w:val="center"/>
          </w:tcPr>
          <w:p w14:paraId="2BD775F6" w14:textId="49A27BF9" w:rsidR="005561A5" w:rsidRPr="00787AB7" w:rsidRDefault="005561A5" w:rsidP="0052220B">
            <w:pPr>
              <w:jc w:val="right"/>
              <w:rPr>
                <w:rFonts w:ascii="Calibri" w:hAnsi="Calibri"/>
                <w:sz w:val="18"/>
                <w:szCs w:val="18"/>
              </w:rPr>
            </w:pPr>
            <w:r w:rsidRPr="00787AB7">
              <w:rPr>
                <w:rFonts w:ascii="Calibri" w:hAnsi="Calibri"/>
                <w:sz w:val="18"/>
                <w:szCs w:val="18"/>
              </w:rPr>
              <w:t>1,19</w:t>
            </w:r>
          </w:p>
        </w:tc>
        <w:tc>
          <w:tcPr>
            <w:tcW w:w="929" w:type="dxa"/>
            <w:vAlign w:val="center"/>
          </w:tcPr>
          <w:p w14:paraId="03D518E4" w14:textId="797AE20F" w:rsidR="005561A5" w:rsidRPr="00787AB7" w:rsidRDefault="005561A5" w:rsidP="0052220B">
            <w:pPr>
              <w:jc w:val="right"/>
              <w:rPr>
                <w:rFonts w:ascii="Calibri" w:hAnsi="Calibri"/>
                <w:sz w:val="18"/>
                <w:szCs w:val="18"/>
              </w:rPr>
            </w:pPr>
            <w:r w:rsidRPr="00787AB7">
              <w:rPr>
                <w:rFonts w:ascii="Calibri" w:hAnsi="Calibri"/>
                <w:sz w:val="18"/>
                <w:szCs w:val="18"/>
              </w:rPr>
              <w:t>1,18</w:t>
            </w:r>
          </w:p>
        </w:tc>
        <w:tc>
          <w:tcPr>
            <w:tcW w:w="998" w:type="dxa"/>
            <w:vAlign w:val="center"/>
          </w:tcPr>
          <w:p w14:paraId="212890FC" w14:textId="4863E167" w:rsidR="005561A5" w:rsidRPr="00787AB7" w:rsidRDefault="005561A5" w:rsidP="0052220B">
            <w:pPr>
              <w:jc w:val="right"/>
              <w:rPr>
                <w:rFonts w:ascii="Calibri" w:hAnsi="Calibri"/>
                <w:sz w:val="18"/>
                <w:szCs w:val="18"/>
              </w:rPr>
            </w:pPr>
            <w:r w:rsidRPr="00787AB7">
              <w:rPr>
                <w:rFonts w:ascii="Calibri" w:hAnsi="Calibri"/>
                <w:sz w:val="18"/>
                <w:szCs w:val="18"/>
              </w:rPr>
              <w:t>1,25</w:t>
            </w:r>
          </w:p>
        </w:tc>
      </w:tr>
      <w:tr w:rsidR="005561A5" w:rsidRPr="0056690E" w14:paraId="17646308" w14:textId="77777777" w:rsidTr="005561A5">
        <w:trPr>
          <w:trHeight w:val="360"/>
          <w:jc w:val="center"/>
        </w:trPr>
        <w:tc>
          <w:tcPr>
            <w:tcW w:w="716" w:type="dxa"/>
            <w:vAlign w:val="center"/>
          </w:tcPr>
          <w:p w14:paraId="6A54C7E0" w14:textId="77777777" w:rsidR="005561A5" w:rsidRPr="00787AB7" w:rsidRDefault="005561A5" w:rsidP="0052220B">
            <w:pPr>
              <w:rPr>
                <w:rFonts w:ascii="Calibri" w:hAnsi="Calibri"/>
                <w:bCs/>
                <w:sz w:val="18"/>
                <w:szCs w:val="18"/>
              </w:rPr>
            </w:pPr>
            <w:r w:rsidRPr="00787AB7">
              <w:rPr>
                <w:rFonts w:ascii="Calibri" w:hAnsi="Calibri"/>
                <w:bCs/>
                <w:sz w:val="18"/>
                <w:szCs w:val="18"/>
              </w:rPr>
              <w:t>6.</w:t>
            </w:r>
          </w:p>
        </w:tc>
        <w:tc>
          <w:tcPr>
            <w:tcW w:w="3002" w:type="dxa"/>
            <w:shd w:val="clear" w:color="auto" w:fill="auto"/>
            <w:vAlign w:val="center"/>
          </w:tcPr>
          <w:p w14:paraId="5184DCBA" w14:textId="07BD604F" w:rsidR="005561A5" w:rsidRPr="00787AB7" w:rsidRDefault="005561A5" w:rsidP="00976F3D">
            <w:pPr>
              <w:rPr>
                <w:rFonts w:asciiTheme="minorHAnsi" w:hAnsiTheme="minorHAnsi" w:cstheme="minorHAnsi"/>
                <w:bCs/>
                <w:sz w:val="18"/>
                <w:szCs w:val="18"/>
              </w:rPr>
            </w:pPr>
            <w:r w:rsidRPr="00787AB7">
              <w:rPr>
                <w:rFonts w:ascii="Calibri" w:hAnsi="Calibri"/>
                <w:bCs/>
                <w:sz w:val="18"/>
                <w:szCs w:val="18"/>
              </w:rPr>
              <w:t>Állományi jármű darabszám/egyéb fizikai átlagos létszáma (db/fő)</w:t>
            </w:r>
          </w:p>
        </w:tc>
        <w:tc>
          <w:tcPr>
            <w:tcW w:w="1289" w:type="dxa"/>
            <w:vAlign w:val="center"/>
          </w:tcPr>
          <w:p w14:paraId="7114AB2D" w14:textId="0724653C" w:rsidR="005561A5" w:rsidRPr="00787AB7" w:rsidRDefault="00446CBF" w:rsidP="0052220B">
            <w:pPr>
              <w:jc w:val="right"/>
              <w:rPr>
                <w:rFonts w:ascii="Calibri" w:hAnsi="Calibri"/>
                <w:sz w:val="18"/>
                <w:szCs w:val="18"/>
              </w:rPr>
            </w:pPr>
            <w:r>
              <w:rPr>
                <w:rFonts w:ascii="Calibri" w:hAnsi="Calibri"/>
                <w:sz w:val="18"/>
                <w:szCs w:val="18"/>
              </w:rPr>
              <w:t>0,53</w:t>
            </w:r>
          </w:p>
        </w:tc>
        <w:tc>
          <w:tcPr>
            <w:tcW w:w="1210" w:type="dxa"/>
            <w:vAlign w:val="center"/>
          </w:tcPr>
          <w:p w14:paraId="40F7D4DC" w14:textId="5ADE61C1" w:rsidR="005561A5" w:rsidRPr="00787AB7" w:rsidRDefault="005561A5" w:rsidP="0052220B">
            <w:pPr>
              <w:jc w:val="right"/>
              <w:rPr>
                <w:rFonts w:ascii="Calibri" w:hAnsi="Calibri" w:cs="Calibri"/>
                <w:sz w:val="18"/>
                <w:szCs w:val="18"/>
              </w:rPr>
            </w:pPr>
            <w:r w:rsidRPr="00787AB7">
              <w:rPr>
                <w:rFonts w:ascii="Calibri" w:hAnsi="Calibri"/>
                <w:sz w:val="18"/>
                <w:szCs w:val="18"/>
              </w:rPr>
              <w:t>n.a</w:t>
            </w:r>
          </w:p>
        </w:tc>
        <w:tc>
          <w:tcPr>
            <w:tcW w:w="1142" w:type="dxa"/>
            <w:vAlign w:val="center"/>
          </w:tcPr>
          <w:p w14:paraId="7EADCAF8" w14:textId="205901C1" w:rsidR="005561A5" w:rsidRPr="00787AB7" w:rsidRDefault="005561A5" w:rsidP="0052220B">
            <w:pPr>
              <w:jc w:val="right"/>
              <w:rPr>
                <w:rFonts w:ascii="Calibri" w:hAnsi="Calibri"/>
                <w:sz w:val="18"/>
                <w:szCs w:val="18"/>
              </w:rPr>
            </w:pPr>
            <w:r w:rsidRPr="00787AB7">
              <w:rPr>
                <w:rFonts w:ascii="Calibri" w:hAnsi="Calibri"/>
                <w:sz w:val="18"/>
                <w:szCs w:val="18"/>
              </w:rPr>
              <w:t>n.a.</w:t>
            </w:r>
          </w:p>
        </w:tc>
        <w:tc>
          <w:tcPr>
            <w:tcW w:w="929" w:type="dxa"/>
            <w:vAlign w:val="center"/>
          </w:tcPr>
          <w:p w14:paraId="6C507E22" w14:textId="11A51E63" w:rsidR="005561A5" w:rsidRPr="00787AB7" w:rsidRDefault="005561A5" w:rsidP="0052220B">
            <w:pPr>
              <w:jc w:val="right"/>
              <w:rPr>
                <w:rFonts w:ascii="Calibri" w:hAnsi="Calibri"/>
                <w:sz w:val="18"/>
                <w:szCs w:val="18"/>
              </w:rPr>
            </w:pPr>
            <w:r w:rsidRPr="00787AB7">
              <w:rPr>
                <w:rFonts w:ascii="Calibri" w:hAnsi="Calibri"/>
                <w:sz w:val="18"/>
                <w:szCs w:val="18"/>
              </w:rPr>
              <w:t>n.a.</w:t>
            </w:r>
          </w:p>
        </w:tc>
        <w:tc>
          <w:tcPr>
            <w:tcW w:w="998" w:type="dxa"/>
            <w:vAlign w:val="center"/>
          </w:tcPr>
          <w:p w14:paraId="6703C9DF" w14:textId="6D067F0C" w:rsidR="005561A5" w:rsidRPr="00787AB7" w:rsidRDefault="005561A5" w:rsidP="0052220B">
            <w:pPr>
              <w:jc w:val="right"/>
              <w:rPr>
                <w:rFonts w:ascii="Calibri" w:hAnsi="Calibri"/>
                <w:sz w:val="18"/>
                <w:szCs w:val="18"/>
              </w:rPr>
            </w:pPr>
            <w:r w:rsidRPr="00787AB7">
              <w:rPr>
                <w:rFonts w:ascii="Calibri" w:hAnsi="Calibri"/>
                <w:sz w:val="18"/>
                <w:szCs w:val="18"/>
              </w:rPr>
              <w:t>n.a.</w:t>
            </w:r>
          </w:p>
        </w:tc>
      </w:tr>
      <w:tr w:rsidR="005561A5" w:rsidRPr="0056690E" w14:paraId="45457A21" w14:textId="77777777" w:rsidTr="005561A5">
        <w:trPr>
          <w:trHeight w:val="360"/>
          <w:jc w:val="center"/>
        </w:trPr>
        <w:tc>
          <w:tcPr>
            <w:tcW w:w="716" w:type="dxa"/>
            <w:vAlign w:val="center"/>
          </w:tcPr>
          <w:p w14:paraId="0137D66B" w14:textId="77777777" w:rsidR="005561A5" w:rsidRPr="00787AB7" w:rsidRDefault="005561A5" w:rsidP="0052220B">
            <w:pPr>
              <w:rPr>
                <w:rFonts w:ascii="Calibri" w:hAnsi="Calibri"/>
                <w:bCs/>
                <w:sz w:val="18"/>
                <w:szCs w:val="18"/>
              </w:rPr>
            </w:pPr>
            <w:r w:rsidRPr="00787AB7">
              <w:rPr>
                <w:rFonts w:ascii="Calibri" w:hAnsi="Calibri"/>
                <w:bCs/>
                <w:sz w:val="18"/>
                <w:szCs w:val="18"/>
              </w:rPr>
              <w:t>7.</w:t>
            </w:r>
          </w:p>
        </w:tc>
        <w:tc>
          <w:tcPr>
            <w:tcW w:w="3002" w:type="dxa"/>
            <w:shd w:val="clear" w:color="auto" w:fill="auto"/>
            <w:vAlign w:val="center"/>
          </w:tcPr>
          <w:p w14:paraId="5629764D" w14:textId="77777777" w:rsidR="005561A5" w:rsidRPr="00787AB7" w:rsidRDefault="005561A5" w:rsidP="0052220B">
            <w:pPr>
              <w:rPr>
                <w:rFonts w:asciiTheme="minorHAnsi" w:hAnsiTheme="minorHAnsi" w:cstheme="minorHAnsi"/>
                <w:bCs/>
                <w:sz w:val="18"/>
                <w:szCs w:val="18"/>
              </w:rPr>
            </w:pPr>
            <w:r w:rsidRPr="00787AB7">
              <w:rPr>
                <w:rFonts w:ascii="Calibri" w:hAnsi="Calibri"/>
                <w:bCs/>
                <w:sz w:val="18"/>
                <w:szCs w:val="18"/>
              </w:rPr>
              <w:t>Rezsi kkm/hasznos kkm</w:t>
            </w:r>
          </w:p>
        </w:tc>
        <w:tc>
          <w:tcPr>
            <w:tcW w:w="1289" w:type="dxa"/>
            <w:vAlign w:val="center"/>
          </w:tcPr>
          <w:p w14:paraId="0FAC40FE" w14:textId="17272DA1" w:rsidR="005561A5" w:rsidRPr="00787AB7" w:rsidRDefault="00E5733C" w:rsidP="0052220B">
            <w:pPr>
              <w:jc w:val="right"/>
              <w:rPr>
                <w:rFonts w:ascii="Calibri" w:hAnsi="Calibri"/>
                <w:sz w:val="18"/>
                <w:szCs w:val="18"/>
              </w:rPr>
            </w:pPr>
            <w:r>
              <w:rPr>
                <w:rFonts w:ascii="Calibri" w:hAnsi="Calibri"/>
                <w:sz w:val="18"/>
                <w:szCs w:val="18"/>
              </w:rPr>
              <w:t>5,5%</w:t>
            </w:r>
          </w:p>
        </w:tc>
        <w:tc>
          <w:tcPr>
            <w:tcW w:w="1210" w:type="dxa"/>
            <w:vAlign w:val="center"/>
          </w:tcPr>
          <w:p w14:paraId="5E46071F" w14:textId="550E3701" w:rsidR="005561A5" w:rsidRPr="00787AB7" w:rsidRDefault="00E5733C" w:rsidP="0052220B">
            <w:pPr>
              <w:jc w:val="right"/>
              <w:rPr>
                <w:rFonts w:ascii="Calibri" w:hAnsi="Calibri" w:cs="Calibri"/>
                <w:sz w:val="18"/>
                <w:szCs w:val="18"/>
              </w:rPr>
            </w:pPr>
            <w:r>
              <w:rPr>
                <w:rFonts w:ascii="Calibri" w:hAnsi="Calibri"/>
                <w:sz w:val="18"/>
                <w:szCs w:val="18"/>
              </w:rPr>
              <w:t>9,3%</w:t>
            </w:r>
          </w:p>
        </w:tc>
        <w:tc>
          <w:tcPr>
            <w:tcW w:w="1142" w:type="dxa"/>
            <w:vAlign w:val="center"/>
          </w:tcPr>
          <w:p w14:paraId="3F8C089A" w14:textId="1D610013" w:rsidR="005561A5" w:rsidRPr="00787AB7" w:rsidRDefault="00E5733C" w:rsidP="0052220B">
            <w:pPr>
              <w:jc w:val="right"/>
              <w:rPr>
                <w:rFonts w:ascii="Calibri" w:hAnsi="Calibri"/>
                <w:sz w:val="18"/>
                <w:szCs w:val="18"/>
              </w:rPr>
            </w:pPr>
            <w:r>
              <w:rPr>
                <w:rFonts w:ascii="Calibri" w:hAnsi="Calibri"/>
                <w:sz w:val="18"/>
                <w:szCs w:val="18"/>
              </w:rPr>
              <w:t>5,3%</w:t>
            </w:r>
          </w:p>
        </w:tc>
        <w:tc>
          <w:tcPr>
            <w:tcW w:w="929" w:type="dxa"/>
            <w:vAlign w:val="center"/>
          </w:tcPr>
          <w:p w14:paraId="7A32DBB3" w14:textId="2D4CA328" w:rsidR="005561A5" w:rsidRPr="00787AB7" w:rsidRDefault="00E5733C" w:rsidP="0052220B">
            <w:pPr>
              <w:jc w:val="right"/>
              <w:rPr>
                <w:rFonts w:ascii="Calibri" w:hAnsi="Calibri"/>
                <w:sz w:val="18"/>
                <w:szCs w:val="18"/>
              </w:rPr>
            </w:pPr>
            <w:r>
              <w:rPr>
                <w:rFonts w:ascii="Calibri" w:hAnsi="Calibri"/>
                <w:sz w:val="18"/>
                <w:szCs w:val="18"/>
              </w:rPr>
              <w:t>1,1%</w:t>
            </w:r>
          </w:p>
        </w:tc>
        <w:tc>
          <w:tcPr>
            <w:tcW w:w="998" w:type="dxa"/>
            <w:vAlign w:val="center"/>
          </w:tcPr>
          <w:p w14:paraId="0C23677A" w14:textId="701C0F98" w:rsidR="005561A5" w:rsidRPr="00787AB7" w:rsidRDefault="00E5733C" w:rsidP="0052220B">
            <w:pPr>
              <w:jc w:val="right"/>
              <w:rPr>
                <w:rFonts w:ascii="Calibri" w:hAnsi="Calibri"/>
                <w:sz w:val="18"/>
                <w:szCs w:val="18"/>
              </w:rPr>
            </w:pPr>
            <w:r>
              <w:rPr>
                <w:rFonts w:ascii="Calibri" w:hAnsi="Calibri"/>
                <w:sz w:val="18"/>
                <w:szCs w:val="18"/>
              </w:rPr>
              <w:t>4,1%</w:t>
            </w:r>
          </w:p>
        </w:tc>
      </w:tr>
      <w:tr w:rsidR="005561A5" w:rsidRPr="0056690E" w14:paraId="0BF82291" w14:textId="77777777" w:rsidTr="005561A5">
        <w:trPr>
          <w:trHeight w:val="360"/>
          <w:jc w:val="center"/>
        </w:trPr>
        <w:tc>
          <w:tcPr>
            <w:tcW w:w="716" w:type="dxa"/>
            <w:vAlign w:val="center"/>
          </w:tcPr>
          <w:p w14:paraId="156B106B" w14:textId="77777777" w:rsidR="005561A5" w:rsidRPr="00787AB7" w:rsidRDefault="005561A5" w:rsidP="0052220B">
            <w:pPr>
              <w:rPr>
                <w:rFonts w:ascii="Calibri" w:hAnsi="Calibri"/>
                <w:bCs/>
                <w:sz w:val="18"/>
                <w:szCs w:val="18"/>
              </w:rPr>
            </w:pPr>
            <w:r w:rsidRPr="00787AB7">
              <w:rPr>
                <w:rFonts w:ascii="Calibri" w:hAnsi="Calibri"/>
                <w:bCs/>
                <w:sz w:val="18"/>
                <w:szCs w:val="18"/>
              </w:rPr>
              <w:t>8.</w:t>
            </w:r>
          </w:p>
        </w:tc>
        <w:tc>
          <w:tcPr>
            <w:tcW w:w="3002" w:type="dxa"/>
            <w:shd w:val="clear" w:color="auto" w:fill="auto"/>
            <w:vAlign w:val="center"/>
          </w:tcPr>
          <w:p w14:paraId="476196D6" w14:textId="77777777" w:rsidR="005561A5" w:rsidRPr="00787AB7" w:rsidRDefault="005561A5" w:rsidP="0052220B">
            <w:pPr>
              <w:rPr>
                <w:rFonts w:asciiTheme="minorHAnsi" w:hAnsiTheme="minorHAnsi" w:cstheme="minorHAnsi"/>
                <w:bCs/>
                <w:sz w:val="18"/>
                <w:szCs w:val="18"/>
              </w:rPr>
            </w:pPr>
            <w:r w:rsidRPr="00787AB7">
              <w:rPr>
                <w:rFonts w:ascii="Calibri" w:hAnsi="Calibri"/>
                <w:bCs/>
                <w:sz w:val="18"/>
                <w:szCs w:val="18"/>
              </w:rPr>
              <w:t>[Társaságirányítás (IV.sor)+ felosztott műszaki és forgalmi állandó költségek (III/3 sor)]/közvetlenül elszámolt változó költségek és ráfordítások (III/1.,2 sorok)</w:t>
            </w:r>
          </w:p>
        </w:tc>
        <w:tc>
          <w:tcPr>
            <w:tcW w:w="1289" w:type="dxa"/>
            <w:vAlign w:val="center"/>
          </w:tcPr>
          <w:p w14:paraId="05E471E7" w14:textId="6D89231C" w:rsidR="005561A5" w:rsidRPr="00787AB7" w:rsidRDefault="005561A5" w:rsidP="0052220B">
            <w:pPr>
              <w:jc w:val="right"/>
              <w:rPr>
                <w:rFonts w:ascii="Calibri" w:hAnsi="Calibri"/>
                <w:sz w:val="18"/>
                <w:szCs w:val="18"/>
              </w:rPr>
            </w:pPr>
            <w:r w:rsidRPr="00787AB7">
              <w:rPr>
                <w:rFonts w:ascii="Calibri" w:hAnsi="Calibri"/>
                <w:sz w:val="18"/>
                <w:szCs w:val="18"/>
              </w:rPr>
              <w:t>36%</w:t>
            </w:r>
          </w:p>
        </w:tc>
        <w:tc>
          <w:tcPr>
            <w:tcW w:w="1210" w:type="dxa"/>
            <w:vAlign w:val="center"/>
          </w:tcPr>
          <w:p w14:paraId="27F25C73" w14:textId="4114DE36" w:rsidR="005561A5" w:rsidRPr="00787AB7" w:rsidRDefault="005561A5" w:rsidP="0052220B">
            <w:pPr>
              <w:jc w:val="right"/>
              <w:rPr>
                <w:rFonts w:ascii="Calibri" w:hAnsi="Calibri" w:cs="Calibri"/>
                <w:sz w:val="18"/>
                <w:szCs w:val="18"/>
              </w:rPr>
            </w:pPr>
            <w:r w:rsidRPr="00787AB7">
              <w:rPr>
                <w:rFonts w:ascii="Calibri" w:hAnsi="Calibri"/>
                <w:sz w:val="18"/>
                <w:szCs w:val="18"/>
              </w:rPr>
              <w:t>26%</w:t>
            </w:r>
          </w:p>
        </w:tc>
        <w:tc>
          <w:tcPr>
            <w:tcW w:w="1142" w:type="dxa"/>
            <w:vAlign w:val="center"/>
          </w:tcPr>
          <w:p w14:paraId="17D15DBA" w14:textId="589D8CD1" w:rsidR="005561A5" w:rsidRPr="00787AB7" w:rsidRDefault="005561A5" w:rsidP="0052220B">
            <w:pPr>
              <w:jc w:val="right"/>
              <w:rPr>
                <w:rFonts w:ascii="Calibri" w:hAnsi="Calibri"/>
                <w:sz w:val="18"/>
                <w:szCs w:val="18"/>
              </w:rPr>
            </w:pPr>
            <w:r w:rsidRPr="00787AB7">
              <w:rPr>
                <w:rFonts w:ascii="Calibri" w:hAnsi="Calibri"/>
                <w:sz w:val="18"/>
                <w:szCs w:val="18"/>
              </w:rPr>
              <w:t>33%</w:t>
            </w:r>
          </w:p>
        </w:tc>
        <w:tc>
          <w:tcPr>
            <w:tcW w:w="929" w:type="dxa"/>
            <w:vAlign w:val="center"/>
          </w:tcPr>
          <w:p w14:paraId="56057A04" w14:textId="2F30078B" w:rsidR="005561A5" w:rsidRPr="00787AB7" w:rsidRDefault="005561A5" w:rsidP="0052220B">
            <w:pPr>
              <w:jc w:val="right"/>
              <w:rPr>
                <w:rFonts w:ascii="Calibri" w:hAnsi="Calibri"/>
                <w:sz w:val="18"/>
                <w:szCs w:val="18"/>
              </w:rPr>
            </w:pPr>
            <w:r w:rsidRPr="00787AB7">
              <w:rPr>
                <w:rFonts w:ascii="Calibri" w:hAnsi="Calibri"/>
                <w:sz w:val="18"/>
                <w:szCs w:val="18"/>
              </w:rPr>
              <w:t>42%</w:t>
            </w:r>
          </w:p>
        </w:tc>
        <w:tc>
          <w:tcPr>
            <w:tcW w:w="998" w:type="dxa"/>
            <w:vAlign w:val="center"/>
          </w:tcPr>
          <w:p w14:paraId="2B26D64D" w14:textId="2C507E26" w:rsidR="005561A5" w:rsidRPr="00787AB7" w:rsidRDefault="005561A5" w:rsidP="0052220B">
            <w:pPr>
              <w:jc w:val="right"/>
              <w:rPr>
                <w:rFonts w:ascii="Calibri" w:hAnsi="Calibri"/>
                <w:sz w:val="18"/>
                <w:szCs w:val="18"/>
              </w:rPr>
            </w:pPr>
            <w:r w:rsidRPr="00787AB7">
              <w:rPr>
                <w:rFonts w:ascii="Calibri" w:hAnsi="Calibri"/>
                <w:sz w:val="18"/>
                <w:szCs w:val="18"/>
              </w:rPr>
              <w:t>34%</w:t>
            </w:r>
          </w:p>
        </w:tc>
      </w:tr>
      <w:tr w:rsidR="005561A5" w:rsidRPr="0056690E" w14:paraId="36908237" w14:textId="77777777" w:rsidTr="005561A5">
        <w:trPr>
          <w:trHeight w:val="360"/>
          <w:jc w:val="center"/>
        </w:trPr>
        <w:tc>
          <w:tcPr>
            <w:tcW w:w="716" w:type="dxa"/>
            <w:vAlign w:val="center"/>
          </w:tcPr>
          <w:p w14:paraId="4952B8F1" w14:textId="77777777" w:rsidR="005561A5" w:rsidRPr="00787AB7" w:rsidRDefault="005561A5" w:rsidP="0052220B">
            <w:pPr>
              <w:ind w:left="233" w:hanging="233"/>
              <w:rPr>
                <w:rFonts w:ascii="Calibri" w:hAnsi="Calibri"/>
                <w:bCs/>
                <w:sz w:val="18"/>
                <w:szCs w:val="18"/>
              </w:rPr>
            </w:pPr>
            <w:r w:rsidRPr="00787AB7">
              <w:rPr>
                <w:rFonts w:ascii="Calibri" w:hAnsi="Calibri"/>
                <w:bCs/>
                <w:sz w:val="18"/>
                <w:szCs w:val="18"/>
              </w:rPr>
              <w:t>9.</w:t>
            </w:r>
          </w:p>
        </w:tc>
        <w:tc>
          <w:tcPr>
            <w:tcW w:w="3002" w:type="dxa"/>
            <w:shd w:val="clear" w:color="auto" w:fill="auto"/>
            <w:vAlign w:val="center"/>
          </w:tcPr>
          <w:p w14:paraId="058DCC19" w14:textId="77777777" w:rsidR="005561A5" w:rsidRPr="00787AB7" w:rsidRDefault="005561A5" w:rsidP="00846F35">
            <w:pPr>
              <w:rPr>
                <w:rFonts w:asciiTheme="minorHAnsi" w:hAnsiTheme="minorHAnsi" w:cstheme="minorHAnsi"/>
                <w:bCs/>
                <w:sz w:val="18"/>
                <w:szCs w:val="18"/>
              </w:rPr>
            </w:pPr>
            <w:r w:rsidRPr="00787AB7">
              <w:rPr>
                <w:rFonts w:ascii="Calibri" w:hAnsi="Calibri"/>
                <w:bCs/>
                <w:sz w:val="18"/>
                <w:szCs w:val="18"/>
              </w:rPr>
              <w:t>Társaságirányítás (IV. sor)/ költségek és ráfordítások (VII. sor)</w:t>
            </w:r>
          </w:p>
        </w:tc>
        <w:tc>
          <w:tcPr>
            <w:tcW w:w="1289" w:type="dxa"/>
            <w:vAlign w:val="center"/>
          </w:tcPr>
          <w:p w14:paraId="2BDB86B1" w14:textId="2CAF1C18" w:rsidR="005561A5" w:rsidRPr="00787AB7" w:rsidRDefault="005561A5" w:rsidP="0052220B">
            <w:pPr>
              <w:jc w:val="right"/>
              <w:rPr>
                <w:rFonts w:ascii="Calibri" w:hAnsi="Calibri"/>
                <w:b/>
                <w:sz w:val="18"/>
                <w:szCs w:val="18"/>
              </w:rPr>
            </w:pPr>
            <w:r w:rsidRPr="00787AB7">
              <w:rPr>
                <w:rFonts w:ascii="Calibri" w:hAnsi="Calibri"/>
                <w:sz w:val="18"/>
                <w:szCs w:val="18"/>
              </w:rPr>
              <w:t>10%</w:t>
            </w:r>
          </w:p>
        </w:tc>
        <w:tc>
          <w:tcPr>
            <w:tcW w:w="1210" w:type="dxa"/>
            <w:vAlign w:val="center"/>
          </w:tcPr>
          <w:p w14:paraId="1FCB0334" w14:textId="54D591D2" w:rsidR="005561A5" w:rsidRPr="00787AB7" w:rsidRDefault="005561A5" w:rsidP="0052220B">
            <w:pPr>
              <w:jc w:val="right"/>
              <w:rPr>
                <w:rFonts w:ascii="Calibri" w:hAnsi="Calibri" w:cs="Calibri"/>
                <w:sz w:val="18"/>
                <w:szCs w:val="18"/>
              </w:rPr>
            </w:pPr>
            <w:r w:rsidRPr="00787AB7">
              <w:rPr>
                <w:rFonts w:ascii="Calibri" w:hAnsi="Calibri"/>
                <w:sz w:val="18"/>
                <w:szCs w:val="18"/>
              </w:rPr>
              <w:t>9%</w:t>
            </w:r>
          </w:p>
        </w:tc>
        <w:tc>
          <w:tcPr>
            <w:tcW w:w="1142" w:type="dxa"/>
            <w:vAlign w:val="center"/>
          </w:tcPr>
          <w:p w14:paraId="4A469FA2" w14:textId="2047FB9C" w:rsidR="005561A5" w:rsidRPr="00787AB7" w:rsidRDefault="005561A5" w:rsidP="0052220B">
            <w:pPr>
              <w:jc w:val="right"/>
              <w:rPr>
                <w:rFonts w:ascii="Calibri" w:hAnsi="Calibri"/>
                <w:sz w:val="18"/>
                <w:szCs w:val="18"/>
              </w:rPr>
            </w:pPr>
            <w:r w:rsidRPr="00787AB7">
              <w:rPr>
                <w:rFonts w:ascii="Calibri" w:hAnsi="Calibri"/>
                <w:sz w:val="18"/>
                <w:szCs w:val="18"/>
              </w:rPr>
              <w:t>11%</w:t>
            </w:r>
          </w:p>
        </w:tc>
        <w:tc>
          <w:tcPr>
            <w:tcW w:w="929" w:type="dxa"/>
            <w:vAlign w:val="center"/>
          </w:tcPr>
          <w:p w14:paraId="1266D71B" w14:textId="048C4CBE" w:rsidR="005561A5" w:rsidRPr="00787AB7" w:rsidRDefault="005561A5" w:rsidP="0052220B">
            <w:pPr>
              <w:jc w:val="right"/>
              <w:rPr>
                <w:rFonts w:ascii="Calibri" w:hAnsi="Calibri"/>
                <w:sz w:val="18"/>
                <w:szCs w:val="18"/>
              </w:rPr>
            </w:pPr>
            <w:r w:rsidRPr="00787AB7">
              <w:rPr>
                <w:rFonts w:ascii="Calibri" w:hAnsi="Calibri"/>
                <w:sz w:val="18"/>
                <w:szCs w:val="18"/>
              </w:rPr>
              <w:t>10%</w:t>
            </w:r>
          </w:p>
        </w:tc>
        <w:tc>
          <w:tcPr>
            <w:tcW w:w="998" w:type="dxa"/>
            <w:vAlign w:val="center"/>
          </w:tcPr>
          <w:p w14:paraId="0E56E4B4" w14:textId="370773F3" w:rsidR="005561A5" w:rsidRPr="00787AB7" w:rsidRDefault="005561A5" w:rsidP="0052220B">
            <w:pPr>
              <w:jc w:val="right"/>
              <w:rPr>
                <w:rFonts w:ascii="Calibri" w:hAnsi="Calibri"/>
                <w:sz w:val="18"/>
                <w:szCs w:val="18"/>
              </w:rPr>
            </w:pPr>
            <w:r w:rsidRPr="00787AB7">
              <w:rPr>
                <w:rFonts w:ascii="Calibri" w:hAnsi="Calibri"/>
                <w:sz w:val="18"/>
                <w:szCs w:val="18"/>
              </w:rPr>
              <w:t>9%</w:t>
            </w:r>
          </w:p>
        </w:tc>
      </w:tr>
      <w:tr w:rsidR="005561A5" w:rsidRPr="0056690E" w14:paraId="115D488E" w14:textId="77777777" w:rsidTr="005561A5">
        <w:trPr>
          <w:trHeight w:val="360"/>
          <w:jc w:val="center"/>
        </w:trPr>
        <w:tc>
          <w:tcPr>
            <w:tcW w:w="716" w:type="dxa"/>
            <w:vAlign w:val="center"/>
          </w:tcPr>
          <w:p w14:paraId="60E053FE" w14:textId="77777777" w:rsidR="005561A5" w:rsidRPr="00787AB7" w:rsidRDefault="005561A5" w:rsidP="0052220B">
            <w:pPr>
              <w:rPr>
                <w:rFonts w:ascii="Calibri" w:hAnsi="Calibri"/>
                <w:bCs/>
                <w:sz w:val="18"/>
                <w:szCs w:val="18"/>
              </w:rPr>
            </w:pPr>
            <w:r w:rsidRPr="00787AB7">
              <w:rPr>
                <w:rFonts w:ascii="Calibri" w:hAnsi="Calibri"/>
                <w:bCs/>
                <w:sz w:val="18"/>
                <w:szCs w:val="18"/>
              </w:rPr>
              <w:t>10.</w:t>
            </w:r>
          </w:p>
        </w:tc>
        <w:tc>
          <w:tcPr>
            <w:tcW w:w="3002" w:type="dxa"/>
            <w:shd w:val="clear" w:color="auto" w:fill="auto"/>
            <w:vAlign w:val="center"/>
          </w:tcPr>
          <w:p w14:paraId="19031337" w14:textId="77777777" w:rsidR="005561A5" w:rsidRPr="00787AB7" w:rsidRDefault="005561A5" w:rsidP="0052220B">
            <w:pPr>
              <w:rPr>
                <w:rFonts w:asciiTheme="minorHAnsi" w:hAnsiTheme="minorHAnsi" w:cstheme="minorHAnsi"/>
                <w:bCs/>
                <w:sz w:val="18"/>
                <w:szCs w:val="18"/>
              </w:rPr>
            </w:pPr>
            <w:r w:rsidRPr="00787AB7">
              <w:rPr>
                <w:rFonts w:ascii="Calibri" w:hAnsi="Calibri"/>
                <w:bCs/>
                <w:sz w:val="18"/>
                <w:szCs w:val="18"/>
              </w:rPr>
              <w:t>Szellemi/ összes fizikai átlagos létszám (%)</w:t>
            </w:r>
          </w:p>
        </w:tc>
        <w:tc>
          <w:tcPr>
            <w:tcW w:w="1289" w:type="dxa"/>
            <w:vAlign w:val="center"/>
          </w:tcPr>
          <w:p w14:paraId="2604D396" w14:textId="77188E3C" w:rsidR="005561A5" w:rsidRPr="00787AB7" w:rsidRDefault="005561A5" w:rsidP="0052220B">
            <w:pPr>
              <w:jc w:val="right"/>
              <w:rPr>
                <w:rFonts w:ascii="Calibri" w:hAnsi="Calibri"/>
                <w:b/>
                <w:sz w:val="18"/>
                <w:szCs w:val="18"/>
              </w:rPr>
            </w:pPr>
            <w:r w:rsidRPr="00787AB7">
              <w:rPr>
                <w:rFonts w:ascii="Calibri" w:hAnsi="Calibri"/>
                <w:sz w:val="18"/>
                <w:szCs w:val="18"/>
              </w:rPr>
              <w:t>19%</w:t>
            </w:r>
          </w:p>
        </w:tc>
        <w:tc>
          <w:tcPr>
            <w:tcW w:w="1210" w:type="dxa"/>
            <w:shd w:val="clear" w:color="auto" w:fill="D9D9D9" w:themeFill="background1" w:themeFillShade="D9"/>
            <w:vAlign w:val="center"/>
          </w:tcPr>
          <w:p w14:paraId="2235FA96" w14:textId="28E8D5BE" w:rsidR="005561A5" w:rsidRPr="00787AB7" w:rsidRDefault="005561A5" w:rsidP="0052220B">
            <w:pPr>
              <w:jc w:val="right"/>
              <w:rPr>
                <w:rFonts w:ascii="Calibri" w:hAnsi="Calibri" w:cs="Calibri"/>
                <w:sz w:val="18"/>
                <w:szCs w:val="18"/>
              </w:rPr>
            </w:pPr>
          </w:p>
        </w:tc>
        <w:tc>
          <w:tcPr>
            <w:tcW w:w="1142" w:type="dxa"/>
            <w:shd w:val="clear" w:color="auto" w:fill="D9D9D9" w:themeFill="background1" w:themeFillShade="D9"/>
            <w:vAlign w:val="center"/>
          </w:tcPr>
          <w:p w14:paraId="0BDAFED9" w14:textId="45C16FBF" w:rsidR="005561A5" w:rsidRPr="00787AB7" w:rsidRDefault="005561A5" w:rsidP="0052220B">
            <w:pPr>
              <w:jc w:val="right"/>
              <w:rPr>
                <w:rFonts w:ascii="Calibri" w:hAnsi="Calibri"/>
                <w:sz w:val="18"/>
                <w:szCs w:val="18"/>
              </w:rPr>
            </w:pPr>
          </w:p>
        </w:tc>
        <w:tc>
          <w:tcPr>
            <w:tcW w:w="929" w:type="dxa"/>
            <w:shd w:val="clear" w:color="auto" w:fill="D9D9D9" w:themeFill="background1" w:themeFillShade="D9"/>
            <w:vAlign w:val="center"/>
          </w:tcPr>
          <w:p w14:paraId="6B6F80B4" w14:textId="27CEDB57" w:rsidR="005561A5" w:rsidRPr="00787AB7" w:rsidRDefault="005561A5" w:rsidP="0052220B">
            <w:pPr>
              <w:jc w:val="right"/>
              <w:rPr>
                <w:rFonts w:ascii="Calibri" w:hAnsi="Calibri"/>
                <w:sz w:val="18"/>
                <w:szCs w:val="18"/>
              </w:rPr>
            </w:pPr>
          </w:p>
        </w:tc>
        <w:tc>
          <w:tcPr>
            <w:tcW w:w="998" w:type="dxa"/>
            <w:shd w:val="clear" w:color="auto" w:fill="D9D9D9" w:themeFill="background1" w:themeFillShade="D9"/>
            <w:vAlign w:val="center"/>
          </w:tcPr>
          <w:p w14:paraId="2FA96A3C" w14:textId="096CA3A6" w:rsidR="005561A5" w:rsidRPr="00787AB7" w:rsidRDefault="005561A5" w:rsidP="0052220B">
            <w:pPr>
              <w:jc w:val="right"/>
              <w:rPr>
                <w:rFonts w:ascii="Calibri" w:hAnsi="Calibri"/>
                <w:sz w:val="18"/>
                <w:szCs w:val="18"/>
              </w:rPr>
            </w:pPr>
          </w:p>
        </w:tc>
      </w:tr>
      <w:tr w:rsidR="005561A5" w:rsidRPr="0056690E" w14:paraId="51500208" w14:textId="77777777" w:rsidTr="005561A5">
        <w:trPr>
          <w:trHeight w:val="360"/>
          <w:jc w:val="center"/>
        </w:trPr>
        <w:tc>
          <w:tcPr>
            <w:tcW w:w="716" w:type="dxa"/>
            <w:vAlign w:val="center"/>
          </w:tcPr>
          <w:p w14:paraId="42B53160" w14:textId="77777777" w:rsidR="005561A5" w:rsidRPr="00787AB7" w:rsidRDefault="005561A5" w:rsidP="0052220B">
            <w:pPr>
              <w:rPr>
                <w:rFonts w:ascii="Calibri" w:hAnsi="Calibri"/>
                <w:bCs/>
                <w:sz w:val="18"/>
                <w:szCs w:val="18"/>
              </w:rPr>
            </w:pPr>
            <w:r w:rsidRPr="00787AB7">
              <w:rPr>
                <w:rFonts w:ascii="Calibri" w:hAnsi="Calibri"/>
                <w:bCs/>
                <w:sz w:val="18"/>
                <w:szCs w:val="18"/>
              </w:rPr>
              <w:t>11.</w:t>
            </w:r>
          </w:p>
        </w:tc>
        <w:tc>
          <w:tcPr>
            <w:tcW w:w="3002" w:type="dxa"/>
            <w:shd w:val="clear" w:color="auto" w:fill="auto"/>
            <w:vAlign w:val="center"/>
          </w:tcPr>
          <w:p w14:paraId="3C33F5C9" w14:textId="77777777" w:rsidR="005561A5" w:rsidRPr="00787AB7" w:rsidRDefault="005561A5" w:rsidP="0052220B">
            <w:pPr>
              <w:rPr>
                <w:rFonts w:asciiTheme="minorHAnsi" w:hAnsiTheme="minorHAnsi" w:cstheme="minorHAnsi"/>
                <w:bCs/>
                <w:sz w:val="18"/>
                <w:szCs w:val="18"/>
              </w:rPr>
            </w:pPr>
            <w:r w:rsidRPr="00787AB7">
              <w:rPr>
                <w:rFonts w:ascii="Calibri" w:hAnsi="Calibri"/>
                <w:bCs/>
                <w:sz w:val="18"/>
                <w:szCs w:val="18"/>
              </w:rPr>
              <w:t>Beruházás/ értékcsökkenés (halasztott bevétellel korrigált) (%)</w:t>
            </w:r>
          </w:p>
        </w:tc>
        <w:tc>
          <w:tcPr>
            <w:tcW w:w="1289" w:type="dxa"/>
            <w:vAlign w:val="center"/>
          </w:tcPr>
          <w:p w14:paraId="3068E58E" w14:textId="64EAA3C4" w:rsidR="005561A5" w:rsidRPr="00787AB7" w:rsidRDefault="005561A5" w:rsidP="0052220B">
            <w:pPr>
              <w:jc w:val="right"/>
              <w:rPr>
                <w:rFonts w:ascii="Calibri" w:hAnsi="Calibri"/>
                <w:b/>
                <w:sz w:val="18"/>
                <w:szCs w:val="18"/>
              </w:rPr>
            </w:pPr>
            <w:r w:rsidRPr="00787AB7">
              <w:rPr>
                <w:rFonts w:ascii="Calibri" w:hAnsi="Calibri"/>
                <w:sz w:val="18"/>
                <w:szCs w:val="18"/>
              </w:rPr>
              <w:t>88%</w:t>
            </w:r>
          </w:p>
        </w:tc>
        <w:tc>
          <w:tcPr>
            <w:tcW w:w="1210" w:type="dxa"/>
            <w:shd w:val="clear" w:color="auto" w:fill="D9D9D9" w:themeFill="background1" w:themeFillShade="D9"/>
            <w:vAlign w:val="center"/>
          </w:tcPr>
          <w:p w14:paraId="433B41A4" w14:textId="0E9937EA" w:rsidR="005561A5" w:rsidRPr="00787AB7" w:rsidRDefault="005561A5" w:rsidP="0052220B">
            <w:pPr>
              <w:jc w:val="right"/>
              <w:rPr>
                <w:rFonts w:ascii="Calibri" w:hAnsi="Calibri" w:cs="Calibri"/>
                <w:sz w:val="18"/>
                <w:szCs w:val="18"/>
              </w:rPr>
            </w:pPr>
          </w:p>
        </w:tc>
        <w:tc>
          <w:tcPr>
            <w:tcW w:w="1142" w:type="dxa"/>
            <w:shd w:val="clear" w:color="auto" w:fill="D9D9D9" w:themeFill="background1" w:themeFillShade="D9"/>
            <w:vAlign w:val="center"/>
          </w:tcPr>
          <w:p w14:paraId="53520E3D" w14:textId="30F0527C" w:rsidR="005561A5" w:rsidRPr="00787AB7" w:rsidRDefault="005561A5" w:rsidP="0052220B">
            <w:pPr>
              <w:jc w:val="right"/>
              <w:rPr>
                <w:rFonts w:ascii="Calibri" w:hAnsi="Calibri"/>
                <w:sz w:val="18"/>
                <w:szCs w:val="18"/>
              </w:rPr>
            </w:pPr>
          </w:p>
        </w:tc>
        <w:tc>
          <w:tcPr>
            <w:tcW w:w="929" w:type="dxa"/>
            <w:shd w:val="clear" w:color="auto" w:fill="D9D9D9" w:themeFill="background1" w:themeFillShade="D9"/>
            <w:vAlign w:val="center"/>
          </w:tcPr>
          <w:p w14:paraId="0DF915F3" w14:textId="09984088" w:rsidR="005561A5" w:rsidRPr="00787AB7" w:rsidRDefault="005561A5" w:rsidP="0052220B">
            <w:pPr>
              <w:jc w:val="right"/>
              <w:rPr>
                <w:rFonts w:ascii="Calibri" w:hAnsi="Calibri"/>
                <w:sz w:val="18"/>
                <w:szCs w:val="18"/>
              </w:rPr>
            </w:pPr>
          </w:p>
        </w:tc>
        <w:tc>
          <w:tcPr>
            <w:tcW w:w="998" w:type="dxa"/>
            <w:shd w:val="clear" w:color="auto" w:fill="D9D9D9" w:themeFill="background1" w:themeFillShade="D9"/>
            <w:vAlign w:val="center"/>
          </w:tcPr>
          <w:p w14:paraId="27CBD250" w14:textId="075CAE52" w:rsidR="005561A5" w:rsidRPr="00787AB7" w:rsidRDefault="005561A5" w:rsidP="0052220B">
            <w:pPr>
              <w:jc w:val="right"/>
              <w:rPr>
                <w:rFonts w:ascii="Calibri" w:hAnsi="Calibri"/>
                <w:sz w:val="18"/>
                <w:szCs w:val="18"/>
              </w:rPr>
            </w:pPr>
          </w:p>
        </w:tc>
      </w:tr>
      <w:tr w:rsidR="005561A5" w:rsidRPr="0056690E" w14:paraId="610268DD" w14:textId="77777777" w:rsidTr="005561A5">
        <w:trPr>
          <w:trHeight w:val="360"/>
          <w:jc w:val="center"/>
        </w:trPr>
        <w:tc>
          <w:tcPr>
            <w:tcW w:w="716" w:type="dxa"/>
            <w:vAlign w:val="center"/>
          </w:tcPr>
          <w:p w14:paraId="056AC4E0" w14:textId="77777777" w:rsidR="005561A5" w:rsidRPr="00787AB7" w:rsidRDefault="005561A5" w:rsidP="0052220B">
            <w:pPr>
              <w:rPr>
                <w:rFonts w:ascii="Calibri" w:hAnsi="Calibri"/>
                <w:bCs/>
                <w:sz w:val="18"/>
                <w:szCs w:val="18"/>
              </w:rPr>
            </w:pPr>
            <w:r w:rsidRPr="00787AB7">
              <w:rPr>
                <w:rFonts w:ascii="Calibri" w:hAnsi="Calibri"/>
                <w:bCs/>
                <w:sz w:val="18"/>
                <w:szCs w:val="18"/>
              </w:rPr>
              <w:t>12.</w:t>
            </w:r>
          </w:p>
        </w:tc>
        <w:tc>
          <w:tcPr>
            <w:tcW w:w="3002" w:type="dxa"/>
            <w:shd w:val="clear" w:color="auto" w:fill="auto"/>
            <w:vAlign w:val="center"/>
          </w:tcPr>
          <w:p w14:paraId="6C0F824A" w14:textId="77777777" w:rsidR="005561A5" w:rsidRPr="00787AB7" w:rsidRDefault="005561A5" w:rsidP="0052220B">
            <w:pPr>
              <w:rPr>
                <w:rFonts w:asciiTheme="minorHAnsi" w:hAnsiTheme="minorHAnsi" w:cstheme="minorHAnsi"/>
                <w:bCs/>
                <w:sz w:val="18"/>
                <w:szCs w:val="18"/>
              </w:rPr>
            </w:pPr>
            <w:r w:rsidRPr="00787AB7">
              <w:rPr>
                <w:rFonts w:ascii="Calibri" w:hAnsi="Calibri"/>
                <w:bCs/>
                <w:sz w:val="18"/>
                <w:szCs w:val="18"/>
              </w:rPr>
              <w:t>Igénybe vett anyagjellegű szolgáltatás / (anyagjellegű + személyi jellegű ráfordítás)  (%)</w:t>
            </w:r>
          </w:p>
        </w:tc>
        <w:tc>
          <w:tcPr>
            <w:tcW w:w="1289" w:type="dxa"/>
            <w:vAlign w:val="center"/>
          </w:tcPr>
          <w:p w14:paraId="2A064493" w14:textId="3E734649" w:rsidR="005561A5" w:rsidRPr="00787AB7" w:rsidRDefault="005561A5" w:rsidP="0052220B">
            <w:pPr>
              <w:jc w:val="right"/>
              <w:rPr>
                <w:rFonts w:ascii="Calibri" w:hAnsi="Calibri"/>
                <w:b/>
                <w:sz w:val="18"/>
                <w:szCs w:val="18"/>
              </w:rPr>
            </w:pPr>
            <w:r w:rsidRPr="00787AB7">
              <w:rPr>
                <w:rFonts w:ascii="Calibri" w:hAnsi="Calibri"/>
                <w:sz w:val="18"/>
                <w:szCs w:val="18"/>
              </w:rPr>
              <w:t>21%</w:t>
            </w:r>
          </w:p>
        </w:tc>
        <w:tc>
          <w:tcPr>
            <w:tcW w:w="1210" w:type="dxa"/>
            <w:shd w:val="clear" w:color="auto" w:fill="D9D9D9" w:themeFill="background1" w:themeFillShade="D9"/>
            <w:vAlign w:val="center"/>
          </w:tcPr>
          <w:p w14:paraId="4D818043" w14:textId="3104253A" w:rsidR="005561A5" w:rsidRPr="00787AB7" w:rsidRDefault="005561A5" w:rsidP="0052220B">
            <w:pPr>
              <w:jc w:val="right"/>
              <w:rPr>
                <w:rFonts w:ascii="Calibri" w:hAnsi="Calibri" w:cs="Calibri"/>
                <w:sz w:val="18"/>
                <w:szCs w:val="18"/>
              </w:rPr>
            </w:pPr>
          </w:p>
        </w:tc>
        <w:tc>
          <w:tcPr>
            <w:tcW w:w="1142" w:type="dxa"/>
            <w:shd w:val="clear" w:color="auto" w:fill="D9D9D9" w:themeFill="background1" w:themeFillShade="D9"/>
            <w:vAlign w:val="center"/>
          </w:tcPr>
          <w:p w14:paraId="7C226167" w14:textId="2FD59D66" w:rsidR="005561A5" w:rsidRPr="00787AB7" w:rsidRDefault="005561A5" w:rsidP="0052220B">
            <w:pPr>
              <w:jc w:val="right"/>
              <w:rPr>
                <w:rFonts w:ascii="Calibri" w:hAnsi="Calibri"/>
                <w:sz w:val="18"/>
                <w:szCs w:val="18"/>
              </w:rPr>
            </w:pPr>
          </w:p>
        </w:tc>
        <w:tc>
          <w:tcPr>
            <w:tcW w:w="929" w:type="dxa"/>
            <w:shd w:val="clear" w:color="auto" w:fill="D9D9D9" w:themeFill="background1" w:themeFillShade="D9"/>
            <w:vAlign w:val="center"/>
          </w:tcPr>
          <w:p w14:paraId="4DFFAF2B" w14:textId="31EB6D87" w:rsidR="005561A5" w:rsidRPr="00787AB7" w:rsidRDefault="005561A5" w:rsidP="0052220B">
            <w:pPr>
              <w:jc w:val="right"/>
              <w:rPr>
                <w:rFonts w:ascii="Calibri" w:hAnsi="Calibri"/>
                <w:sz w:val="18"/>
                <w:szCs w:val="18"/>
              </w:rPr>
            </w:pPr>
          </w:p>
        </w:tc>
        <w:tc>
          <w:tcPr>
            <w:tcW w:w="998" w:type="dxa"/>
            <w:shd w:val="clear" w:color="auto" w:fill="D9D9D9" w:themeFill="background1" w:themeFillShade="D9"/>
            <w:vAlign w:val="center"/>
          </w:tcPr>
          <w:p w14:paraId="64EFDD1C" w14:textId="2702CFD2" w:rsidR="005561A5" w:rsidRPr="00787AB7" w:rsidRDefault="005561A5" w:rsidP="0052220B">
            <w:pPr>
              <w:jc w:val="right"/>
              <w:rPr>
                <w:rFonts w:ascii="Calibri" w:hAnsi="Calibri"/>
                <w:sz w:val="18"/>
                <w:szCs w:val="18"/>
              </w:rPr>
            </w:pPr>
          </w:p>
        </w:tc>
      </w:tr>
    </w:tbl>
    <w:p w14:paraId="347DE37E" w14:textId="77777777" w:rsidR="00C23779" w:rsidRPr="00787AB7" w:rsidRDefault="00C23779">
      <w:pPr>
        <w:rPr>
          <w:rFonts w:ascii="Calibri" w:eastAsia="Calibri" w:hAnsi="Calibri" w:cs="Calibri"/>
          <w:sz w:val="22"/>
          <w:szCs w:val="22"/>
          <w:highlight w:val="yellow"/>
          <w:lang w:eastAsia="en-US"/>
        </w:rPr>
      </w:pPr>
    </w:p>
    <w:p w14:paraId="5C8D2041" w14:textId="77777777" w:rsidR="00B77417" w:rsidRPr="00787AB7" w:rsidRDefault="00B77417">
      <w:pPr>
        <w:rPr>
          <w:rFonts w:ascii="Calibri" w:eastAsia="Calibri" w:hAnsi="Calibri" w:cs="Calibri"/>
          <w:sz w:val="22"/>
          <w:szCs w:val="22"/>
          <w:highlight w:val="yellow"/>
          <w:lang w:eastAsia="en-US"/>
        </w:rPr>
      </w:pPr>
      <w:r w:rsidRPr="00787AB7">
        <w:rPr>
          <w:rFonts w:ascii="Calibri" w:eastAsia="Calibri" w:hAnsi="Calibri" w:cs="Calibri"/>
          <w:sz w:val="22"/>
          <w:szCs w:val="22"/>
          <w:highlight w:val="yellow"/>
          <w:lang w:eastAsia="en-US"/>
        </w:rPr>
        <w:br w:type="page"/>
      </w:r>
    </w:p>
    <w:p w14:paraId="2D1B4265" w14:textId="77777777" w:rsidR="00623998" w:rsidRPr="00787AB7" w:rsidRDefault="00623998">
      <w:pPr>
        <w:rPr>
          <w:rFonts w:ascii="Calibri" w:eastAsia="Calibri" w:hAnsi="Calibri" w:cs="Calibri"/>
          <w:sz w:val="22"/>
          <w:szCs w:val="22"/>
          <w:highlight w:val="yellow"/>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3165"/>
        <w:gridCol w:w="1030"/>
        <w:gridCol w:w="1241"/>
        <w:gridCol w:w="1168"/>
        <w:gridCol w:w="955"/>
        <w:gridCol w:w="1008"/>
      </w:tblGrid>
      <w:tr w:rsidR="005561A5" w:rsidRPr="005561A5" w14:paraId="6356DC21" w14:textId="77777777" w:rsidTr="004962C6">
        <w:trPr>
          <w:trHeight w:val="742"/>
          <w:jc w:val="center"/>
        </w:trPr>
        <w:tc>
          <w:tcPr>
            <w:tcW w:w="719" w:type="dxa"/>
            <w:shd w:val="clear" w:color="auto" w:fill="2528A3"/>
            <w:vAlign w:val="center"/>
          </w:tcPr>
          <w:p w14:paraId="09CEDBEF" w14:textId="77777777" w:rsidR="0052220B" w:rsidRPr="00787AB7" w:rsidRDefault="0052220B" w:rsidP="0052220B">
            <w:pPr>
              <w:rPr>
                <w:rFonts w:ascii="Calibri" w:hAnsi="Calibri"/>
                <w:b/>
                <w:color w:val="FFFFFF" w:themeColor="background1"/>
                <w:sz w:val="20"/>
                <w:szCs w:val="20"/>
              </w:rPr>
            </w:pPr>
            <w:r w:rsidRPr="00787AB7">
              <w:rPr>
                <w:rFonts w:ascii="Calibri" w:hAnsi="Calibri"/>
                <w:b/>
                <w:color w:val="FFFFFF" w:themeColor="background1"/>
                <w:sz w:val="20"/>
                <w:szCs w:val="20"/>
              </w:rPr>
              <w:t>Sorsz.</w:t>
            </w:r>
          </w:p>
        </w:tc>
        <w:tc>
          <w:tcPr>
            <w:tcW w:w="3165" w:type="dxa"/>
            <w:shd w:val="clear" w:color="auto" w:fill="2528A3"/>
            <w:vAlign w:val="center"/>
          </w:tcPr>
          <w:p w14:paraId="5FD81EFD" w14:textId="77777777" w:rsidR="0052220B" w:rsidRPr="00787AB7" w:rsidRDefault="0052220B" w:rsidP="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Megnevezés</w:t>
            </w:r>
          </w:p>
        </w:tc>
        <w:tc>
          <w:tcPr>
            <w:tcW w:w="1030" w:type="dxa"/>
            <w:shd w:val="clear" w:color="auto" w:fill="2528A3"/>
            <w:vAlign w:val="center"/>
          </w:tcPr>
          <w:p w14:paraId="0129AE79" w14:textId="77777777" w:rsidR="0052220B" w:rsidRPr="00787AB7" w:rsidRDefault="00E52130" w:rsidP="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2018</w:t>
            </w:r>
            <w:r w:rsidR="0052220B" w:rsidRPr="00787AB7">
              <w:rPr>
                <w:rFonts w:ascii="Calibri" w:hAnsi="Calibri"/>
                <w:b/>
                <w:color w:val="FFFFFF" w:themeColor="background1"/>
                <w:sz w:val="20"/>
                <w:szCs w:val="20"/>
              </w:rPr>
              <w:t xml:space="preserve">. évi </w:t>
            </w:r>
            <w:r w:rsidRPr="00787AB7">
              <w:rPr>
                <w:rFonts w:ascii="Calibri" w:hAnsi="Calibri"/>
                <w:b/>
                <w:color w:val="FFFFFF" w:themeColor="background1"/>
                <w:sz w:val="20"/>
                <w:szCs w:val="20"/>
              </w:rPr>
              <w:t>Terv</w:t>
            </w:r>
          </w:p>
        </w:tc>
        <w:tc>
          <w:tcPr>
            <w:tcW w:w="1241" w:type="dxa"/>
            <w:shd w:val="clear" w:color="auto" w:fill="2528A3"/>
            <w:vAlign w:val="center"/>
          </w:tcPr>
          <w:p w14:paraId="37171446" w14:textId="77777777" w:rsidR="0052220B" w:rsidRPr="00787AB7" w:rsidRDefault="0052220B" w:rsidP="0052220B">
            <w:pPr>
              <w:jc w:val="center"/>
              <w:rPr>
                <w:rFonts w:ascii="Calibri" w:hAnsi="Calibri" w:cs="Calibri"/>
                <w:b/>
                <w:bCs/>
                <w:color w:val="FFFFFF" w:themeColor="background1"/>
                <w:sz w:val="20"/>
                <w:szCs w:val="20"/>
              </w:rPr>
            </w:pPr>
            <w:r w:rsidRPr="00787AB7">
              <w:rPr>
                <w:rFonts w:ascii="Calibri" w:hAnsi="Calibri" w:cs="Calibri"/>
                <w:b/>
                <w:bCs/>
                <w:color w:val="FFFFFF" w:themeColor="background1"/>
                <w:sz w:val="20"/>
                <w:szCs w:val="20"/>
              </w:rPr>
              <w:t>Autóbusz ágazat</w:t>
            </w:r>
          </w:p>
        </w:tc>
        <w:tc>
          <w:tcPr>
            <w:tcW w:w="1168" w:type="dxa"/>
            <w:shd w:val="clear" w:color="auto" w:fill="2528A3"/>
            <w:vAlign w:val="center"/>
          </w:tcPr>
          <w:p w14:paraId="0B71A3BE" w14:textId="77777777" w:rsidR="0052220B" w:rsidRPr="00787AB7" w:rsidRDefault="0052220B" w:rsidP="0052220B">
            <w:pPr>
              <w:jc w:val="center"/>
              <w:rPr>
                <w:rFonts w:ascii="Calibri" w:hAnsi="Calibri" w:cs="Calibri"/>
                <w:b/>
                <w:bCs/>
                <w:color w:val="FFFFFF" w:themeColor="background1"/>
                <w:sz w:val="20"/>
                <w:szCs w:val="20"/>
              </w:rPr>
            </w:pPr>
            <w:r w:rsidRPr="00787AB7">
              <w:rPr>
                <w:rFonts w:ascii="Calibri" w:hAnsi="Calibri" w:cs="Calibri"/>
                <w:b/>
                <w:bCs/>
                <w:color w:val="FFFFFF" w:themeColor="background1"/>
                <w:sz w:val="20"/>
                <w:szCs w:val="20"/>
              </w:rPr>
              <w:t>Trolibusz ágazat</w:t>
            </w:r>
          </w:p>
        </w:tc>
        <w:tc>
          <w:tcPr>
            <w:tcW w:w="955" w:type="dxa"/>
            <w:shd w:val="clear" w:color="auto" w:fill="2528A3"/>
            <w:vAlign w:val="center"/>
          </w:tcPr>
          <w:p w14:paraId="21A35497" w14:textId="77777777" w:rsidR="0052220B" w:rsidRPr="00787AB7" w:rsidRDefault="0052220B" w:rsidP="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Metró ágazat</w:t>
            </w:r>
          </w:p>
        </w:tc>
        <w:tc>
          <w:tcPr>
            <w:tcW w:w="1008" w:type="dxa"/>
            <w:shd w:val="clear" w:color="auto" w:fill="2528A3"/>
            <w:vAlign w:val="center"/>
          </w:tcPr>
          <w:p w14:paraId="11F0F0E9" w14:textId="77777777" w:rsidR="0052220B" w:rsidRPr="00787AB7" w:rsidRDefault="0052220B" w:rsidP="0052220B">
            <w:pPr>
              <w:jc w:val="center"/>
              <w:rPr>
                <w:rFonts w:ascii="Calibri" w:hAnsi="Calibri"/>
                <w:b/>
                <w:color w:val="FFFFFF" w:themeColor="background1"/>
                <w:sz w:val="20"/>
                <w:szCs w:val="20"/>
              </w:rPr>
            </w:pPr>
            <w:r w:rsidRPr="00787AB7">
              <w:rPr>
                <w:rFonts w:ascii="Calibri" w:hAnsi="Calibri"/>
                <w:b/>
                <w:color w:val="FFFFFF" w:themeColor="background1"/>
                <w:sz w:val="20"/>
                <w:szCs w:val="20"/>
              </w:rPr>
              <w:t>Villamos ágazat</w:t>
            </w:r>
          </w:p>
        </w:tc>
      </w:tr>
      <w:tr w:rsidR="005561A5" w:rsidRPr="005561A5" w14:paraId="5B2F6A1D" w14:textId="77777777" w:rsidTr="004962C6">
        <w:trPr>
          <w:trHeight w:val="360"/>
          <w:jc w:val="center"/>
        </w:trPr>
        <w:tc>
          <w:tcPr>
            <w:tcW w:w="719" w:type="dxa"/>
            <w:vAlign w:val="center"/>
          </w:tcPr>
          <w:p w14:paraId="1647D4C1" w14:textId="77777777" w:rsidR="005561A5" w:rsidRPr="00787AB7" w:rsidRDefault="005561A5" w:rsidP="00E52130">
            <w:pPr>
              <w:ind w:left="233" w:hanging="233"/>
              <w:rPr>
                <w:rFonts w:ascii="Calibri" w:hAnsi="Calibri"/>
                <w:bCs/>
                <w:sz w:val="18"/>
                <w:szCs w:val="18"/>
              </w:rPr>
            </w:pPr>
            <w:r w:rsidRPr="00787AB7">
              <w:rPr>
                <w:rFonts w:ascii="Calibri" w:hAnsi="Calibri"/>
                <w:bCs/>
                <w:sz w:val="18"/>
                <w:szCs w:val="18"/>
              </w:rPr>
              <w:t>1.</w:t>
            </w:r>
          </w:p>
        </w:tc>
        <w:tc>
          <w:tcPr>
            <w:tcW w:w="3165" w:type="dxa"/>
            <w:shd w:val="clear" w:color="auto" w:fill="auto"/>
            <w:vAlign w:val="center"/>
          </w:tcPr>
          <w:p w14:paraId="5CB99FC4" w14:textId="77777777" w:rsidR="005561A5" w:rsidRPr="00787AB7" w:rsidRDefault="005561A5" w:rsidP="00CB159D">
            <w:pPr>
              <w:rPr>
                <w:rFonts w:asciiTheme="minorHAnsi" w:hAnsiTheme="minorHAnsi" w:cstheme="minorHAnsi"/>
                <w:bCs/>
                <w:sz w:val="18"/>
                <w:szCs w:val="18"/>
              </w:rPr>
            </w:pPr>
            <w:r w:rsidRPr="00787AB7">
              <w:rPr>
                <w:rFonts w:ascii="Calibri" w:hAnsi="Calibri"/>
                <w:bCs/>
                <w:sz w:val="18"/>
                <w:szCs w:val="18"/>
              </w:rPr>
              <w:t>Ezer fhkm teljesítményre vetített kompenzáció (Ft/ezer fhkm)</w:t>
            </w:r>
          </w:p>
        </w:tc>
        <w:tc>
          <w:tcPr>
            <w:tcW w:w="1030" w:type="dxa"/>
            <w:vAlign w:val="center"/>
          </w:tcPr>
          <w:p w14:paraId="5833101F" w14:textId="117B7B36" w:rsidR="005561A5" w:rsidRPr="00787AB7" w:rsidRDefault="005561A5" w:rsidP="00E52130">
            <w:pPr>
              <w:jc w:val="right"/>
              <w:rPr>
                <w:rFonts w:ascii="Calibri" w:hAnsi="Calibri"/>
                <w:sz w:val="18"/>
                <w:szCs w:val="18"/>
              </w:rPr>
            </w:pPr>
            <w:r w:rsidRPr="00787AB7">
              <w:rPr>
                <w:rFonts w:ascii="Calibri" w:hAnsi="Calibri"/>
                <w:color w:val="000000"/>
                <w:sz w:val="18"/>
                <w:szCs w:val="18"/>
              </w:rPr>
              <w:t>8 798</w:t>
            </w:r>
          </w:p>
        </w:tc>
        <w:tc>
          <w:tcPr>
            <w:tcW w:w="1241" w:type="dxa"/>
            <w:vAlign w:val="center"/>
          </w:tcPr>
          <w:p w14:paraId="39FE6102" w14:textId="49328ABA" w:rsidR="005561A5" w:rsidRPr="00787AB7" w:rsidRDefault="005561A5">
            <w:pPr>
              <w:jc w:val="right"/>
              <w:rPr>
                <w:rFonts w:ascii="Calibri" w:hAnsi="Calibri" w:cs="Calibri"/>
                <w:sz w:val="18"/>
                <w:szCs w:val="18"/>
              </w:rPr>
            </w:pPr>
            <w:r w:rsidRPr="00787AB7">
              <w:rPr>
                <w:rFonts w:ascii="Calibri" w:hAnsi="Calibri"/>
                <w:color w:val="000000"/>
                <w:sz w:val="18"/>
                <w:szCs w:val="18"/>
              </w:rPr>
              <w:t>9 624</w:t>
            </w:r>
          </w:p>
        </w:tc>
        <w:tc>
          <w:tcPr>
            <w:tcW w:w="1168" w:type="dxa"/>
            <w:vAlign w:val="center"/>
          </w:tcPr>
          <w:p w14:paraId="6EDC6B35" w14:textId="3300DFAE" w:rsidR="005561A5" w:rsidRPr="00787AB7" w:rsidRDefault="005561A5" w:rsidP="00E52130">
            <w:pPr>
              <w:jc w:val="right"/>
              <w:rPr>
                <w:rFonts w:ascii="Calibri" w:hAnsi="Calibri"/>
                <w:sz w:val="18"/>
                <w:szCs w:val="18"/>
              </w:rPr>
            </w:pPr>
            <w:r w:rsidRPr="00787AB7">
              <w:rPr>
                <w:rFonts w:ascii="Calibri" w:hAnsi="Calibri"/>
                <w:color w:val="000000"/>
                <w:sz w:val="18"/>
                <w:szCs w:val="18"/>
              </w:rPr>
              <w:t>9 896</w:t>
            </w:r>
          </w:p>
        </w:tc>
        <w:tc>
          <w:tcPr>
            <w:tcW w:w="955" w:type="dxa"/>
            <w:vAlign w:val="center"/>
          </w:tcPr>
          <w:p w14:paraId="1909B629" w14:textId="4391F572" w:rsidR="005561A5" w:rsidRPr="00787AB7" w:rsidRDefault="005561A5" w:rsidP="00E52130">
            <w:pPr>
              <w:jc w:val="right"/>
              <w:rPr>
                <w:rFonts w:ascii="Calibri" w:hAnsi="Calibri"/>
                <w:sz w:val="18"/>
                <w:szCs w:val="18"/>
              </w:rPr>
            </w:pPr>
            <w:r w:rsidRPr="00787AB7">
              <w:rPr>
                <w:rFonts w:ascii="Calibri" w:hAnsi="Calibri"/>
                <w:color w:val="000000"/>
                <w:sz w:val="18"/>
                <w:szCs w:val="18"/>
              </w:rPr>
              <w:t>8 863</w:t>
            </w:r>
          </w:p>
        </w:tc>
        <w:tc>
          <w:tcPr>
            <w:tcW w:w="1008" w:type="dxa"/>
            <w:vAlign w:val="center"/>
          </w:tcPr>
          <w:p w14:paraId="249DF792" w14:textId="5181EB15" w:rsidR="005561A5" w:rsidRPr="00787AB7" w:rsidRDefault="005561A5">
            <w:pPr>
              <w:jc w:val="right"/>
              <w:rPr>
                <w:rFonts w:ascii="Calibri" w:hAnsi="Calibri"/>
                <w:sz w:val="18"/>
                <w:szCs w:val="18"/>
              </w:rPr>
            </w:pPr>
            <w:r w:rsidRPr="00787AB7">
              <w:rPr>
                <w:rFonts w:ascii="Calibri" w:hAnsi="Calibri"/>
                <w:color w:val="000000"/>
                <w:sz w:val="18"/>
                <w:szCs w:val="18"/>
              </w:rPr>
              <w:t>7 770</w:t>
            </w:r>
          </w:p>
        </w:tc>
      </w:tr>
      <w:tr w:rsidR="005561A5" w:rsidRPr="005561A5" w14:paraId="1B99D0AC" w14:textId="77777777" w:rsidTr="004962C6">
        <w:trPr>
          <w:trHeight w:val="360"/>
          <w:jc w:val="center"/>
        </w:trPr>
        <w:tc>
          <w:tcPr>
            <w:tcW w:w="719" w:type="dxa"/>
            <w:vAlign w:val="center"/>
          </w:tcPr>
          <w:p w14:paraId="4506BEB7" w14:textId="77777777" w:rsidR="005561A5" w:rsidRPr="00787AB7" w:rsidRDefault="005561A5" w:rsidP="00E52130">
            <w:pPr>
              <w:rPr>
                <w:rFonts w:ascii="Calibri" w:hAnsi="Calibri"/>
                <w:bCs/>
                <w:sz w:val="18"/>
                <w:szCs w:val="18"/>
              </w:rPr>
            </w:pPr>
            <w:r w:rsidRPr="00787AB7">
              <w:rPr>
                <w:rFonts w:ascii="Calibri" w:hAnsi="Calibri"/>
                <w:bCs/>
                <w:sz w:val="18"/>
                <w:szCs w:val="18"/>
              </w:rPr>
              <w:t>2.</w:t>
            </w:r>
          </w:p>
        </w:tc>
        <w:tc>
          <w:tcPr>
            <w:tcW w:w="3165" w:type="dxa"/>
            <w:shd w:val="clear" w:color="auto" w:fill="auto"/>
            <w:vAlign w:val="center"/>
          </w:tcPr>
          <w:p w14:paraId="2ECF46B4" w14:textId="77777777" w:rsidR="005561A5" w:rsidRPr="00787AB7" w:rsidRDefault="005561A5" w:rsidP="00E52130">
            <w:pPr>
              <w:rPr>
                <w:rFonts w:asciiTheme="minorHAnsi" w:hAnsiTheme="minorHAnsi" w:cstheme="minorHAnsi"/>
                <w:bCs/>
                <w:sz w:val="18"/>
                <w:szCs w:val="18"/>
              </w:rPr>
            </w:pPr>
            <w:r w:rsidRPr="00787AB7">
              <w:rPr>
                <w:rFonts w:ascii="Calibri" w:hAnsi="Calibri"/>
                <w:bCs/>
                <w:sz w:val="18"/>
                <w:szCs w:val="18"/>
              </w:rPr>
              <w:t>Üzemképes járműállomány/átlagos járműállomány (kocsi) aránya (%)</w:t>
            </w:r>
          </w:p>
        </w:tc>
        <w:tc>
          <w:tcPr>
            <w:tcW w:w="1030" w:type="dxa"/>
            <w:vAlign w:val="center"/>
          </w:tcPr>
          <w:p w14:paraId="60D82129" w14:textId="00246836" w:rsidR="005561A5" w:rsidRPr="00787AB7" w:rsidRDefault="005561A5" w:rsidP="00E52130">
            <w:pPr>
              <w:jc w:val="right"/>
              <w:rPr>
                <w:rFonts w:ascii="Calibri" w:hAnsi="Calibri"/>
                <w:sz w:val="18"/>
                <w:szCs w:val="18"/>
              </w:rPr>
            </w:pPr>
            <w:r w:rsidRPr="00787AB7">
              <w:rPr>
                <w:rFonts w:ascii="Calibri" w:hAnsi="Calibri"/>
                <w:color w:val="000000"/>
                <w:sz w:val="18"/>
                <w:szCs w:val="18"/>
              </w:rPr>
              <w:t>86%</w:t>
            </w:r>
          </w:p>
        </w:tc>
        <w:tc>
          <w:tcPr>
            <w:tcW w:w="1241" w:type="dxa"/>
            <w:vAlign w:val="center"/>
          </w:tcPr>
          <w:p w14:paraId="5E7CFD75" w14:textId="0FBEA275" w:rsidR="005561A5" w:rsidRPr="00787AB7" w:rsidRDefault="005561A5" w:rsidP="00E52130">
            <w:pPr>
              <w:jc w:val="right"/>
              <w:rPr>
                <w:rFonts w:ascii="Calibri" w:hAnsi="Calibri" w:cs="Calibri"/>
                <w:sz w:val="18"/>
                <w:szCs w:val="18"/>
              </w:rPr>
            </w:pPr>
            <w:r w:rsidRPr="00787AB7">
              <w:rPr>
                <w:rFonts w:ascii="Calibri" w:hAnsi="Calibri"/>
                <w:color w:val="000000"/>
                <w:sz w:val="18"/>
                <w:szCs w:val="18"/>
              </w:rPr>
              <w:t>90%</w:t>
            </w:r>
          </w:p>
        </w:tc>
        <w:tc>
          <w:tcPr>
            <w:tcW w:w="1168" w:type="dxa"/>
            <w:vAlign w:val="center"/>
          </w:tcPr>
          <w:p w14:paraId="7C1449FE" w14:textId="1F6B16E2" w:rsidR="005561A5" w:rsidRPr="00787AB7" w:rsidRDefault="005561A5" w:rsidP="00E52130">
            <w:pPr>
              <w:jc w:val="right"/>
              <w:rPr>
                <w:rFonts w:ascii="Calibri" w:hAnsi="Calibri"/>
                <w:sz w:val="18"/>
                <w:szCs w:val="18"/>
              </w:rPr>
            </w:pPr>
            <w:r w:rsidRPr="00787AB7">
              <w:rPr>
                <w:rFonts w:ascii="Calibri" w:hAnsi="Calibri"/>
                <w:color w:val="000000"/>
                <w:sz w:val="18"/>
                <w:szCs w:val="18"/>
              </w:rPr>
              <w:t>85%</w:t>
            </w:r>
          </w:p>
        </w:tc>
        <w:tc>
          <w:tcPr>
            <w:tcW w:w="955" w:type="dxa"/>
            <w:vAlign w:val="center"/>
          </w:tcPr>
          <w:p w14:paraId="316782F8" w14:textId="6A599CAB" w:rsidR="005561A5" w:rsidRPr="00787AB7" w:rsidRDefault="005561A5" w:rsidP="00E52130">
            <w:pPr>
              <w:jc w:val="right"/>
              <w:rPr>
                <w:rFonts w:ascii="Calibri" w:hAnsi="Calibri"/>
                <w:sz w:val="18"/>
                <w:szCs w:val="18"/>
              </w:rPr>
            </w:pPr>
            <w:r w:rsidRPr="00787AB7">
              <w:rPr>
                <w:rFonts w:ascii="Calibri" w:hAnsi="Calibri"/>
                <w:color w:val="000000"/>
                <w:sz w:val="18"/>
                <w:szCs w:val="18"/>
              </w:rPr>
              <w:t>81%</w:t>
            </w:r>
          </w:p>
        </w:tc>
        <w:tc>
          <w:tcPr>
            <w:tcW w:w="1008" w:type="dxa"/>
            <w:vAlign w:val="center"/>
          </w:tcPr>
          <w:p w14:paraId="6B183AEF" w14:textId="0ADC43DC" w:rsidR="005561A5" w:rsidRPr="00787AB7" w:rsidRDefault="005561A5" w:rsidP="00E52130">
            <w:pPr>
              <w:jc w:val="right"/>
              <w:rPr>
                <w:rFonts w:ascii="Calibri" w:hAnsi="Calibri"/>
                <w:sz w:val="18"/>
                <w:szCs w:val="18"/>
              </w:rPr>
            </w:pPr>
            <w:r w:rsidRPr="00787AB7">
              <w:rPr>
                <w:rFonts w:ascii="Calibri" w:hAnsi="Calibri"/>
                <w:color w:val="000000"/>
                <w:sz w:val="18"/>
                <w:szCs w:val="18"/>
              </w:rPr>
              <w:t>83%</w:t>
            </w:r>
          </w:p>
        </w:tc>
      </w:tr>
      <w:tr w:rsidR="005561A5" w:rsidRPr="005561A5" w14:paraId="3DD36705" w14:textId="77777777" w:rsidTr="004962C6">
        <w:trPr>
          <w:trHeight w:val="360"/>
          <w:jc w:val="center"/>
        </w:trPr>
        <w:tc>
          <w:tcPr>
            <w:tcW w:w="719" w:type="dxa"/>
            <w:vAlign w:val="center"/>
          </w:tcPr>
          <w:p w14:paraId="76E7150C" w14:textId="77777777" w:rsidR="005561A5" w:rsidRPr="00787AB7" w:rsidRDefault="005561A5" w:rsidP="00E52130">
            <w:pPr>
              <w:rPr>
                <w:rFonts w:ascii="Calibri" w:hAnsi="Calibri"/>
                <w:bCs/>
                <w:sz w:val="18"/>
                <w:szCs w:val="18"/>
              </w:rPr>
            </w:pPr>
            <w:r w:rsidRPr="00787AB7">
              <w:rPr>
                <w:rFonts w:ascii="Calibri" w:hAnsi="Calibri"/>
                <w:bCs/>
                <w:sz w:val="18"/>
                <w:szCs w:val="18"/>
              </w:rPr>
              <w:t>3.</w:t>
            </w:r>
          </w:p>
        </w:tc>
        <w:tc>
          <w:tcPr>
            <w:tcW w:w="3165" w:type="dxa"/>
            <w:shd w:val="clear" w:color="auto" w:fill="auto"/>
            <w:vAlign w:val="center"/>
          </w:tcPr>
          <w:p w14:paraId="1A1F60E7" w14:textId="77777777" w:rsidR="005561A5" w:rsidRPr="00787AB7" w:rsidRDefault="005561A5" w:rsidP="00E52130">
            <w:pPr>
              <w:rPr>
                <w:rFonts w:asciiTheme="minorHAnsi" w:hAnsiTheme="minorHAnsi" w:cstheme="minorHAnsi"/>
                <w:bCs/>
                <w:sz w:val="18"/>
                <w:szCs w:val="18"/>
              </w:rPr>
            </w:pPr>
            <w:r w:rsidRPr="00787AB7">
              <w:rPr>
                <w:rFonts w:ascii="Calibri" w:hAnsi="Calibri"/>
                <w:bCs/>
                <w:sz w:val="18"/>
                <w:szCs w:val="18"/>
              </w:rPr>
              <w:t>Átlagos forgalmi/ átlagos állományi jármű (kocsi) darabszám (%)</w:t>
            </w:r>
          </w:p>
        </w:tc>
        <w:tc>
          <w:tcPr>
            <w:tcW w:w="1030" w:type="dxa"/>
            <w:vAlign w:val="center"/>
          </w:tcPr>
          <w:p w14:paraId="40D534FE" w14:textId="3F240C70" w:rsidR="005561A5" w:rsidRPr="00787AB7" w:rsidRDefault="005561A5" w:rsidP="00E52130">
            <w:pPr>
              <w:jc w:val="right"/>
              <w:rPr>
                <w:rFonts w:ascii="Calibri" w:hAnsi="Calibri"/>
                <w:sz w:val="18"/>
                <w:szCs w:val="18"/>
              </w:rPr>
            </w:pPr>
            <w:r w:rsidRPr="00787AB7">
              <w:rPr>
                <w:rFonts w:ascii="Calibri" w:hAnsi="Calibri"/>
                <w:color w:val="000000"/>
                <w:sz w:val="18"/>
                <w:szCs w:val="18"/>
              </w:rPr>
              <w:t>76%</w:t>
            </w:r>
          </w:p>
        </w:tc>
        <w:tc>
          <w:tcPr>
            <w:tcW w:w="1241" w:type="dxa"/>
            <w:vAlign w:val="center"/>
          </w:tcPr>
          <w:p w14:paraId="4E5EBB28" w14:textId="64FE0365" w:rsidR="005561A5" w:rsidRPr="00787AB7" w:rsidRDefault="005561A5">
            <w:pPr>
              <w:jc w:val="right"/>
              <w:rPr>
                <w:rFonts w:ascii="Calibri" w:hAnsi="Calibri" w:cs="Calibri"/>
                <w:sz w:val="18"/>
                <w:szCs w:val="18"/>
              </w:rPr>
            </w:pPr>
            <w:r w:rsidRPr="00787AB7">
              <w:rPr>
                <w:rFonts w:ascii="Calibri" w:hAnsi="Calibri"/>
                <w:color w:val="000000"/>
                <w:sz w:val="18"/>
                <w:szCs w:val="18"/>
              </w:rPr>
              <w:t>86%</w:t>
            </w:r>
          </w:p>
        </w:tc>
        <w:tc>
          <w:tcPr>
            <w:tcW w:w="1168" w:type="dxa"/>
            <w:vAlign w:val="center"/>
          </w:tcPr>
          <w:p w14:paraId="233EC0EE" w14:textId="7FD52A4E" w:rsidR="005561A5" w:rsidRPr="00787AB7" w:rsidRDefault="005561A5" w:rsidP="00E52130">
            <w:pPr>
              <w:jc w:val="right"/>
              <w:rPr>
                <w:rFonts w:ascii="Calibri" w:hAnsi="Calibri"/>
                <w:sz w:val="18"/>
                <w:szCs w:val="18"/>
              </w:rPr>
            </w:pPr>
            <w:r w:rsidRPr="00787AB7">
              <w:rPr>
                <w:rFonts w:ascii="Calibri" w:hAnsi="Calibri"/>
                <w:color w:val="000000"/>
                <w:sz w:val="18"/>
                <w:szCs w:val="18"/>
              </w:rPr>
              <w:t>77%</w:t>
            </w:r>
          </w:p>
        </w:tc>
        <w:tc>
          <w:tcPr>
            <w:tcW w:w="955" w:type="dxa"/>
            <w:vAlign w:val="center"/>
          </w:tcPr>
          <w:p w14:paraId="397C244E" w14:textId="2FC4F2C4" w:rsidR="005561A5" w:rsidRPr="00787AB7" w:rsidRDefault="005561A5" w:rsidP="00E52130">
            <w:pPr>
              <w:jc w:val="right"/>
              <w:rPr>
                <w:rFonts w:ascii="Calibri" w:hAnsi="Calibri"/>
                <w:sz w:val="18"/>
                <w:szCs w:val="18"/>
              </w:rPr>
            </w:pPr>
            <w:r w:rsidRPr="00787AB7">
              <w:rPr>
                <w:rFonts w:ascii="Calibri" w:hAnsi="Calibri"/>
                <w:color w:val="000000"/>
                <w:sz w:val="18"/>
                <w:szCs w:val="18"/>
              </w:rPr>
              <w:t>57%</w:t>
            </w:r>
          </w:p>
        </w:tc>
        <w:tc>
          <w:tcPr>
            <w:tcW w:w="1008" w:type="dxa"/>
            <w:vAlign w:val="center"/>
          </w:tcPr>
          <w:p w14:paraId="6A89A6DD" w14:textId="31A2096B" w:rsidR="005561A5" w:rsidRPr="00787AB7" w:rsidRDefault="005561A5">
            <w:pPr>
              <w:jc w:val="right"/>
              <w:rPr>
                <w:rFonts w:ascii="Calibri" w:hAnsi="Calibri"/>
                <w:sz w:val="18"/>
                <w:szCs w:val="18"/>
              </w:rPr>
            </w:pPr>
            <w:r w:rsidRPr="00787AB7">
              <w:rPr>
                <w:rFonts w:ascii="Calibri" w:hAnsi="Calibri"/>
                <w:color w:val="000000"/>
                <w:sz w:val="18"/>
                <w:szCs w:val="18"/>
              </w:rPr>
              <w:t>75%</w:t>
            </w:r>
          </w:p>
        </w:tc>
      </w:tr>
      <w:tr w:rsidR="005561A5" w:rsidRPr="005561A5" w14:paraId="1B82EFCC" w14:textId="77777777" w:rsidTr="004962C6">
        <w:trPr>
          <w:trHeight w:val="360"/>
          <w:jc w:val="center"/>
        </w:trPr>
        <w:tc>
          <w:tcPr>
            <w:tcW w:w="719" w:type="dxa"/>
            <w:vAlign w:val="center"/>
          </w:tcPr>
          <w:p w14:paraId="7223F285" w14:textId="77777777" w:rsidR="005561A5" w:rsidRPr="00787AB7" w:rsidRDefault="005561A5" w:rsidP="00E52130">
            <w:pPr>
              <w:rPr>
                <w:rFonts w:ascii="Calibri" w:hAnsi="Calibri"/>
                <w:bCs/>
                <w:sz w:val="18"/>
                <w:szCs w:val="18"/>
              </w:rPr>
            </w:pPr>
            <w:r w:rsidRPr="00787AB7">
              <w:rPr>
                <w:rFonts w:ascii="Calibri" w:hAnsi="Calibri"/>
                <w:bCs/>
                <w:sz w:val="18"/>
                <w:szCs w:val="18"/>
              </w:rPr>
              <w:t>4.</w:t>
            </w:r>
          </w:p>
        </w:tc>
        <w:tc>
          <w:tcPr>
            <w:tcW w:w="3165" w:type="dxa"/>
            <w:shd w:val="clear" w:color="auto" w:fill="auto"/>
            <w:vAlign w:val="center"/>
          </w:tcPr>
          <w:p w14:paraId="681BD1FF" w14:textId="77777777" w:rsidR="005561A5" w:rsidRPr="00787AB7" w:rsidRDefault="005561A5" w:rsidP="00FF07FF">
            <w:pPr>
              <w:rPr>
                <w:rFonts w:asciiTheme="minorHAnsi" w:hAnsiTheme="minorHAnsi" w:cstheme="minorHAnsi"/>
                <w:bCs/>
                <w:sz w:val="18"/>
                <w:szCs w:val="18"/>
              </w:rPr>
            </w:pPr>
            <w:r w:rsidRPr="00787AB7">
              <w:rPr>
                <w:rFonts w:ascii="Calibri" w:hAnsi="Calibri"/>
                <w:bCs/>
                <w:sz w:val="18"/>
                <w:szCs w:val="18"/>
              </w:rPr>
              <w:t>Egy állományi járműre jutó hasznos kocsikilométer (kkm/db)</w:t>
            </w:r>
          </w:p>
        </w:tc>
        <w:tc>
          <w:tcPr>
            <w:tcW w:w="1030" w:type="dxa"/>
            <w:vAlign w:val="center"/>
          </w:tcPr>
          <w:p w14:paraId="0E54233E" w14:textId="30501AE6" w:rsidR="005561A5" w:rsidRPr="00787AB7" w:rsidRDefault="005561A5">
            <w:pPr>
              <w:jc w:val="right"/>
              <w:rPr>
                <w:rFonts w:ascii="Calibri" w:hAnsi="Calibri"/>
                <w:sz w:val="18"/>
                <w:szCs w:val="18"/>
              </w:rPr>
            </w:pPr>
            <w:r w:rsidRPr="00787AB7">
              <w:rPr>
                <w:rFonts w:ascii="Calibri" w:hAnsi="Calibri"/>
                <w:sz w:val="18"/>
                <w:szCs w:val="18"/>
              </w:rPr>
              <w:t>53 437</w:t>
            </w:r>
          </w:p>
        </w:tc>
        <w:tc>
          <w:tcPr>
            <w:tcW w:w="1241" w:type="dxa"/>
            <w:vAlign w:val="center"/>
          </w:tcPr>
          <w:p w14:paraId="4CD8C1D0" w14:textId="0C24B8E8" w:rsidR="005561A5" w:rsidRPr="00787AB7" w:rsidRDefault="005561A5">
            <w:pPr>
              <w:jc w:val="right"/>
              <w:rPr>
                <w:rFonts w:ascii="Calibri" w:hAnsi="Calibri" w:cs="Calibri"/>
                <w:sz w:val="18"/>
                <w:szCs w:val="18"/>
              </w:rPr>
            </w:pPr>
            <w:r w:rsidRPr="00787AB7">
              <w:rPr>
                <w:rFonts w:ascii="Calibri" w:hAnsi="Calibri"/>
                <w:sz w:val="18"/>
                <w:szCs w:val="18"/>
              </w:rPr>
              <w:t>57 975</w:t>
            </w:r>
          </w:p>
        </w:tc>
        <w:tc>
          <w:tcPr>
            <w:tcW w:w="1168" w:type="dxa"/>
            <w:vAlign w:val="center"/>
          </w:tcPr>
          <w:p w14:paraId="32901C8F" w14:textId="77D65D77" w:rsidR="005561A5" w:rsidRPr="00787AB7" w:rsidRDefault="005561A5" w:rsidP="00E52130">
            <w:pPr>
              <w:jc w:val="right"/>
              <w:rPr>
                <w:rFonts w:ascii="Calibri" w:hAnsi="Calibri"/>
                <w:sz w:val="18"/>
                <w:szCs w:val="18"/>
              </w:rPr>
            </w:pPr>
            <w:r w:rsidRPr="00787AB7">
              <w:rPr>
                <w:rFonts w:ascii="Calibri" w:hAnsi="Calibri"/>
                <w:sz w:val="18"/>
                <w:szCs w:val="18"/>
              </w:rPr>
              <w:t>41 345</w:t>
            </w:r>
          </w:p>
        </w:tc>
        <w:tc>
          <w:tcPr>
            <w:tcW w:w="955" w:type="dxa"/>
            <w:vAlign w:val="center"/>
          </w:tcPr>
          <w:p w14:paraId="5DA4652D" w14:textId="75CC9F7B" w:rsidR="005561A5" w:rsidRPr="00787AB7" w:rsidRDefault="005561A5" w:rsidP="00E52130">
            <w:pPr>
              <w:jc w:val="right"/>
              <w:rPr>
                <w:rFonts w:ascii="Calibri" w:hAnsi="Calibri"/>
                <w:sz w:val="18"/>
                <w:szCs w:val="18"/>
              </w:rPr>
            </w:pPr>
            <w:r w:rsidRPr="00787AB7">
              <w:rPr>
                <w:rFonts w:ascii="Calibri" w:hAnsi="Calibri"/>
                <w:sz w:val="18"/>
                <w:szCs w:val="18"/>
              </w:rPr>
              <w:t>53 120</w:t>
            </w:r>
          </w:p>
        </w:tc>
        <w:tc>
          <w:tcPr>
            <w:tcW w:w="1008" w:type="dxa"/>
            <w:vAlign w:val="center"/>
          </w:tcPr>
          <w:p w14:paraId="06CA5747" w14:textId="460F1843" w:rsidR="005561A5" w:rsidRPr="00787AB7" w:rsidRDefault="005561A5" w:rsidP="00E52130">
            <w:pPr>
              <w:jc w:val="right"/>
              <w:rPr>
                <w:rFonts w:ascii="Calibri" w:hAnsi="Calibri"/>
                <w:sz w:val="18"/>
                <w:szCs w:val="18"/>
              </w:rPr>
            </w:pPr>
            <w:r w:rsidRPr="00787AB7">
              <w:rPr>
                <w:rFonts w:ascii="Calibri" w:hAnsi="Calibri"/>
                <w:sz w:val="18"/>
                <w:szCs w:val="18"/>
              </w:rPr>
              <w:t>65 653</w:t>
            </w:r>
          </w:p>
        </w:tc>
      </w:tr>
      <w:tr w:rsidR="005561A5" w:rsidRPr="005561A5" w14:paraId="2F7391DC" w14:textId="77777777" w:rsidTr="004962C6">
        <w:trPr>
          <w:trHeight w:val="360"/>
          <w:jc w:val="center"/>
        </w:trPr>
        <w:tc>
          <w:tcPr>
            <w:tcW w:w="719" w:type="dxa"/>
            <w:vAlign w:val="center"/>
          </w:tcPr>
          <w:p w14:paraId="09363702" w14:textId="77777777" w:rsidR="005561A5" w:rsidRPr="00787AB7" w:rsidRDefault="005561A5" w:rsidP="00E52130">
            <w:pPr>
              <w:rPr>
                <w:rFonts w:ascii="Calibri" w:hAnsi="Calibri"/>
                <w:bCs/>
                <w:sz w:val="18"/>
                <w:szCs w:val="18"/>
              </w:rPr>
            </w:pPr>
            <w:r w:rsidRPr="00787AB7">
              <w:rPr>
                <w:rFonts w:ascii="Calibri" w:hAnsi="Calibri"/>
                <w:bCs/>
                <w:sz w:val="18"/>
                <w:szCs w:val="18"/>
              </w:rPr>
              <w:t>5.</w:t>
            </w:r>
          </w:p>
        </w:tc>
        <w:tc>
          <w:tcPr>
            <w:tcW w:w="3165" w:type="dxa"/>
            <w:shd w:val="clear" w:color="auto" w:fill="auto"/>
            <w:vAlign w:val="center"/>
          </w:tcPr>
          <w:p w14:paraId="7FE90FA7" w14:textId="77777777" w:rsidR="005561A5" w:rsidRPr="00787AB7" w:rsidRDefault="005561A5" w:rsidP="00E52130">
            <w:pPr>
              <w:rPr>
                <w:rFonts w:asciiTheme="minorHAnsi" w:hAnsiTheme="minorHAnsi" w:cstheme="minorHAnsi"/>
                <w:bCs/>
                <w:sz w:val="18"/>
                <w:szCs w:val="18"/>
              </w:rPr>
            </w:pPr>
            <w:r w:rsidRPr="00787AB7">
              <w:rPr>
                <w:rFonts w:ascii="Calibri" w:hAnsi="Calibri"/>
                <w:bCs/>
                <w:sz w:val="18"/>
                <w:szCs w:val="18"/>
              </w:rPr>
              <w:t>Járművezetői összes teljesített munkaidő/ üzemóra</w:t>
            </w:r>
          </w:p>
        </w:tc>
        <w:tc>
          <w:tcPr>
            <w:tcW w:w="1030" w:type="dxa"/>
            <w:vAlign w:val="center"/>
          </w:tcPr>
          <w:p w14:paraId="2B0A8842" w14:textId="4C228F71" w:rsidR="005561A5" w:rsidRPr="00787AB7" w:rsidRDefault="005561A5" w:rsidP="00E52130">
            <w:pPr>
              <w:jc w:val="right"/>
              <w:rPr>
                <w:rFonts w:ascii="Calibri" w:hAnsi="Calibri"/>
                <w:sz w:val="18"/>
                <w:szCs w:val="18"/>
              </w:rPr>
            </w:pPr>
            <w:r w:rsidRPr="00787AB7">
              <w:rPr>
                <w:rFonts w:ascii="Calibri" w:hAnsi="Calibri"/>
                <w:color w:val="000000"/>
                <w:sz w:val="18"/>
                <w:szCs w:val="18"/>
              </w:rPr>
              <w:t>n.a.</w:t>
            </w:r>
          </w:p>
        </w:tc>
        <w:tc>
          <w:tcPr>
            <w:tcW w:w="1241" w:type="dxa"/>
            <w:vAlign w:val="center"/>
          </w:tcPr>
          <w:p w14:paraId="4E1A18ED" w14:textId="64E5B85E" w:rsidR="005561A5" w:rsidRPr="00787AB7" w:rsidRDefault="005561A5" w:rsidP="00E52130">
            <w:pPr>
              <w:jc w:val="right"/>
              <w:rPr>
                <w:rFonts w:ascii="Calibri" w:hAnsi="Calibri" w:cs="Calibri"/>
                <w:sz w:val="18"/>
                <w:szCs w:val="18"/>
              </w:rPr>
            </w:pPr>
            <w:r w:rsidRPr="00787AB7">
              <w:rPr>
                <w:rFonts w:ascii="Calibri" w:hAnsi="Calibri"/>
                <w:color w:val="000000"/>
                <w:sz w:val="18"/>
                <w:szCs w:val="18"/>
              </w:rPr>
              <w:t>n.a.</w:t>
            </w:r>
          </w:p>
        </w:tc>
        <w:tc>
          <w:tcPr>
            <w:tcW w:w="1168" w:type="dxa"/>
            <w:vAlign w:val="center"/>
          </w:tcPr>
          <w:p w14:paraId="5A3B2AD7" w14:textId="5BDED194" w:rsidR="005561A5" w:rsidRPr="00787AB7" w:rsidRDefault="005561A5" w:rsidP="00E52130">
            <w:pPr>
              <w:jc w:val="right"/>
              <w:rPr>
                <w:rFonts w:ascii="Calibri" w:hAnsi="Calibri"/>
                <w:sz w:val="18"/>
                <w:szCs w:val="18"/>
              </w:rPr>
            </w:pPr>
            <w:r w:rsidRPr="00787AB7">
              <w:rPr>
                <w:rFonts w:ascii="Calibri" w:hAnsi="Calibri"/>
                <w:color w:val="000000"/>
                <w:sz w:val="18"/>
                <w:szCs w:val="18"/>
              </w:rPr>
              <w:t>n.a.</w:t>
            </w:r>
          </w:p>
        </w:tc>
        <w:tc>
          <w:tcPr>
            <w:tcW w:w="955" w:type="dxa"/>
            <w:vAlign w:val="center"/>
          </w:tcPr>
          <w:p w14:paraId="2AE765C7" w14:textId="0E1AF608" w:rsidR="005561A5" w:rsidRPr="00787AB7" w:rsidRDefault="005561A5" w:rsidP="00E52130">
            <w:pPr>
              <w:jc w:val="right"/>
              <w:rPr>
                <w:rFonts w:ascii="Calibri" w:hAnsi="Calibri"/>
                <w:sz w:val="18"/>
                <w:szCs w:val="18"/>
              </w:rPr>
            </w:pPr>
            <w:r w:rsidRPr="00787AB7">
              <w:rPr>
                <w:rFonts w:ascii="Calibri" w:hAnsi="Calibri"/>
                <w:color w:val="000000"/>
                <w:sz w:val="18"/>
                <w:szCs w:val="18"/>
              </w:rPr>
              <w:t>n.a.</w:t>
            </w:r>
          </w:p>
        </w:tc>
        <w:tc>
          <w:tcPr>
            <w:tcW w:w="1008" w:type="dxa"/>
            <w:vAlign w:val="center"/>
          </w:tcPr>
          <w:p w14:paraId="0A385DCF" w14:textId="3B5D4D86" w:rsidR="005561A5" w:rsidRPr="00787AB7" w:rsidRDefault="005561A5" w:rsidP="00E52130">
            <w:pPr>
              <w:jc w:val="right"/>
              <w:rPr>
                <w:rFonts w:ascii="Calibri" w:hAnsi="Calibri"/>
                <w:sz w:val="18"/>
                <w:szCs w:val="18"/>
              </w:rPr>
            </w:pPr>
            <w:r w:rsidRPr="00787AB7">
              <w:rPr>
                <w:rFonts w:ascii="Calibri" w:hAnsi="Calibri"/>
                <w:color w:val="000000"/>
                <w:sz w:val="18"/>
                <w:szCs w:val="18"/>
              </w:rPr>
              <w:t>n.a.</w:t>
            </w:r>
          </w:p>
        </w:tc>
      </w:tr>
      <w:tr w:rsidR="005561A5" w:rsidRPr="005561A5" w14:paraId="1A067177" w14:textId="77777777" w:rsidTr="004962C6">
        <w:trPr>
          <w:trHeight w:val="360"/>
          <w:jc w:val="center"/>
        </w:trPr>
        <w:tc>
          <w:tcPr>
            <w:tcW w:w="719" w:type="dxa"/>
            <w:vAlign w:val="center"/>
          </w:tcPr>
          <w:p w14:paraId="7FAF7F95" w14:textId="77777777" w:rsidR="005561A5" w:rsidRPr="00787AB7" w:rsidRDefault="005561A5" w:rsidP="00E52130">
            <w:pPr>
              <w:rPr>
                <w:rFonts w:ascii="Calibri" w:hAnsi="Calibri"/>
                <w:bCs/>
                <w:sz w:val="18"/>
                <w:szCs w:val="18"/>
              </w:rPr>
            </w:pPr>
            <w:r w:rsidRPr="00787AB7">
              <w:rPr>
                <w:rFonts w:ascii="Calibri" w:hAnsi="Calibri"/>
                <w:bCs/>
                <w:sz w:val="18"/>
                <w:szCs w:val="18"/>
              </w:rPr>
              <w:t>6.</w:t>
            </w:r>
          </w:p>
        </w:tc>
        <w:tc>
          <w:tcPr>
            <w:tcW w:w="3165" w:type="dxa"/>
            <w:shd w:val="clear" w:color="auto" w:fill="auto"/>
            <w:vAlign w:val="center"/>
          </w:tcPr>
          <w:p w14:paraId="0ABE6F18" w14:textId="77777777" w:rsidR="005561A5" w:rsidRPr="00787AB7" w:rsidRDefault="005561A5" w:rsidP="00E52130">
            <w:pPr>
              <w:rPr>
                <w:rFonts w:asciiTheme="minorHAnsi" w:hAnsiTheme="minorHAnsi" w:cstheme="minorHAnsi"/>
                <w:bCs/>
                <w:sz w:val="18"/>
                <w:szCs w:val="18"/>
              </w:rPr>
            </w:pPr>
            <w:r w:rsidRPr="00787AB7">
              <w:rPr>
                <w:rFonts w:ascii="Calibri" w:hAnsi="Calibri"/>
                <w:bCs/>
                <w:sz w:val="18"/>
                <w:szCs w:val="18"/>
              </w:rPr>
              <w:t>Állományi jármű darabszám/egyéb fizikai átlagos létszáma (db/fő)</w:t>
            </w:r>
          </w:p>
        </w:tc>
        <w:tc>
          <w:tcPr>
            <w:tcW w:w="1030" w:type="dxa"/>
            <w:vAlign w:val="center"/>
          </w:tcPr>
          <w:p w14:paraId="46B897DA" w14:textId="1A4C5A8F" w:rsidR="005561A5" w:rsidRPr="00787AB7" w:rsidRDefault="00446CBF">
            <w:pPr>
              <w:jc w:val="right"/>
              <w:rPr>
                <w:rFonts w:ascii="Calibri" w:hAnsi="Calibri"/>
                <w:sz w:val="18"/>
                <w:szCs w:val="18"/>
              </w:rPr>
            </w:pPr>
            <w:r>
              <w:rPr>
                <w:rFonts w:ascii="Calibri" w:hAnsi="Calibri"/>
                <w:color w:val="000000"/>
                <w:sz w:val="18"/>
                <w:szCs w:val="18"/>
              </w:rPr>
              <w:t>0,52</w:t>
            </w:r>
          </w:p>
        </w:tc>
        <w:tc>
          <w:tcPr>
            <w:tcW w:w="1241" w:type="dxa"/>
            <w:vAlign w:val="center"/>
          </w:tcPr>
          <w:p w14:paraId="32A65F83" w14:textId="4A380E7B" w:rsidR="005561A5" w:rsidRPr="00787AB7" w:rsidRDefault="005561A5" w:rsidP="00E52130">
            <w:pPr>
              <w:jc w:val="right"/>
              <w:rPr>
                <w:rFonts w:ascii="Calibri" w:hAnsi="Calibri" w:cs="Calibri"/>
                <w:sz w:val="18"/>
                <w:szCs w:val="18"/>
              </w:rPr>
            </w:pPr>
            <w:r w:rsidRPr="00787AB7">
              <w:rPr>
                <w:rFonts w:ascii="Calibri" w:hAnsi="Calibri"/>
                <w:color w:val="000000"/>
                <w:sz w:val="18"/>
                <w:szCs w:val="18"/>
              </w:rPr>
              <w:t>n.a</w:t>
            </w:r>
          </w:p>
        </w:tc>
        <w:tc>
          <w:tcPr>
            <w:tcW w:w="1168" w:type="dxa"/>
            <w:vAlign w:val="center"/>
          </w:tcPr>
          <w:p w14:paraId="33AAEBD9" w14:textId="63905A40" w:rsidR="005561A5" w:rsidRPr="00787AB7" w:rsidRDefault="005561A5" w:rsidP="00E52130">
            <w:pPr>
              <w:jc w:val="right"/>
              <w:rPr>
                <w:rFonts w:ascii="Calibri" w:hAnsi="Calibri"/>
                <w:sz w:val="18"/>
                <w:szCs w:val="18"/>
              </w:rPr>
            </w:pPr>
            <w:r w:rsidRPr="00787AB7">
              <w:rPr>
                <w:rFonts w:ascii="Calibri" w:hAnsi="Calibri"/>
                <w:color w:val="000000"/>
                <w:sz w:val="18"/>
                <w:szCs w:val="18"/>
              </w:rPr>
              <w:t>n.a.</w:t>
            </w:r>
          </w:p>
        </w:tc>
        <w:tc>
          <w:tcPr>
            <w:tcW w:w="955" w:type="dxa"/>
            <w:vAlign w:val="center"/>
          </w:tcPr>
          <w:p w14:paraId="3F26B3B5" w14:textId="33E333B9" w:rsidR="005561A5" w:rsidRPr="00787AB7" w:rsidRDefault="005561A5" w:rsidP="00E52130">
            <w:pPr>
              <w:jc w:val="right"/>
              <w:rPr>
                <w:rFonts w:ascii="Calibri" w:hAnsi="Calibri"/>
                <w:sz w:val="18"/>
                <w:szCs w:val="18"/>
              </w:rPr>
            </w:pPr>
            <w:r w:rsidRPr="00787AB7">
              <w:rPr>
                <w:rFonts w:ascii="Calibri" w:hAnsi="Calibri"/>
                <w:color w:val="000000"/>
                <w:sz w:val="18"/>
                <w:szCs w:val="18"/>
              </w:rPr>
              <w:t>n.a.</w:t>
            </w:r>
          </w:p>
        </w:tc>
        <w:tc>
          <w:tcPr>
            <w:tcW w:w="1008" w:type="dxa"/>
            <w:vAlign w:val="center"/>
          </w:tcPr>
          <w:p w14:paraId="4AC8F25B" w14:textId="2E441E52" w:rsidR="005561A5" w:rsidRPr="00787AB7" w:rsidRDefault="005561A5" w:rsidP="00E52130">
            <w:pPr>
              <w:jc w:val="right"/>
              <w:rPr>
                <w:rFonts w:ascii="Calibri" w:hAnsi="Calibri"/>
                <w:sz w:val="18"/>
                <w:szCs w:val="18"/>
              </w:rPr>
            </w:pPr>
            <w:r w:rsidRPr="00787AB7">
              <w:rPr>
                <w:rFonts w:ascii="Calibri" w:hAnsi="Calibri"/>
                <w:color w:val="000000"/>
                <w:sz w:val="18"/>
                <w:szCs w:val="18"/>
              </w:rPr>
              <w:t>n.a.</w:t>
            </w:r>
          </w:p>
        </w:tc>
      </w:tr>
      <w:tr w:rsidR="005561A5" w:rsidRPr="005561A5" w14:paraId="44A4F3F0" w14:textId="77777777" w:rsidTr="004962C6">
        <w:trPr>
          <w:trHeight w:val="360"/>
          <w:jc w:val="center"/>
        </w:trPr>
        <w:tc>
          <w:tcPr>
            <w:tcW w:w="719" w:type="dxa"/>
            <w:vAlign w:val="center"/>
          </w:tcPr>
          <w:p w14:paraId="043BA4FF" w14:textId="77777777" w:rsidR="005561A5" w:rsidRPr="00787AB7" w:rsidRDefault="005561A5" w:rsidP="00E52130">
            <w:pPr>
              <w:rPr>
                <w:rFonts w:ascii="Calibri" w:hAnsi="Calibri"/>
                <w:bCs/>
                <w:sz w:val="18"/>
                <w:szCs w:val="18"/>
              </w:rPr>
            </w:pPr>
            <w:r w:rsidRPr="00787AB7">
              <w:rPr>
                <w:rFonts w:ascii="Calibri" w:hAnsi="Calibri"/>
                <w:bCs/>
                <w:sz w:val="18"/>
                <w:szCs w:val="18"/>
              </w:rPr>
              <w:t>7.</w:t>
            </w:r>
          </w:p>
        </w:tc>
        <w:tc>
          <w:tcPr>
            <w:tcW w:w="3165" w:type="dxa"/>
            <w:shd w:val="clear" w:color="auto" w:fill="auto"/>
            <w:vAlign w:val="center"/>
          </w:tcPr>
          <w:p w14:paraId="7F35780A" w14:textId="77777777" w:rsidR="005561A5" w:rsidRPr="00787AB7" w:rsidRDefault="005561A5" w:rsidP="00E52130">
            <w:pPr>
              <w:rPr>
                <w:rFonts w:asciiTheme="minorHAnsi" w:hAnsiTheme="minorHAnsi" w:cstheme="minorHAnsi"/>
                <w:bCs/>
                <w:sz w:val="18"/>
                <w:szCs w:val="18"/>
              </w:rPr>
            </w:pPr>
            <w:r w:rsidRPr="00787AB7">
              <w:rPr>
                <w:rFonts w:ascii="Calibri" w:hAnsi="Calibri"/>
                <w:bCs/>
                <w:sz w:val="18"/>
                <w:szCs w:val="18"/>
              </w:rPr>
              <w:t>Rezsi kkm/hasznos kkm</w:t>
            </w:r>
          </w:p>
        </w:tc>
        <w:tc>
          <w:tcPr>
            <w:tcW w:w="1030" w:type="dxa"/>
            <w:vAlign w:val="center"/>
          </w:tcPr>
          <w:p w14:paraId="414B1AAF" w14:textId="1F1860FC" w:rsidR="005561A5" w:rsidRPr="00787AB7" w:rsidRDefault="00DE7C05" w:rsidP="00E52130">
            <w:pPr>
              <w:jc w:val="right"/>
              <w:rPr>
                <w:rFonts w:ascii="Calibri" w:hAnsi="Calibri"/>
                <w:sz w:val="18"/>
                <w:szCs w:val="18"/>
              </w:rPr>
            </w:pPr>
            <w:r>
              <w:rPr>
                <w:rFonts w:ascii="Calibri" w:hAnsi="Calibri"/>
                <w:color w:val="000000"/>
                <w:sz w:val="18"/>
                <w:szCs w:val="18"/>
              </w:rPr>
              <w:t>6,0%</w:t>
            </w:r>
          </w:p>
        </w:tc>
        <w:tc>
          <w:tcPr>
            <w:tcW w:w="1241" w:type="dxa"/>
            <w:vAlign w:val="center"/>
          </w:tcPr>
          <w:p w14:paraId="794B7992" w14:textId="054D5C6C" w:rsidR="005561A5" w:rsidRPr="00787AB7" w:rsidRDefault="00DE7C05" w:rsidP="00E52130">
            <w:pPr>
              <w:jc w:val="right"/>
              <w:rPr>
                <w:rFonts w:ascii="Calibri" w:hAnsi="Calibri" w:cs="Calibri"/>
                <w:sz w:val="18"/>
                <w:szCs w:val="18"/>
              </w:rPr>
            </w:pPr>
            <w:r>
              <w:rPr>
                <w:rFonts w:ascii="Calibri" w:hAnsi="Calibri"/>
                <w:color w:val="000000"/>
                <w:sz w:val="18"/>
                <w:szCs w:val="18"/>
              </w:rPr>
              <w:t>9,3%</w:t>
            </w:r>
          </w:p>
        </w:tc>
        <w:tc>
          <w:tcPr>
            <w:tcW w:w="1168" w:type="dxa"/>
            <w:vAlign w:val="center"/>
          </w:tcPr>
          <w:p w14:paraId="5F83D99D" w14:textId="03DF498B" w:rsidR="005561A5" w:rsidRPr="00787AB7" w:rsidRDefault="00DE7C05" w:rsidP="00E52130">
            <w:pPr>
              <w:jc w:val="right"/>
              <w:rPr>
                <w:rFonts w:ascii="Calibri" w:hAnsi="Calibri"/>
                <w:sz w:val="18"/>
                <w:szCs w:val="18"/>
              </w:rPr>
            </w:pPr>
            <w:r>
              <w:rPr>
                <w:rFonts w:ascii="Calibri" w:hAnsi="Calibri"/>
                <w:color w:val="000000"/>
                <w:sz w:val="18"/>
                <w:szCs w:val="18"/>
              </w:rPr>
              <w:t>5,3%</w:t>
            </w:r>
          </w:p>
        </w:tc>
        <w:tc>
          <w:tcPr>
            <w:tcW w:w="955" w:type="dxa"/>
            <w:vAlign w:val="center"/>
          </w:tcPr>
          <w:p w14:paraId="60403460" w14:textId="281516B7" w:rsidR="005561A5" w:rsidRPr="00787AB7" w:rsidRDefault="00DE7C05" w:rsidP="00E52130">
            <w:pPr>
              <w:jc w:val="right"/>
              <w:rPr>
                <w:rFonts w:ascii="Calibri" w:hAnsi="Calibri"/>
                <w:sz w:val="18"/>
                <w:szCs w:val="18"/>
              </w:rPr>
            </w:pPr>
            <w:r>
              <w:rPr>
                <w:rFonts w:ascii="Calibri" w:hAnsi="Calibri"/>
                <w:color w:val="000000"/>
                <w:sz w:val="18"/>
                <w:szCs w:val="18"/>
              </w:rPr>
              <w:t>1,1%</w:t>
            </w:r>
          </w:p>
        </w:tc>
        <w:tc>
          <w:tcPr>
            <w:tcW w:w="1008" w:type="dxa"/>
            <w:vAlign w:val="center"/>
          </w:tcPr>
          <w:p w14:paraId="1A2626A3" w14:textId="4C152D51" w:rsidR="005561A5" w:rsidRPr="00787AB7" w:rsidRDefault="00DE7C05" w:rsidP="00E52130">
            <w:pPr>
              <w:jc w:val="right"/>
              <w:rPr>
                <w:rFonts w:ascii="Calibri" w:hAnsi="Calibri"/>
                <w:sz w:val="18"/>
                <w:szCs w:val="18"/>
              </w:rPr>
            </w:pPr>
            <w:r>
              <w:rPr>
                <w:rFonts w:ascii="Calibri" w:hAnsi="Calibri"/>
                <w:color w:val="000000"/>
                <w:sz w:val="18"/>
                <w:szCs w:val="18"/>
              </w:rPr>
              <w:t>4,1%</w:t>
            </w:r>
          </w:p>
        </w:tc>
      </w:tr>
      <w:tr w:rsidR="005561A5" w:rsidRPr="005561A5" w14:paraId="5A6676CB" w14:textId="77777777" w:rsidTr="004962C6">
        <w:trPr>
          <w:trHeight w:val="360"/>
          <w:jc w:val="center"/>
        </w:trPr>
        <w:tc>
          <w:tcPr>
            <w:tcW w:w="719" w:type="dxa"/>
            <w:vAlign w:val="center"/>
          </w:tcPr>
          <w:p w14:paraId="072F04EC" w14:textId="77777777" w:rsidR="005561A5" w:rsidRPr="00787AB7" w:rsidRDefault="005561A5" w:rsidP="00E52130">
            <w:pPr>
              <w:rPr>
                <w:rFonts w:ascii="Calibri" w:hAnsi="Calibri"/>
                <w:bCs/>
                <w:sz w:val="18"/>
                <w:szCs w:val="18"/>
              </w:rPr>
            </w:pPr>
            <w:r w:rsidRPr="00787AB7">
              <w:rPr>
                <w:rFonts w:ascii="Calibri" w:hAnsi="Calibri"/>
                <w:bCs/>
                <w:sz w:val="18"/>
                <w:szCs w:val="18"/>
              </w:rPr>
              <w:t>8.</w:t>
            </w:r>
          </w:p>
        </w:tc>
        <w:tc>
          <w:tcPr>
            <w:tcW w:w="3165" w:type="dxa"/>
            <w:shd w:val="clear" w:color="auto" w:fill="auto"/>
            <w:vAlign w:val="center"/>
          </w:tcPr>
          <w:p w14:paraId="31DC9732" w14:textId="77777777" w:rsidR="005561A5" w:rsidRPr="00787AB7" w:rsidRDefault="005561A5" w:rsidP="00E52130">
            <w:pPr>
              <w:rPr>
                <w:rFonts w:asciiTheme="minorHAnsi" w:hAnsiTheme="minorHAnsi" w:cstheme="minorHAnsi"/>
                <w:bCs/>
                <w:sz w:val="18"/>
                <w:szCs w:val="18"/>
              </w:rPr>
            </w:pPr>
            <w:r w:rsidRPr="00787AB7">
              <w:rPr>
                <w:rFonts w:ascii="Calibri" w:hAnsi="Calibri"/>
                <w:bCs/>
                <w:sz w:val="18"/>
                <w:szCs w:val="18"/>
              </w:rPr>
              <w:t>[Társaságirányítás (IV.sor)+ felosztott műszaki és forgalmi állandó költségek (III/3 sor)]/közvetlenül elszámolt változó költségek és ráfordítások (III/1.,2 sorok)</w:t>
            </w:r>
          </w:p>
        </w:tc>
        <w:tc>
          <w:tcPr>
            <w:tcW w:w="1030" w:type="dxa"/>
            <w:vAlign w:val="center"/>
          </w:tcPr>
          <w:p w14:paraId="76A11B3F" w14:textId="057E1C3A" w:rsidR="005561A5" w:rsidRPr="00787AB7" w:rsidRDefault="005561A5" w:rsidP="00E52130">
            <w:pPr>
              <w:jc w:val="right"/>
              <w:rPr>
                <w:rFonts w:ascii="Calibri" w:hAnsi="Calibri"/>
                <w:sz w:val="18"/>
                <w:szCs w:val="18"/>
              </w:rPr>
            </w:pPr>
            <w:r w:rsidRPr="00787AB7">
              <w:rPr>
                <w:rFonts w:ascii="Calibri" w:hAnsi="Calibri"/>
                <w:color w:val="000000"/>
                <w:sz w:val="18"/>
                <w:szCs w:val="18"/>
              </w:rPr>
              <w:t>34%</w:t>
            </w:r>
          </w:p>
        </w:tc>
        <w:tc>
          <w:tcPr>
            <w:tcW w:w="1241" w:type="dxa"/>
            <w:vAlign w:val="center"/>
          </w:tcPr>
          <w:p w14:paraId="1D9F4809" w14:textId="520D8502" w:rsidR="005561A5" w:rsidRPr="00787AB7" w:rsidRDefault="005561A5" w:rsidP="00E52130">
            <w:pPr>
              <w:jc w:val="right"/>
              <w:rPr>
                <w:rFonts w:ascii="Calibri" w:hAnsi="Calibri" w:cs="Calibri"/>
                <w:sz w:val="18"/>
                <w:szCs w:val="18"/>
              </w:rPr>
            </w:pPr>
            <w:r w:rsidRPr="00787AB7">
              <w:rPr>
                <w:rFonts w:ascii="Calibri" w:hAnsi="Calibri"/>
                <w:color w:val="000000"/>
                <w:sz w:val="18"/>
                <w:szCs w:val="18"/>
              </w:rPr>
              <w:t>26%</w:t>
            </w:r>
          </w:p>
        </w:tc>
        <w:tc>
          <w:tcPr>
            <w:tcW w:w="1168" w:type="dxa"/>
            <w:vAlign w:val="center"/>
          </w:tcPr>
          <w:p w14:paraId="029B3666" w14:textId="6BB47072" w:rsidR="005561A5" w:rsidRPr="00787AB7" w:rsidRDefault="005561A5" w:rsidP="00E52130">
            <w:pPr>
              <w:jc w:val="right"/>
              <w:rPr>
                <w:rFonts w:ascii="Calibri" w:hAnsi="Calibri"/>
                <w:sz w:val="18"/>
                <w:szCs w:val="18"/>
              </w:rPr>
            </w:pPr>
            <w:r w:rsidRPr="00787AB7">
              <w:rPr>
                <w:rFonts w:ascii="Calibri" w:hAnsi="Calibri"/>
                <w:color w:val="000000"/>
                <w:sz w:val="18"/>
                <w:szCs w:val="18"/>
              </w:rPr>
              <w:t>29%</w:t>
            </w:r>
          </w:p>
        </w:tc>
        <w:tc>
          <w:tcPr>
            <w:tcW w:w="955" w:type="dxa"/>
            <w:vAlign w:val="center"/>
          </w:tcPr>
          <w:p w14:paraId="17829237" w14:textId="044AB3A3" w:rsidR="005561A5" w:rsidRPr="00787AB7" w:rsidRDefault="005561A5" w:rsidP="00E52130">
            <w:pPr>
              <w:jc w:val="right"/>
              <w:rPr>
                <w:rFonts w:ascii="Calibri" w:hAnsi="Calibri"/>
                <w:sz w:val="18"/>
                <w:szCs w:val="18"/>
              </w:rPr>
            </w:pPr>
            <w:r w:rsidRPr="00787AB7">
              <w:rPr>
                <w:rFonts w:ascii="Calibri" w:hAnsi="Calibri"/>
                <w:color w:val="000000"/>
                <w:sz w:val="18"/>
                <w:szCs w:val="18"/>
              </w:rPr>
              <w:t>38%</w:t>
            </w:r>
          </w:p>
        </w:tc>
        <w:tc>
          <w:tcPr>
            <w:tcW w:w="1008" w:type="dxa"/>
            <w:vAlign w:val="center"/>
          </w:tcPr>
          <w:p w14:paraId="07301370" w14:textId="40DA2F2F" w:rsidR="005561A5" w:rsidRPr="00787AB7" w:rsidRDefault="005561A5" w:rsidP="00E52130">
            <w:pPr>
              <w:jc w:val="right"/>
              <w:rPr>
                <w:rFonts w:ascii="Calibri" w:hAnsi="Calibri"/>
                <w:sz w:val="18"/>
                <w:szCs w:val="18"/>
              </w:rPr>
            </w:pPr>
            <w:r w:rsidRPr="00787AB7">
              <w:rPr>
                <w:rFonts w:ascii="Calibri" w:hAnsi="Calibri"/>
                <w:color w:val="000000"/>
                <w:sz w:val="18"/>
                <w:szCs w:val="18"/>
              </w:rPr>
              <w:t>33%</w:t>
            </w:r>
          </w:p>
        </w:tc>
      </w:tr>
      <w:tr w:rsidR="005561A5" w:rsidRPr="005561A5" w14:paraId="2AC7C0DF" w14:textId="77777777" w:rsidTr="004962C6">
        <w:trPr>
          <w:trHeight w:val="360"/>
          <w:jc w:val="center"/>
        </w:trPr>
        <w:tc>
          <w:tcPr>
            <w:tcW w:w="719" w:type="dxa"/>
            <w:vAlign w:val="center"/>
          </w:tcPr>
          <w:p w14:paraId="27E8320C" w14:textId="77777777" w:rsidR="005561A5" w:rsidRPr="00787AB7" w:rsidRDefault="005561A5" w:rsidP="00E52130">
            <w:pPr>
              <w:ind w:left="233" w:hanging="233"/>
              <w:rPr>
                <w:rFonts w:ascii="Calibri" w:hAnsi="Calibri"/>
                <w:bCs/>
                <w:sz w:val="18"/>
                <w:szCs w:val="18"/>
              </w:rPr>
            </w:pPr>
            <w:r w:rsidRPr="00787AB7">
              <w:rPr>
                <w:rFonts w:ascii="Calibri" w:hAnsi="Calibri"/>
                <w:bCs/>
                <w:sz w:val="18"/>
                <w:szCs w:val="18"/>
              </w:rPr>
              <w:t>9.</w:t>
            </w:r>
          </w:p>
        </w:tc>
        <w:tc>
          <w:tcPr>
            <w:tcW w:w="3165" w:type="dxa"/>
            <w:shd w:val="clear" w:color="auto" w:fill="auto"/>
            <w:vAlign w:val="center"/>
          </w:tcPr>
          <w:p w14:paraId="11D4CA35" w14:textId="77777777" w:rsidR="005561A5" w:rsidRPr="00787AB7" w:rsidRDefault="005561A5" w:rsidP="00846F35">
            <w:pPr>
              <w:rPr>
                <w:rFonts w:asciiTheme="minorHAnsi" w:hAnsiTheme="minorHAnsi" w:cstheme="minorHAnsi"/>
                <w:bCs/>
                <w:sz w:val="18"/>
                <w:szCs w:val="18"/>
              </w:rPr>
            </w:pPr>
            <w:r w:rsidRPr="00787AB7">
              <w:rPr>
                <w:rFonts w:ascii="Calibri" w:hAnsi="Calibri"/>
                <w:bCs/>
                <w:sz w:val="18"/>
                <w:szCs w:val="18"/>
              </w:rPr>
              <w:t>Társaságirányítás (IV. sor)/ költségek és ráfordítások (VII. sor)</w:t>
            </w:r>
          </w:p>
        </w:tc>
        <w:tc>
          <w:tcPr>
            <w:tcW w:w="1030" w:type="dxa"/>
            <w:vAlign w:val="center"/>
          </w:tcPr>
          <w:p w14:paraId="2B5E108C" w14:textId="0D50F60B" w:rsidR="005561A5" w:rsidRPr="00787AB7" w:rsidRDefault="005561A5" w:rsidP="00E52130">
            <w:pPr>
              <w:jc w:val="right"/>
              <w:rPr>
                <w:rFonts w:ascii="Calibri" w:hAnsi="Calibri"/>
                <w:sz w:val="18"/>
                <w:szCs w:val="18"/>
              </w:rPr>
            </w:pPr>
            <w:r w:rsidRPr="00787AB7">
              <w:rPr>
                <w:rFonts w:ascii="Calibri" w:hAnsi="Calibri"/>
                <w:color w:val="000000"/>
                <w:sz w:val="18"/>
                <w:szCs w:val="18"/>
              </w:rPr>
              <w:t>10%</w:t>
            </w:r>
          </w:p>
        </w:tc>
        <w:tc>
          <w:tcPr>
            <w:tcW w:w="1241" w:type="dxa"/>
            <w:vAlign w:val="center"/>
          </w:tcPr>
          <w:p w14:paraId="52AD94AA" w14:textId="75FBC0E9" w:rsidR="005561A5" w:rsidRPr="00787AB7" w:rsidRDefault="005561A5" w:rsidP="00E52130">
            <w:pPr>
              <w:jc w:val="right"/>
              <w:rPr>
                <w:rFonts w:ascii="Calibri" w:hAnsi="Calibri" w:cs="Calibri"/>
                <w:sz w:val="18"/>
                <w:szCs w:val="18"/>
              </w:rPr>
            </w:pPr>
            <w:r w:rsidRPr="00787AB7">
              <w:rPr>
                <w:rFonts w:ascii="Calibri" w:hAnsi="Calibri"/>
                <w:color w:val="000000"/>
                <w:sz w:val="18"/>
                <w:szCs w:val="18"/>
              </w:rPr>
              <w:t>9%</w:t>
            </w:r>
          </w:p>
        </w:tc>
        <w:tc>
          <w:tcPr>
            <w:tcW w:w="1168" w:type="dxa"/>
            <w:vAlign w:val="center"/>
          </w:tcPr>
          <w:p w14:paraId="682D145F" w14:textId="56249E55" w:rsidR="005561A5" w:rsidRPr="00787AB7" w:rsidRDefault="005561A5" w:rsidP="00E52130">
            <w:pPr>
              <w:jc w:val="right"/>
              <w:rPr>
                <w:rFonts w:ascii="Calibri" w:hAnsi="Calibri"/>
                <w:sz w:val="18"/>
                <w:szCs w:val="18"/>
              </w:rPr>
            </w:pPr>
            <w:r w:rsidRPr="00787AB7">
              <w:rPr>
                <w:rFonts w:ascii="Calibri" w:hAnsi="Calibri"/>
                <w:color w:val="000000"/>
                <w:sz w:val="18"/>
                <w:szCs w:val="18"/>
              </w:rPr>
              <w:t>9%</w:t>
            </w:r>
          </w:p>
        </w:tc>
        <w:tc>
          <w:tcPr>
            <w:tcW w:w="955" w:type="dxa"/>
            <w:vAlign w:val="center"/>
          </w:tcPr>
          <w:p w14:paraId="24737FD1" w14:textId="55DB0E1A" w:rsidR="005561A5" w:rsidRPr="00787AB7" w:rsidRDefault="005561A5" w:rsidP="00E52130">
            <w:pPr>
              <w:jc w:val="right"/>
              <w:rPr>
                <w:rFonts w:ascii="Calibri" w:hAnsi="Calibri"/>
                <w:sz w:val="18"/>
                <w:szCs w:val="18"/>
              </w:rPr>
            </w:pPr>
            <w:r w:rsidRPr="00787AB7">
              <w:rPr>
                <w:rFonts w:ascii="Calibri" w:hAnsi="Calibri"/>
                <w:color w:val="000000"/>
                <w:sz w:val="18"/>
                <w:szCs w:val="18"/>
              </w:rPr>
              <w:t>9%</w:t>
            </w:r>
          </w:p>
        </w:tc>
        <w:tc>
          <w:tcPr>
            <w:tcW w:w="1008" w:type="dxa"/>
            <w:vAlign w:val="center"/>
          </w:tcPr>
          <w:p w14:paraId="7DFB3FB3" w14:textId="4FB8D283" w:rsidR="005561A5" w:rsidRPr="00787AB7" w:rsidRDefault="005561A5" w:rsidP="00E52130">
            <w:pPr>
              <w:jc w:val="right"/>
              <w:rPr>
                <w:rFonts w:ascii="Calibri" w:hAnsi="Calibri"/>
                <w:sz w:val="18"/>
                <w:szCs w:val="18"/>
              </w:rPr>
            </w:pPr>
            <w:r w:rsidRPr="00787AB7">
              <w:rPr>
                <w:rFonts w:ascii="Calibri" w:hAnsi="Calibri"/>
                <w:color w:val="000000"/>
                <w:sz w:val="18"/>
                <w:szCs w:val="18"/>
              </w:rPr>
              <w:t>9%</w:t>
            </w:r>
          </w:p>
        </w:tc>
      </w:tr>
      <w:tr w:rsidR="005561A5" w:rsidRPr="005561A5" w14:paraId="2C18EC27" w14:textId="77777777" w:rsidTr="004962C6">
        <w:trPr>
          <w:trHeight w:val="360"/>
          <w:jc w:val="center"/>
        </w:trPr>
        <w:tc>
          <w:tcPr>
            <w:tcW w:w="719" w:type="dxa"/>
            <w:vAlign w:val="center"/>
          </w:tcPr>
          <w:p w14:paraId="4C3EF4D1" w14:textId="77777777" w:rsidR="005561A5" w:rsidRPr="00787AB7" w:rsidRDefault="005561A5" w:rsidP="00E52130">
            <w:pPr>
              <w:rPr>
                <w:rFonts w:ascii="Calibri" w:hAnsi="Calibri"/>
                <w:bCs/>
                <w:sz w:val="18"/>
                <w:szCs w:val="18"/>
              </w:rPr>
            </w:pPr>
            <w:r w:rsidRPr="00787AB7">
              <w:rPr>
                <w:rFonts w:ascii="Calibri" w:hAnsi="Calibri"/>
                <w:bCs/>
                <w:sz w:val="18"/>
                <w:szCs w:val="18"/>
              </w:rPr>
              <w:t>10.</w:t>
            </w:r>
          </w:p>
        </w:tc>
        <w:tc>
          <w:tcPr>
            <w:tcW w:w="3165" w:type="dxa"/>
            <w:shd w:val="clear" w:color="auto" w:fill="auto"/>
            <w:vAlign w:val="center"/>
          </w:tcPr>
          <w:p w14:paraId="2642CC8B" w14:textId="0070C7FB" w:rsidR="005561A5" w:rsidRPr="00787AB7" w:rsidRDefault="005561A5">
            <w:pPr>
              <w:rPr>
                <w:rFonts w:asciiTheme="minorHAnsi" w:hAnsiTheme="minorHAnsi" w:cstheme="minorHAnsi"/>
                <w:bCs/>
                <w:sz w:val="18"/>
                <w:szCs w:val="18"/>
              </w:rPr>
            </w:pPr>
            <w:r w:rsidRPr="00787AB7">
              <w:rPr>
                <w:rFonts w:ascii="Calibri" w:hAnsi="Calibri"/>
                <w:bCs/>
                <w:sz w:val="18"/>
                <w:szCs w:val="18"/>
              </w:rPr>
              <w:t>Szellemi/ összes fizikai átlagos létszám (%)</w:t>
            </w:r>
          </w:p>
        </w:tc>
        <w:tc>
          <w:tcPr>
            <w:tcW w:w="1030" w:type="dxa"/>
            <w:vAlign w:val="center"/>
          </w:tcPr>
          <w:p w14:paraId="6BADC96F" w14:textId="01B49A3D" w:rsidR="005561A5" w:rsidRPr="00787AB7" w:rsidRDefault="005561A5" w:rsidP="00E52130">
            <w:pPr>
              <w:jc w:val="right"/>
              <w:rPr>
                <w:rFonts w:ascii="Calibri" w:hAnsi="Calibri"/>
                <w:sz w:val="18"/>
                <w:szCs w:val="18"/>
              </w:rPr>
            </w:pPr>
            <w:r w:rsidRPr="00787AB7">
              <w:rPr>
                <w:rFonts w:ascii="Calibri" w:hAnsi="Calibri"/>
                <w:color w:val="000000"/>
                <w:sz w:val="18"/>
                <w:szCs w:val="18"/>
              </w:rPr>
              <w:t>20%</w:t>
            </w:r>
          </w:p>
        </w:tc>
        <w:tc>
          <w:tcPr>
            <w:tcW w:w="1241" w:type="dxa"/>
            <w:shd w:val="clear" w:color="auto" w:fill="D9D9D9" w:themeFill="background1" w:themeFillShade="D9"/>
            <w:vAlign w:val="center"/>
          </w:tcPr>
          <w:p w14:paraId="05159878" w14:textId="088DD687" w:rsidR="005561A5" w:rsidRPr="00787AB7" w:rsidRDefault="005561A5" w:rsidP="00E52130">
            <w:pPr>
              <w:jc w:val="right"/>
              <w:rPr>
                <w:rFonts w:ascii="Calibri" w:hAnsi="Calibri" w:cs="Calibri"/>
                <w:sz w:val="18"/>
                <w:szCs w:val="18"/>
              </w:rPr>
            </w:pPr>
          </w:p>
        </w:tc>
        <w:tc>
          <w:tcPr>
            <w:tcW w:w="1168" w:type="dxa"/>
            <w:shd w:val="clear" w:color="auto" w:fill="D9D9D9" w:themeFill="background1" w:themeFillShade="D9"/>
            <w:vAlign w:val="center"/>
          </w:tcPr>
          <w:p w14:paraId="2886F1DC" w14:textId="446BB924" w:rsidR="005561A5" w:rsidRPr="00787AB7" w:rsidRDefault="005561A5" w:rsidP="00E52130">
            <w:pPr>
              <w:jc w:val="right"/>
              <w:rPr>
                <w:rFonts w:ascii="Calibri" w:hAnsi="Calibri"/>
                <w:sz w:val="18"/>
                <w:szCs w:val="18"/>
              </w:rPr>
            </w:pPr>
          </w:p>
        </w:tc>
        <w:tc>
          <w:tcPr>
            <w:tcW w:w="955" w:type="dxa"/>
            <w:shd w:val="clear" w:color="auto" w:fill="D9D9D9" w:themeFill="background1" w:themeFillShade="D9"/>
            <w:vAlign w:val="center"/>
          </w:tcPr>
          <w:p w14:paraId="5BF95C96" w14:textId="73AA7F33" w:rsidR="005561A5" w:rsidRPr="00787AB7" w:rsidRDefault="005561A5" w:rsidP="00E52130">
            <w:pPr>
              <w:jc w:val="right"/>
              <w:rPr>
                <w:rFonts w:ascii="Calibri" w:hAnsi="Calibri"/>
                <w:sz w:val="18"/>
                <w:szCs w:val="18"/>
              </w:rPr>
            </w:pPr>
          </w:p>
        </w:tc>
        <w:tc>
          <w:tcPr>
            <w:tcW w:w="1008" w:type="dxa"/>
            <w:shd w:val="clear" w:color="auto" w:fill="D9D9D9" w:themeFill="background1" w:themeFillShade="D9"/>
            <w:vAlign w:val="center"/>
          </w:tcPr>
          <w:p w14:paraId="0861D444" w14:textId="6EDEC88D" w:rsidR="005561A5" w:rsidRPr="00787AB7" w:rsidRDefault="005561A5" w:rsidP="00E52130">
            <w:pPr>
              <w:jc w:val="right"/>
              <w:rPr>
                <w:rFonts w:ascii="Calibri" w:hAnsi="Calibri"/>
                <w:sz w:val="18"/>
                <w:szCs w:val="18"/>
              </w:rPr>
            </w:pPr>
          </w:p>
        </w:tc>
      </w:tr>
      <w:tr w:rsidR="005561A5" w:rsidRPr="005561A5" w14:paraId="711E7679" w14:textId="77777777" w:rsidTr="004962C6">
        <w:trPr>
          <w:trHeight w:val="360"/>
          <w:jc w:val="center"/>
        </w:trPr>
        <w:tc>
          <w:tcPr>
            <w:tcW w:w="719" w:type="dxa"/>
            <w:vAlign w:val="center"/>
          </w:tcPr>
          <w:p w14:paraId="53285787" w14:textId="77777777" w:rsidR="005561A5" w:rsidRPr="00787AB7" w:rsidRDefault="005561A5" w:rsidP="00E52130">
            <w:pPr>
              <w:rPr>
                <w:rFonts w:ascii="Calibri" w:hAnsi="Calibri"/>
                <w:bCs/>
                <w:sz w:val="18"/>
                <w:szCs w:val="18"/>
              </w:rPr>
            </w:pPr>
            <w:r w:rsidRPr="00787AB7">
              <w:rPr>
                <w:rFonts w:ascii="Calibri" w:hAnsi="Calibri"/>
                <w:bCs/>
                <w:sz w:val="18"/>
                <w:szCs w:val="18"/>
              </w:rPr>
              <w:t>11.</w:t>
            </w:r>
          </w:p>
        </w:tc>
        <w:tc>
          <w:tcPr>
            <w:tcW w:w="3165" w:type="dxa"/>
            <w:shd w:val="clear" w:color="auto" w:fill="auto"/>
            <w:vAlign w:val="center"/>
          </w:tcPr>
          <w:p w14:paraId="4DB2BB32" w14:textId="77777777" w:rsidR="005561A5" w:rsidRPr="00787AB7" w:rsidRDefault="005561A5" w:rsidP="00E52130">
            <w:pPr>
              <w:rPr>
                <w:rFonts w:asciiTheme="minorHAnsi" w:hAnsiTheme="minorHAnsi" w:cstheme="minorHAnsi"/>
                <w:bCs/>
                <w:sz w:val="18"/>
                <w:szCs w:val="18"/>
              </w:rPr>
            </w:pPr>
            <w:r w:rsidRPr="00787AB7">
              <w:rPr>
                <w:rFonts w:ascii="Calibri" w:hAnsi="Calibri"/>
                <w:bCs/>
                <w:sz w:val="18"/>
                <w:szCs w:val="18"/>
              </w:rPr>
              <w:t>Beruházás/ értékcsökkenés (halasztott bevétellel korrigált) (%)</w:t>
            </w:r>
          </w:p>
        </w:tc>
        <w:tc>
          <w:tcPr>
            <w:tcW w:w="1030" w:type="dxa"/>
            <w:vAlign w:val="center"/>
          </w:tcPr>
          <w:p w14:paraId="5CC44F3E" w14:textId="73C0C12E" w:rsidR="005561A5" w:rsidRPr="00787AB7" w:rsidRDefault="005561A5" w:rsidP="00E52130">
            <w:pPr>
              <w:jc w:val="right"/>
              <w:rPr>
                <w:rFonts w:ascii="Calibri" w:hAnsi="Calibri"/>
                <w:sz w:val="18"/>
                <w:szCs w:val="18"/>
              </w:rPr>
            </w:pPr>
            <w:r w:rsidRPr="00787AB7">
              <w:rPr>
                <w:rFonts w:ascii="Calibri" w:hAnsi="Calibri"/>
                <w:color w:val="000000"/>
                <w:sz w:val="18"/>
                <w:szCs w:val="18"/>
              </w:rPr>
              <w:t>88%</w:t>
            </w:r>
          </w:p>
        </w:tc>
        <w:tc>
          <w:tcPr>
            <w:tcW w:w="1241" w:type="dxa"/>
            <w:shd w:val="clear" w:color="auto" w:fill="D9D9D9" w:themeFill="background1" w:themeFillShade="D9"/>
            <w:vAlign w:val="center"/>
          </w:tcPr>
          <w:p w14:paraId="7220F4CE" w14:textId="44BFFA92" w:rsidR="005561A5" w:rsidRPr="00787AB7" w:rsidRDefault="005561A5" w:rsidP="00E52130">
            <w:pPr>
              <w:jc w:val="right"/>
              <w:rPr>
                <w:rFonts w:ascii="Calibri" w:hAnsi="Calibri" w:cs="Calibri"/>
                <w:sz w:val="18"/>
                <w:szCs w:val="18"/>
              </w:rPr>
            </w:pPr>
          </w:p>
        </w:tc>
        <w:tc>
          <w:tcPr>
            <w:tcW w:w="1168" w:type="dxa"/>
            <w:shd w:val="clear" w:color="auto" w:fill="D9D9D9" w:themeFill="background1" w:themeFillShade="D9"/>
            <w:vAlign w:val="center"/>
          </w:tcPr>
          <w:p w14:paraId="755C89A1" w14:textId="13FC8C6E" w:rsidR="005561A5" w:rsidRPr="00787AB7" w:rsidRDefault="005561A5" w:rsidP="00E52130">
            <w:pPr>
              <w:jc w:val="right"/>
              <w:rPr>
                <w:rFonts w:ascii="Calibri" w:hAnsi="Calibri"/>
                <w:sz w:val="18"/>
                <w:szCs w:val="18"/>
              </w:rPr>
            </w:pPr>
          </w:p>
        </w:tc>
        <w:tc>
          <w:tcPr>
            <w:tcW w:w="955" w:type="dxa"/>
            <w:shd w:val="clear" w:color="auto" w:fill="D9D9D9" w:themeFill="background1" w:themeFillShade="D9"/>
            <w:vAlign w:val="center"/>
          </w:tcPr>
          <w:p w14:paraId="7A18DCFF" w14:textId="5AA4262F" w:rsidR="005561A5" w:rsidRPr="00787AB7" w:rsidRDefault="005561A5" w:rsidP="00E52130">
            <w:pPr>
              <w:jc w:val="right"/>
              <w:rPr>
                <w:rFonts w:ascii="Calibri" w:hAnsi="Calibri"/>
                <w:sz w:val="18"/>
                <w:szCs w:val="18"/>
              </w:rPr>
            </w:pPr>
          </w:p>
        </w:tc>
        <w:tc>
          <w:tcPr>
            <w:tcW w:w="1008" w:type="dxa"/>
            <w:shd w:val="clear" w:color="auto" w:fill="D9D9D9" w:themeFill="background1" w:themeFillShade="D9"/>
            <w:vAlign w:val="center"/>
          </w:tcPr>
          <w:p w14:paraId="26E3180D" w14:textId="6659CB30" w:rsidR="005561A5" w:rsidRPr="00787AB7" w:rsidRDefault="005561A5" w:rsidP="00E52130">
            <w:pPr>
              <w:jc w:val="right"/>
              <w:rPr>
                <w:rFonts w:ascii="Calibri" w:hAnsi="Calibri"/>
                <w:sz w:val="18"/>
                <w:szCs w:val="18"/>
              </w:rPr>
            </w:pPr>
          </w:p>
        </w:tc>
      </w:tr>
      <w:tr w:rsidR="005561A5" w:rsidRPr="005561A5" w14:paraId="6D62B181" w14:textId="77777777" w:rsidTr="004962C6">
        <w:trPr>
          <w:trHeight w:val="360"/>
          <w:jc w:val="center"/>
        </w:trPr>
        <w:tc>
          <w:tcPr>
            <w:tcW w:w="719" w:type="dxa"/>
            <w:vAlign w:val="center"/>
          </w:tcPr>
          <w:p w14:paraId="38B3F24C" w14:textId="77777777" w:rsidR="005561A5" w:rsidRPr="00787AB7" w:rsidRDefault="005561A5" w:rsidP="00E52130">
            <w:pPr>
              <w:rPr>
                <w:rFonts w:ascii="Calibri" w:hAnsi="Calibri"/>
                <w:bCs/>
                <w:sz w:val="18"/>
                <w:szCs w:val="18"/>
              </w:rPr>
            </w:pPr>
            <w:r w:rsidRPr="00787AB7">
              <w:rPr>
                <w:rFonts w:ascii="Calibri" w:hAnsi="Calibri"/>
                <w:bCs/>
                <w:sz w:val="18"/>
                <w:szCs w:val="18"/>
              </w:rPr>
              <w:t>12.</w:t>
            </w:r>
          </w:p>
        </w:tc>
        <w:tc>
          <w:tcPr>
            <w:tcW w:w="3165" w:type="dxa"/>
            <w:shd w:val="clear" w:color="auto" w:fill="auto"/>
            <w:vAlign w:val="center"/>
          </w:tcPr>
          <w:p w14:paraId="6A632EA4" w14:textId="1DD4E2C8" w:rsidR="005561A5" w:rsidRPr="00787AB7" w:rsidRDefault="005561A5" w:rsidP="00E52130">
            <w:pPr>
              <w:rPr>
                <w:rFonts w:asciiTheme="minorHAnsi" w:hAnsiTheme="minorHAnsi" w:cstheme="minorHAnsi"/>
                <w:bCs/>
                <w:sz w:val="18"/>
                <w:szCs w:val="18"/>
              </w:rPr>
            </w:pPr>
            <w:r w:rsidRPr="00787AB7">
              <w:rPr>
                <w:rFonts w:ascii="Calibri" w:hAnsi="Calibri"/>
                <w:bCs/>
                <w:sz w:val="18"/>
                <w:szCs w:val="18"/>
              </w:rPr>
              <w:t>Igénybe vett anyagjellegű szolgáltatás / (anyagjellegű + személyi jellegű ráfordítás) (%)</w:t>
            </w:r>
          </w:p>
        </w:tc>
        <w:tc>
          <w:tcPr>
            <w:tcW w:w="1030" w:type="dxa"/>
            <w:vAlign w:val="center"/>
          </w:tcPr>
          <w:p w14:paraId="7A012C08" w14:textId="0B0CCD2E" w:rsidR="005561A5" w:rsidRPr="00787AB7" w:rsidRDefault="005561A5" w:rsidP="00E52130">
            <w:pPr>
              <w:jc w:val="right"/>
              <w:rPr>
                <w:rFonts w:ascii="Calibri" w:hAnsi="Calibri"/>
                <w:sz w:val="18"/>
                <w:szCs w:val="18"/>
              </w:rPr>
            </w:pPr>
            <w:r w:rsidRPr="00787AB7">
              <w:rPr>
                <w:rFonts w:ascii="Calibri" w:hAnsi="Calibri"/>
                <w:color w:val="000000"/>
                <w:sz w:val="18"/>
                <w:szCs w:val="18"/>
              </w:rPr>
              <w:t>21%</w:t>
            </w:r>
          </w:p>
        </w:tc>
        <w:tc>
          <w:tcPr>
            <w:tcW w:w="1241" w:type="dxa"/>
            <w:shd w:val="clear" w:color="auto" w:fill="D9D9D9" w:themeFill="background1" w:themeFillShade="D9"/>
            <w:vAlign w:val="center"/>
          </w:tcPr>
          <w:p w14:paraId="1A0322AC" w14:textId="05280BDF" w:rsidR="005561A5" w:rsidRPr="00787AB7" w:rsidRDefault="005561A5" w:rsidP="00E52130">
            <w:pPr>
              <w:jc w:val="right"/>
              <w:rPr>
                <w:rFonts w:ascii="Calibri" w:hAnsi="Calibri" w:cs="Calibri"/>
                <w:sz w:val="18"/>
                <w:szCs w:val="18"/>
              </w:rPr>
            </w:pPr>
          </w:p>
        </w:tc>
        <w:tc>
          <w:tcPr>
            <w:tcW w:w="1168" w:type="dxa"/>
            <w:shd w:val="clear" w:color="auto" w:fill="D9D9D9" w:themeFill="background1" w:themeFillShade="D9"/>
            <w:vAlign w:val="center"/>
          </w:tcPr>
          <w:p w14:paraId="0555EC64" w14:textId="6C5C194A" w:rsidR="005561A5" w:rsidRPr="00787AB7" w:rsidRDefault="005561A5" w:rsidP="00E52130">
            <w:pPr>
              <w:jc w:val="right"/>
              <w:rPr>
                <w:rFonts w:ascii="Calibri" w:hAnsi="Calibri"/>
                <w:sz w:val="18"/>
                <w:szCs w:val="18"/>
              </w:rPr>
            </w:pPr>
          </w:p>
        </w:tc>
        <w:tc>
          <w:tcPr>
            <w:tcW w:w="955" w:type="dxa"/>
            <w:shd w:val="clear" w:color="auto" w:fill="D9D9D9" w:themeFill="background1" w:themeFillShade="D9"/>
            <w:vAlign w:val="center"/>
          </w:tcPr>
          <w:p w14:paraId="4C5A6BE1" w14:textId="24431D54" w:rsidR="005561A5" w:rsidRPr="00787AB7" w:rsidRDefault="005561A5" w:rsidP="00E52130">
            <w:pPr>
              <w:jc w:val="right"/>
              <w:rPr>
                <w:rFonts w:ascii="Calibri" w:hAnsi="Calibri"/>
                <w:sz w:val="18"/>
                <w:szCs w:val="18"/>
              </w:rPr>
            </w:pPr>
          </w:p>
        </w:tc>
        <w:tc>
          <w:tcPr>
            <w:tcW w:w="1008" w:type="dxa"/>
            <w:shd w:val="clear" w:color="auto" w:fill="D9D9D9" w:themeFill="background1" w:themeFillShade="D9"/>
            <w:vAlign w:val="center"/>
          </w:tcPr>
          <w:p w14:paraId="43E96F61" w14:textId="3DC8D324" w:rsidR="005561A5" w:rsidRPr="00787AB7" w:rsidRDefault="005561A5" w:rsidP="00E52130">
            <w:pPr>
              <w:jc w:val="right"/>
              <w:rPr>
                <w:rFonts w:ascii="Calibri" w:hAnsi="Calibri"/>
                <w:sz w:val="18"/>
                <w:szCs w:val="18"/>
              </w:rPr>
            </w:pPr>
          </w:p>
        </w:tc>
      </w:tr>
    </w:tbl>
    <w:p w14:paraId="7E4096D3" w14:textId="77777777" w:rsidR="00DA4CF8" w:rsidRPr="00787AB7" w:rsidRDefault="009A1A77" w:rsidP="00106B84">
      <w:pPr>
        <w:pStyle w:val="Cmsor1"/>
        <w:pageBreakBefore/>
        <w:numPr>
          <w:ilvl w:val="0"/>
          <w:numId w:val="17"/>
        </w:numPr>
        <w:spacing w:before="360" w:after="360"/>
        <w:jc w:val="left"/>
        <w:rPr>
          <w:rStyle w:val="Stlus14ptFlkvrAlhzs"/>
          <w:rFonts w:asciiTheme="minorHAnsi" w:hAnsiTheme="minorHAnsi" w:cstheme="minorHAnsi"/>
          <w:bCs/>
          <w:i w:val="0"/>
          <w:u w:val="none"/>
        </w:rPr>
      </w:pPr>
      <w:bookmarkStart w:id="79" w:name="_Toc450555028"/>
      <w:bookmarkStart w:id="80" w:name="_Toc450719897"/>
      <w:bookmarkStart w:id="81" w:name="_Toc464293674"/>
      <w:bookmarkStart w:id="82" w:name="_Toc464656421"/>
      <w:bookmarkStart w:id="83" w:name="_Toc464656580"/>
      <w:bookmarkStart w:id="84" w:name="_Toc464741666"/>
      <w:bookmarkStart w:id="85" w:name="_Toc465087931"/>
      <w:bookmarkStart w:id="86" w:name="_Toc465147621"/>
      <w:bookmarkStart w:id="87" w:name="_Toc465148151"/>
      <w:bookmarkStart w:id="88" w:name="_Toc465171523"/>
      <w:bookmarkStart w:id="89" w:name="_Toc465246356"/>
      <w:bookmarkStart w:id="90" w:name="_Toc465329312"/>
      <w:bookmarkStart w:id="91" w:name="_Toc465420772"/>
      <w:bookmarkStart w:id="92" w:name="_Toc470252405"/>
      <w:bookmarkStart w:id="93" w:name="_Toc470252483"/>
      <w:bookmarkStart w:id="94" w:name="_Toc471389629"/>
      <w:bookmarkStart w:id="95" w:name="_Toc471901937"/>
      <w:bookmarkStart w:id="96" w:name="_Toc471992541"/>
      <w:bookmarkStart w:id="97" w:name="_Toc494112373"/>
      <w:bookmarkStart w:id="98" w:name="_Toc51240963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787AB7">
        <w:rPr>
          <w:rStyle w:val="Stlus14ptFlkvrAlhzs"/>
          <w:rFonts w:asciiTheme="minorHAnsi" w:hAnsiTheme="minorHAnsi" w:cstheme="minorHAnsi"/>
          <w:bCs/>
          <w:i w:val="0"/>
          <w:u w:val="none"/>
        </w:rPr>
        <w:lastRenderedPageBreak/>
        <w:t>Humánpolitikai célkitűzések</w:t>
      </w:r>
      <w:bookmarkEnd w:id="98"/>
    </w:p>
    <w:p w14:paraId="0EE70B53" w14:textId="77777777" w:rsidR="003609C4" w:rsidRPr="00787AB7" w:rsidRDefault="003609C4" w:rsidP="003609C4">
      <w:pPr>
        <w:ind w:left="539" w:hanging="539"/>
        <w:jc w:val="both"/>
        <w:rPr>
          <w:rFonts w:asciiTheme="minorHAnsi" w:hAnsiTheme="minorHAnsi"/>
        </w:rPr>
      </w:pPr>
    </w:p>
    <w:p w14:paraId="50AA2D91" w14:textId="77777777" w:rsidR="00963997" w:rsidRPr="003730CE" w:rsidRDefault="00963997" w:rsidP="00963997">
      <w:pPr>
        <w:jc w:val="both"/>
        <w:rPr>
          <w:rFonts w:ascii="Calibri" w:hAnsi="Calibri"/>
        </w:rPr>
      </w:pPr>
      <w:r w:rsidRPr="003730CE">
        <w:rPr>
          <w:rFonts w:ascii="Calibri" w:hAnsi="Calibri"/>
        </w:rPr>
        <w:t>A 2018. évi terv a 2017. évi tény adatokból került levezetésre, a jelenleg ismert változások módosító hatásainak figyelembevételével.</w:t>
      </w:r>
    </w:p>
    <w:p w14:paraId="2BA2F948" w14:textId="77777777" w:rsidR="00963997" w:rsidRPr="003730CE" w:rsidRDefault="00963997" w:rsidP="00963997">
      <w:pPr>
        <w:jc w:val="both"/>
        <w:rPr>
          <w:rFonts w:ascii="Calibri" w:hAnsi="Calibri"/>
        </w:rPr>
      </w:pPr>
      <w:r w:rsidRPr="003730CE">
        <w:rPr>
          <w:rFonts w:ascii="Calibri" w:hAnsi="Calibri"/>
        </w:rPr>
        <w:t>A 2018. évi Üzleti Terv a kiadott premisszák szerint számol a bérfejlesztéssel.</w:t>
      </w:r>
    </w:p>
    <w:p w14:paraId="73842F03" w14:textId="77777777" w:rsidR="003609C4" w:rsidRPr="003730CE" w:rsidRDefault="003609C4" w:rsidP="001E0F17">
      <w:pPr>
        <w:pStyle w:val="Cmsor2"/>
      </w:pPr>
      <w:bookmarkStart w:id="99" w:name="_Toc512409635"/>
      <w:r w:rsidRPr="003730CE">
        <w:t>Humán folyamatok – munkaerő piaci környezet – tervezés</w:t>
      </w:r>
      <w:bookmarkEnd w:id="99"/>
    </w:p>
    <w:p w14:paraId="310C6866" w14:textId="77777777" w:rsidR="003609C4" w:rsidRPr="00787AB7" w:rsidRDefault="003609C4" w:rsidP="00127D83">
      <w:pPr>
        <w:jc w:val="both"/>
        <w:rPr>
          <w:rFonts w:asciiTheme="minorHAnsi" w:hAnsiTheme="minorHAnsi"/>
        </w:rPr>
      </w:pPr>
    </w:p>
    <w:p w14:paraId="440DD085" w14:textId="77777777" w:rsidR="00963997" w:rsidRPr="00424DC9" w:rsidRDefault="00963997" w:rsidP="00963997">
      <w:pPr>
        <w:jc w:val="both"/>
        <w:rPr>
          <w:rFonts w:ascii="Calibri" w:eastAsia="Calibri" w:hAnsi="Calibri" w:cs="Calibri"/>
          <w:lang w:eastAsia="en-US"/>
        </w:rPr>
      </w:pPr>
      <w:r w:rsidRPr="00424DC9">
        <w:rPr>
          <w:rFonts w:ascii="Calibri" w:eastAsia="Calibri" w:hAnsi="Calibri" w:cs="Calibri"/>
          <w:lang w:eastAsia="en-US"/>
        </w:rPr>
        <w:t>A hazai és nemzetközi hatások, valamint a demográfiai és generációs paraméterek megváltozása miatt az elmúlt években a munkaerő piaci körülmények Társaságunkra nézve hátrányosan átalakultak. Ezen változások érzékenyen érintik bizonyos munkakörökben a jelenleg meglévő munkaerő megtartását, valamint a hiányzó munkaerő pótlását, és várhatóan középtávon sem lehet javulásra számítani. A hazai munkaerőpiacon a hiányszakmákban előállt az a helyzet, hogy a versenyképesebb jövedelmet előtérbe helyezve, magasabb jövedelmet kínálva toboroznak szakembereket a cégek.</w:t>
      </w:r>
    </w:p>
    <w:p w14:paraId="61055262" w14:textId="77777777" w:rsidR="00963997" w:rsidRPr="00424DC9" w:rsidRDefault="00963997" w:rsidP="00963997">
      <w:pPr>
        <w:jc w:val="both"/>
        <w:rPr>
          <w:rFonts w:ascii="Calibri" w:eastAsia="Calibri" w:hAnsi="Calibri" w:cs="Calibri"/>
          <w:lang w:eastAsia="en-US"/>
        </w:rPr>
      </w:pPr>
    </w:p>
    <w:p w14:paraId="2436722A" w14:textId="77777777" w:rsidR="00963997" w:rsidRPr="00424DC9" w:rsidRDefault="00963997" w:rsidP="00963997">
      <w:pPr>
        <w:jc w:val="both"/>
        <w:rPr>
          <w:rFonts w:ascii="Calibri" w:eastAsia="Calibri" w:hAnsi="Calibri" w:cs="Calibri"/>
          <w:lang w:eastAsia="en-US"/>
        </w:rPr>
      </w:pPr>
      <w:r w:rsidRPr="00424DC9">
        <w:rPr>
          <w:rFonts w:ascii="Calibri" w:eastAsia="Calibri" w:hAnsi="Calibri" w:cs="Calibri"/>
          <w:lang w:eastAsia="en-US"/>
        </w:rPr>
        <w:t>Az elkövetkezendő időszakban az alábbi problémákra is megoldást kell találni a társasági humán stratégia végrehajtása során:</w:t>
      </w:r>
    </w:p>
    <w:p w14:paraId="57C672B3" w14:textId="77777777" w:rsidR="00963997" w:rsidRPr="00424DC9" w:rsidRDefault="00963997" w:rsidP="00963997">
      <w:pPr>
        <w:numPr>
          <w:ilvl w:val="0"/>
          <w:numId w:val="19"/>
        </w:numPr>
        <w:jc w:val="both"/>
        <w:rPr>
          <w:rFonts w:ascii="Calibri" w:eastAsia="Calibri" w:hAnsi="Calibri" w:cs="Calibri"/>
          <w:lang w:eastAsia="en-US"/>
        </w:rPr>
      </w:pPr>
      <w:r>
        <w:rPr>
          <w:rFonts w:ascii="Calibri" w:eastAsia="Calibri" w:hAnsi="Calibri" w:cs="Calibri"/>
          <w:lang w:eastAsia="en-US"/>
        </w:rPr>
        <w:t>Betöltetlen pozíciók száma nő</w:t>
      </w:r>
      <w:r w:rsidRPr="00424DC9">
        <w:rPr>
          <w:rFonts w:ascii="Calibri" w:eastAsia="Calibri" w:hAnsi="Calibri" w:cs="Calibri"/>
          <w:lang w:eastAsia="en-US"/>
        </w:rPr>
        <w:t xml:space="preserve"> a korábbi évekhez képest;</w:t>
      </w:r>
    </w:p>
    <w:p w14:paraId="732B14C4" w14:textId="77777777" w:rsidR="00963997" w:rsidRPr="00424DC9" w:rsidRDefault="00963997" w:rsidP="00963997">
      <w:pPr>
        <w:numPr>
          <w:ilvl w:val="0"/>
          <w:numId w:val="19"/>
        </w:numPr>
        <w:jc w:val="both"/>
        <w:rPr>
          <w:rFonts w:ascii="Calibri" w:eastAsia="Calibri" w:hAnsi="Calibri" w:cs="Calibri"/>
          <w:lang w:eastAsia="en-US"/>
        </w:rPr>
      </w:pPr>
      <w:r w:rsidRPr="00424DC9">
        <w:rPr>
          <w:rFonts w:ascii="Calibri" w:eastAsia="Calibri" w:hAnsi="Calibri" w:cs="Calibri"/>
          <w:lang w:eastAsia="en-US"/>
        </w:rPr>
        <w:t xml:space="preserve">Minőségi problémák </w:t>
      </w:r>
      <w:r>
        <w:rPr>
          <w:rFonts w:ascii="Calibri" w:eastAsia="Calibri" w:hAnsi="Calibri" w:cs="Calibri"/>
          <w:lang w:eastAsia="en-US"/>
        </w:rPr>
        <w:t xml:space="preserve">jelentkeznek </w:t>
      </w:r>
      <w:r w:rsidRPr="00424DC9">
        <w:rPr>
          <w:rFonts w:ascii="Calibri" w:eastAsia="Calibri" w:hAnsi="Calibri" w:cs="Calibri"/>
          <w:lang w:eastAsia="en-US"/>
        </w:rPr>
        <w:t>(képzetlen munkaerő jelentkezése);</w:t>
      </w:r>
    </w:p>
    <w:p w14:paraId="56C897F1" w14:textId="77777777" w:rsidR="00963997" w:rsidRPr="00424DC9" w:rsidRDefault="00963997" w:rsidP="00963997">
      <w:pPr>
        <w:numPr>
          <w:ilvl w:val="0"/>
          <w:numId w:val="19"/>
        </w:numPr>
        <w:jc w:val="both"/>
        <w:rPr>
          <w:rFonts w:ascii="Calibri" w:eastAsia="Calibri" w:hAnsi="Calibri" w:cs="Calibri"/>
          <w:lang w:eastAsia="en-US"/>
        </w:rPr>
      </w:pPr>
      <w:r w:rsidRPr="00424DC9">
        <w:rPr>
          <w:rFonts w:ascii="Calibri" w:eastAsia="Calibri" w:hAnsi="Calibri" w:cs="Calibri"/>
          <w:lang w:eastAsia="en-US"/>
        </w:rPr>
        <w:t>Munkáltatói és</w:t>
      </w:r>
      <w:r>
        <w:rPr>
          <w:rFonts w:ascii="Calibri" w:eastAsia="Calibri" w:hAnsi="Calibri" w:cs="Calibri"/>
          <w:lang w:eastAsia="en-US"/>
        </w:rPr>
        <w:t xml:space="preserve"> munkavállalói jövedelmi </w:t>
      </w:r>
      <w:r w:rsidRPr="00424DC9">
        <w:rPr>
          <w:rFonts w:ascii="Calibri" w:eastAsia="Calibri" w:hAnsi="Calibri" w:cs="Calibri"/>
          <w:lang w:eastAsia="en-US"/>
        </w:rPr>
        <w:t>lehetőségek, illetve</w:t>
      </w:r>
      <w:r>
        <w:rPr>
          <w:rFonts w:ascii="Calibri" w:eastAsia="Calibri" w:hAnsi="Calibri" w:cs="Calibri"/>
          <w:lang w:eastAsia="en-US"/>
        </w:rPr>
        <w:t xml:space="preserve"> igények</w:t>
      </w:r>
      <w:r w:rsidRPr="00424DC9">
        <w:rPr>
          <w:rFonts w:ascii="Calibri" w:eastAsia="Calibri" w:hAnsi="Calibri" w:cs="Calibri"/>
          <w:lang w:eastAsia="en-US"/>
        </w:rPr>
        <w:t xml:space="preserve"> közötti rés növekedése (a jövedelmi okok miatt nem megtartható, vagy nem megszerezhető munkaerő nagysága nő);</w:t>
      </w:r>
    </w:p>
    <w:p w14:paraId="6879D263" w14:textId="77777777" w:rsidR="00963997" w:rsidRPr="00424DC9" w:rsidRDefault="00963997" w:rsidP="00963997">
      <w:pPr>
        <w:numPr>
          <w:ilvl w:val="0"/>
          <w:numId w:val="19"/>
        </w:numPr>
        <w:jc w:val="both"/>
        <w:rPr>
          <w:rFonts w:ascii="Calibri" w:eastAsia="Calibri" w:hAnsi="Calibri" w:cs="Calibri"/>
          <w:lang w:eastAsia="en-US"/>
        </w:rPr>
      </w:pPr>
      <w:r w:rsidRPr="00424DC9">
        <w:rPr>
          <w:rFonts w:ascii="Calibri" w:eastAsia="Calibri" w:hAnsi="Calibri" w:cs="Calibri"/>
          <w:lang w:eastAsia="en-US"/>
        </w:rPr>
        <w:t>Speciális szakképesítéssel (tudással, tapasztalattal) rendelkező munkaerő megszerzése, megtartása, motiválása, nehézséget okoz.</w:t>
      </w:r>
    </w:p>
    <w:p w14:paraId="24891801" w14:textId="77777777" w:rsidR="00963997" w:rsidRPr="00424DC9" w:rsidRDefault="00963997" w:rsidP="00963997">
      <w:pPr>
        <w:jc w:val="both"/>
        <w:rPr>
          <w:rFonts w:ascii="Calibri" w:eastAsia="Calibri" w:hAnsi="Calibri" w:cs="Calibri"/>
          <w:lang w:eastAsia="en-US"/>
        </w:rPr>
      </w:pPr>
    </w:p>
    <w:p w14:paraId="3A6A9164" w14:textId="77777777" w:rsidR="00963997" w:rsidRPr="00424DC9" w:rsidRDefault="00963997" w:rsidP="00963997">
      <w:pPr>
        <w:jc w:val="both"/>
        <w:rPr>
          <w:rFonts w:ascii="Calibri" w:eastAsia="Calibri" w:hAnsi="Calibri" w:cs="Calibri"/>
          <w:lang w:eastAsia="en-US"/>
        </w:rPr>
      </w:pPr>
      <w:r w:rsidRPr="00424DC9">
        <w:rPr>
          <w:rFonts w:ascii="Calibri" w:eastAsia="Calibri" w:hAnsi="Calibri" w:cs="Calibri"/>
          <w:lang w:eastAsia="en-US"/>
        </w:rPr>
        <w:t>A napjainkban zajló folyamatos, megállíthatatlan technikai fejlődés okán egy szolgáltató vállalat – kiemelve a közösségi közlekedést – csak úgy maradhat versenyképes, ha lépést tart azzal. Ennek egyik elengedhetetlen feltétele az eszközök technológiai színvonalának lehetőség szerinti emelése, valamint az ezek üzemeltetéséhez szükséges, magasabb szakképzettségű munkavállalók alkalmazása, versenyképes jövedelem biztosítása. Az új típusú járművek beszerzésével és a meglévő járműállomány korszerűsítésével az ágazatok létszámigény összetétele is folyamatosan változik.</w:t>
      </w:r>
    </w:p>
    <w:p w14:paraId="2558778E" w14:textId="77777777" w:rsidR="00963997" w:rsidRPr="00424DC9" w:rsidRDefault="00963997" w:rsidP="00963997">
      <w:pPr>
        <w:spacing w:line="276" w:lineRule="auto"/>
        <w:jc w:val="both"/>
        <w:rPr>
          <w:rFonts w:ascii="Calibri" w:eastAsia="Calibri" w:hAnsi="Calibri" w:cs="Calibri"/>
          <w:lang w:eastAsia="en-US"/>
        </w:rPr>
      </w:pPr>
    </w:p>
    <w:p w14:paraId="4DEF4E57" w14:textId="5BFD835C" w:rsidR="00963997" w:rsidRPr="00424DC9" w:rsidRDefault="00963997" w:rsidP="00963997">
      <w:pPr>
        <w:numPr>
          <w:ilvl w:val="0"/>
          <w:numId w:val="21"/>
        </w:numPr>
        <w:jc w:val="both"/>
        <w:rPr>
          <w:rFonts w:ascii="Calibri" w:eastAsia="Calibri" w:hAnsi="Calibri" w:cs="Calibri"/>
          <w:lang w:eastAsia="en-US"/>
        </w:rPr>
      </w:pPr>
      <w:r w:rsidRPr="00424DC9">
        <w:rPr>
          <w:rFonts w:ascii="Calibri" w:eastAsia="Calibri" w:hAnsi="Calibri" w:cs="Calibri"/>
          <w:b/>
          <w:lang w:eastAsia="en-US"/>
        </w:rPr>
        <w:t>Szellemi állomány</w:t>
      </w:r>
      <w:r w:rsidRPr="00424DC9">
        <w:rPr>
          <w:rFonts w:ascii="Calibri" w:eastAsia="Calibri" w:hAnsi="Calibri" w:cs="Calibri"/>
          <w:lang w:eastAsia="en-US"/>
        </w:rPr>
        <w:t xml:space="preserve"> esetében folyamatosan nő az igény a speciális szaktudással bíró jármű</w:t>
      </w:r>
      <w:r>
        <w:rPr>
          <w:rFonts w:ascii="Calibri" w:eastAsia="Calibri" w:hAnsi="Calibri" w:cs="Calibri"/>
          <w:lang w:eastAsia="en-US"/>
        </w:rPr>
        <w:t xml:space="preserve">- és infrastrukturális </w:t>
      </w:r>
      <w:r w:rsidRPr="00424DC9">
        <w:rPr>
          <w:rFonts w:ascii="Calibri" w:eastAsia="Calibri" w:hAnsi="Calibri" w:cs="Calibri"/>
          <w:lang w:eastAsia="en-US"/>
        </w:rPr>
        <w:t>mérnökök</w:t>
      </w:r>
      <w:r w:rsidR="00BF04E3">
        <w:rPr>
          <w:rFonts w:ascii="Calibri" w:eastAsia="Calibri" w:hAnsi="Calibri" w:cs="Calibri"/>
          <w:lang w:eastAsia="en-US"/>
        </w:rPr>
        <w:t>,</w:t>
      </w:r>
      <w:r>
        <w:rPr>
          <w:rFonts w:ascii="Calibri" w:eastAsia="Calibri" w:hAnsi="Calibri" w:cs="Calibri"/>
          <w:lang w:eastAsia="en-US"/>
        </w:rPr>
        <w:t xml:space="preserve"> </w:t>
      </w:r>
      <w:r w:rsidR="00BF04E3">
        <w:rPr>
          <w:rFonts w:ascii="Calibri" w:eastAsia="Calibri" w:hAnsi="Calibri" w:cs="Calibri"/>
          <w:lang w:eastAsia="en-US"/>
        </w:rPr>
        <w:t xml:space="preserve">valamint az </w:t>
      </w:r>
      <w:r>
        <w:rPr>
          <w:rFonts w:ascii="Calibri" w:eastAsia="Calibri" w:hAnsi="Calibri" w:cs="Calibri"/>
          <w:lang w:eastAsia="en-US"/>
        </w:rPr>
        <w:t>informatikusok</w:t>
      </w:r>
      <w:r w:rsidRPr="00424DC9">
        <w:rPr>
          <w:rFonts w:ascii="Calibri" w:eastAsia="Calibri" w:hAnsi="Calibri" w:cs="Calibri"/>
          <w:lang w:eastAsia="en-US"/>
        </w:rPr>
        <w:t xml:space="preserve"> foglalkoztatására.</w:t>
      </w:r>
    </w:p>
    <w:p w14:paraId="709D2B95" w14:textId="27A53818" w:rsidR="00963997" w:rsidRPr="00424DC9" w:rsidRDefault="00963997" w:rsidP="00963997">
      <w:pPr>
        <w:numPr>
          <w:ilvl w:val="0"/>
          <w:numId w:val="21"/>
        </w:numPr>
        <w:jc w:val="both"/>
        <w:rPr>
          <w:rFonts w:ascii="Calibri" w:eastAsia="Calibri" w:hAnsi="Calibri" w:cs="Calibri"/>
          <w:lang w:eastAsia="en-US"/>
        </w:rPr>
      </w:pPr>
      <w:r w:rsidRPr="00424DC9">
        <w:rPr>
          <w:rFonts w:ascii="Calibri" w:eastAsia="Calibri" w:hAnsi="Calibri" w:cs="Calibri"/>
          <w:b/>
          <w:lang w:eastAsia="en-US"/>
        </w:rPr>
        <w:t>Fizikai állomány</w:t>
      </w:r>
      <w:r w:rsidRPr="00424DC9">
        <w:rPr>
          <w:rFonts w:ascii="Calibri" w:eastAsia="Calibri" w:hAnsi="Calibri" w:cs="Calibri"/>
          <w:lang w:eastAsia="en-US"/>
        </w:rPr>
        <w:t xml:space="preserve"> esetében a jármű</w:t>
      </w:r>
      <w:r w:rsidR="00BF04E3">
        <w:rPr>
          <w:rFonts w:ascii="Calibri" w:eastAsia="Calibri" w:hAnsi="Calibri" w:cs="Calibri"/>
          <w:lang w:eastAsia="en-US"/>
        </w:rPr>
        <w:t>-</w:t>
      </w:r>
      <w:r w:rsidRPr="00424DC9">
        <w:rPr>
          <w:rFonts w:ascii="Calibri" w:eastAsia="Calibri" w:hAnsi="Calibri" w:cs="Calibri"/>
          <w:lang w:eastAsia="en-US"/>
        </w:rPr>
        <w:t>állomány változás</w:t>
      </w:r>
      <w:r>
        <w:rPr>
          <w:rFonts w:ascii="Calibri" w:eastAsia="Calibri" w:hAnsi="Calibri" w:cs="Calibri"/>
          <w:lang w:eastAsia="en-US"/>
        </w:rPr>
        <w:t>a</w:t>
      </w:r>
      <w:r w:rsidRPr="00424DC9">
        <w:rPr>
          <w:rFonts w:ascii="Calibri" w:eastAsia="Calibri" w:hAnsi="Calibri" w:cs="Calibri"/>
          <w:lang w:eastAsia="en-US"/>
        </w:rPr>
        <w:t xml:space="preserve"> hasonló igényeket generál a járműkarbantartói állományban. A vasúti infrastruktúra területén beépítésre került új áram és biztonságtechnikai berendezések karbantartására képzett elektrikus és biztonsági berendezés szerelő munkakörben foglalkoztatott szakmunkásokra van szükség.</w:t>
      </w:r>
    </w:p>
    <w:p w14:paraId="589DD403" w14:textId="0865A8C5" w:rsidR="00963997" w:rsidRPr="00424DC9" w:rsidRDefault="00963997" w:rsidP="00963997">
      <w:pPr>
        <w:numPr>
          <w:ilvl w:val="0"/>
          <w:numId w:val="21"/>
        </w:numPr>
        <w:jc w:val="both"/>
        <w:rPr>
          <w:rFonts w:ascii="Calibri" w:eastAsia="Calibri" w:hAnsi="Calibri" w:cs="Calibri"/>
          <w:lang w:eastAsia="en-US"/>
        </w:rPr>
      </w:pPr>
      <w:r w:rsidRPr="00424DC9">
        <w:rPr>
          <w:rFonts w:ascii="Calibri" w:eastAsia="Calibri" w:hAnsi="Calibri" w:cs="Calibri"/>
          <w:b/>
          <w:lang w:eastAsia="en-US"/>
        </w:rPr>
        <w:t>Járművezetői állományban</w:t>
      </w:r>
      <w:r w:rsidRPr="00424DC9">
        <w:rPr>
          <w:rFonts w:ascii="Calibri" w:eastAsia="Calibri" w:hAnsi="Calibri" w:cs="Calibri"/>
          <w:lang w:eastAsia="en-US"/>
        </w:rPr>
        <w:t xml:space="preserve"> az új járműtípusok a megfelelő járművezetői engedéllyel rendelkező munkavállalók foglalkoztatását igénylik. Vasúti területen a képzési </w:t>
      </w:r>
      <w:r w:rsidRPr="00424DC9">
        <w:rPr>
          <w:rFonts w:ascii="Calibri" w:eastAsia="Calibri" w:hAnsi="Calibri" w:cs="Calibri"/>
          <w:lang w:eastAsia="en-US"/>
        </w:rPr>
        <w:lastRenderedPageBreak/>
        <w:t>szabályok módosulása, szigorodása, illetve az ennek történő megfelelés további, többlet erőforrás bevonását igényli.</w:t>
      </w:r>
    </w:p>
    <w:p w14:paraId="39DB4BAF" w14:textId="77777777" w:rsidR="00963997" w:rsidRPr="00424DC9" w:rsidRDefault="00963997" w:rsidP="00963997">
      <w:pPr>
        <w:jc w:val="both"/>
        <w:rPr>
          <w:rFonts w:ascii="Calibri" w:eastAsia="Calibri" w:hAnsi="Calibri" w:cs="Calibri"/>
          <w:lang w:eastAsia="en-US"/>
        </w:rPr>
      </w:pPr>
    </w:p>
    <w:p w14:paraId="2CF35530" w14:textId="77777777" w:rsidR="00963997" w:rsidRPr="00424DC9" w:rsidRDefault="00963997" w:rsidP="00963997">
      <w:pPr>
        <w:jc w:val="both"/>
        <w:rPr>
          <w:rFonts w:ascii="Calibri" w:eastAsia="Calibri" w:hAnsi="Calibri" w:cs="Calibri"/>
          <w:lang w:eastAsia="en-US"/>
        </w:rPr>
      </w:pPr>
      <w:r w:rsidRPr="00424DC9">
        <w:rPr>
          <w:rFonts w:ascii="Calibri" w:eastAsia="Calibri" w:hAnsi="Calibri" w:cs="Calibri"/>
          <w:lang w:eastAsia="en-US"/>
        </w:rPr>
        <w:t>A Társaság jelentős számú munkavállalójának munkaköre az üzemeltetés jellegéből adódóan speciális tudást, helyismeretet, gyakorlatot, illetve tovább képzést igényel. Ezen munkakörök egy része mára már hiányszakmának minősíthető, ami azt eredményezi, hogy új pozíciók meghirdetésekor kevés a szakképzett jelentkező. A létszámpótlásokat nehezíti, hogy számos munkakörben, a speciális üzemekből adódóan nem elég az iskolában szerzett tudás, mivel gyakorlati tapasztalat nélkül nem végezhető el felelősséggel, biztonságosan, hibamentesen az ahhoz tartozó adott feladat. A fentieken felül további problémát okoz, hogy egyes speciális munkakörök betöltése azért nehéz, mivel a rendelkezésre álló, felajánlott bér és juttatási „csomag” elmarad a jelentkező munkavállaló által elvárt vagy a piacon lévő versenyképes jövedelmektől.</w:t>
      </w:r>
    </w:p>
    <w:p w14:paraId="0E17D966" w14:textId="77777777" w:rsidR="00963997" w:rsidRPr="00424DC9" w:rsidRDefault="00963997" w:rsidP="00963997">
      <w:pPr>
        <w:jc w:val="both"/>
        <w:rPr>
          <w:rFonts w:ascii="Calibri" w:eastAsia="Calibri" w:hAnsi="Calibri" w:cs="Calibri"/>
          <w:b/>
          <w:i/>
          <w:lang w:eastAsia="en-US"/>
        </w:rPr>
      </w:pPr>
    </w:p>
    <w:p w14:paraId="43FBD20E" w14:textId="77777777" w:rsidR="00963997" w:rsidRPr="00424DC9" w:rsidRDefault="00963997" w:rsidP="00963997">
      <w:pPr>
        <w:jc w:val="both"/>
        <w:rPr>
          <w:rFonts w:ascii="Calibri" w:eastAsia="Calibri" w:hAnsi="Calibri" w:cs="Calibri"/>
          <w:b/>
          <w:i/>
          <w:lang w:eastAsia="en-US"/>
        </w:rPr>
      </w:pPr>
      <w:r w:rsidRPr="00424DC9">
        <w:rPr>
          <w:rFonts w:ascii="Calibri" w:eastAsia="Calibri" w:hAnsi="Calibri" w:cs="Calibri"/>
          <w:b/>
          <w:i/>
          <w:lang w:eastAsia="en-US"/>
        </w:rPr>
        <w:t>A különféle okból megüresedett munkakörök feltöltésének fő problémái:</w:t>
      </w:r>
    </w:p>
    <w:p w14:paraId="2EB63F2D" w14:textId="77777777" w:rsidR="00963997" w:rsidRPr="00424DC9" w:rsidRDefault="00963997" w:rsidP="00963997">
      <w:pPr>
        <w:numPr>
          <w:ilvl w:val="0"/>
          <w:numId w:val="20"/>
        </w:numPr>
        <w:jc w:val="both"/>
        <w:rPr>
          <w:rFonts w:ascii="Calibri" w:eastAsia="Calibri" w:hAnsi="Calibri" w:cs="Calibri"/>
          <w:lang w:eastAsia="en-US"/>
        </w:rPr>
      </w:pPr>
      <w:r w:rsidRPr="00424DC9">
        <w:rPr>
          <w:rFonts w:ascii="Calibri" w:eastAsia="Calibri" w:hAnsi="Calibri" w:cs="Calibri"/>
          <w:lang w:eastAsia="en-US"/>
        </w:rPr>
        <w:t>A meghirdetett állásokra jelentkezők nem felelnek meg az elvárt képzettségi szintnek</w:t>
      </w:r>
      <w:r w:rsidRPr="00424DC9">
        <w:rPr>
          <w:rFonts w:ascii="Calibri" w:eastAsia="Calibri" w:hAnsi="Calibri" w:cs="Calibri"/>
          <w:i/>
          <w:iCs/>
          <w:lang w:eastAsia="en-US"/>
        </w:rPr>
        <w:t>;</w:t>
      </w:r>
    </w:p>
    <w:p w14:paraId="20A25DE4" w14:textId="77777777" w:rsidR="00963997" w:rsidRPr="00424DC9" w:rsidRDefault="00963997" w:rsidP="00963997">
      <w:pPr>
        <w:numPr>
          <w:ilvl w:val="0"/>
          <w:numId w:val="20"/>
        </w:numPr>
        <w:jc w:val="both"/>
        <w:rPr>
          <w:rFonts w:ascii="Calibri" w:eastAsia="Calibri" w:hAnsi="Calibri" w:cs="Calibri"/>
          <w:lang w:eastAsia="en-US"/>
        </w:rPr>
      </w:pPr>
      <w:r w:rsidRPr="00424DC9">
        <w:rPr>
          <w:rFonts w:ascii="Calibri" w:eastAsia="Calibri" w:hAnsi="Calibri" w:cs="Calibri"/>
          <w:lang w:eastAsia="en-US"/>
        </w:rPr>
        <w:t>A megfelelő képzettséggel rendelkező jelentkezők igényeinek nem felel meg az adott munkakörök betöltéséhez felajánlott jövedelem;</w:t>
      </w:r>
    </w:p>
    <w:p w14:paraId="0FF8C4AE" w14:textId="77777777" w:rsidR="00963997" w:rsidRPr="00424DC9" w:rsidRDefault="00963997" w:rsidP="00963997">
      <w:pPr>
        <w:numPr>
          <w:ilvl w:val="0"/>
          <w:numId w:val="20"/>
        </w:numPr>
        <w:jc w:val="both"/>
        <w:rPr>
          <w:rFonts w:ascii="Calibri" w:eastAsia="Calibri" w:hAnsi="Calibri" w:cs="Calibri"/>
          <w:lang w:eastAsia="en-US"/>
        </w:rPr>
      </w:pPr>
      <w:r w:rsidRPr="00424DC9">
        <w:rPr>
          <w:rFonts w:ascii="Calibri" w:eastAsia="Calibri" w:hAnsi="Calibri" w:cs="Calibri"/>
          <w:lang w:eastAsia="en-US"/>
        </w:rPr>
        <w:t xml:space="preserve">Egészségügyi alkalmatlanság </w:t>
      </w:r>
      <w:r w:rsidRPr="00424DC9">
        <w:rPr>
          <w:rFonts w:ascii="Calibri" w:eastAsia="Calibri" w:hAnsi="Calibri" w:cs="Calibri"/>
          <w:i/>
          <w:iCs/>
          <w:lang w:eastAsia="en-US"/>
        </w:rPr>
        <w:t>(pl.: járművezető);</w:t>
      </w:r>
    </w:p>
    <w:p w14:paraId="559DFA50" w14:textId="77777777" w:rsidR="00963997" w:rsidRPr="00424DC9" w:rsidRDefault="00963997" w:rsidP="00963997">
      <w:pPr>
        <w:numPr>
          <w:ilvl w:val="0"/>
          <w:numId w:val="20"/>
        </w:numPr>
        <w:jc w:val="both"/>
        <w:rPr>
          <w:rFonts w:ascii="Calibri" w:eastAsia="Calibri" w:hAnsi="Calibri" w:cs="Calibri"/>
          <w:lang w:eastAsia="en-US"/>
        </w:rPr>
      </w:pPr>
      <w:r w:rsidRPr="00424DC9">
        <w:rPr>
          <w:rFonts w:ascii="Calibri" w:eastAsia="Calibri" w:hAnsi="Calibri" w:cs="Calibri"/>
          <w:iCs/>
          <w:lang w:eastAsia="en-US"/>
        </w:rPr>
        <w:t>Képzés során (közben) sikertelen tanfolyami teljesítés miatt kiesnek munkavállalók;</w:t>
      </w:r>
    </w:p>
    <w:p w14:paraId="2898A442" w14:textId="3F083BF3" w:rsidR="00963997" w:rsidRPr="00424DC9" w:rsidRDefault="00963997" w:rsidP="00963997">
      <w:pPr>
        <w:numPr>
          <w:ilvl w:val="0"/>
          <w:numId w:val="20"/>
        </w:numPr>
        <w:jc w:val="both"/>
        <w:rPr>
          <w:rFonts w:ascii="Calibri" w:eastAsia="Calibri" w:hAnsi="Calibri" w:cs="Calibri"/>
          <w:lang w:eastAsia="en-US"/>
        </w:rPr>
      </w:pPr>
      <w:r w:rsidRPr="00424DC9">
        <w:rPr>
          <w:rFonts w:ascii="Calibri" w:eastAsia="Calibri" w:hAnsi="Calibri" w:cs="Calibri"/>
          <w:lang w:eastAsia="en-US"/>
        </w:rPr>
        <w:t>Egyes BKV specifikus munkaköröket igen nehéz feltölteni, mivel a külső jelentkezőknek több hónapos képzést kell elvégezni</w:t>
      </w:r>
      <w:r w:rsidR="00002BBE">
        <w:rPr>
          <w:rFonts w:ascii="Calibri" w:eastAsia="Calibri" w:hAnsi="Calibri" w:cs="Calibri"/>
          <w:lang w:eastAsia="en-US"/>
        </w:rPr>
        <w:t>ük</w:t>
      </w:r>
      <w:r>
        <w:rPr>
          <w:rFonts w:ascii="Calibri" w:eastAsia="Calibri" w:hAnsi="Calibri" w:cs="Calibri"/>
          <w:lang w:eastAsia="en-US"/>
        </w:rPr>
        <w:t>.</w:t>
      </w:r>
    </w:p>
    <w:p w14:paraId="02E23F9D" w14:textId="77777777" w:rsidR="00963997" w:rsidRPr="00424DC9" w:rsidRDefault="00963997" w:rsidP="00963997">
      <w:pPr>
        <w:spacing w:line="276" w:lineRule="auto"/>
        <w:jc w:val="both"/>
        <w:rPr>
          <w:rFonts w:ascii="Calibri" w:eastAsia="Calibri" w:hAnsi="Calibri" w:cs="Calibri"/>
          <w:lang w:eastAsia="en-US"/>
        </w:rPr>
      </w:pPr>
    </w:p>
    <w:p w14:paraId="3CAF1006" w14:textId="77777777" w:rsidR="00963997" w:rsidRPr="00424DC9" w:rsidRDefault="00963997" w:rsidP="00963997">
      <w:pPr>
        <w:jc w:val="both"/>
        <w:rPr>
          <w:rFonts w:ascii="Calibri" w:eastAsia="Calibri" w:hAnsi="Calibri" w:cs="Calibri"/>
          <w:lang w:eastAsia="en-US"/>
        </w:rPr>
      </w:pPr>
      <w:r w:rsidRPr="00424DC9">
        <w:rPr>
          <w:rFonts w:ascii="Calibri" w:eastAsia="Calibri" w:hAnsi="Calibri" w:cs="Calibri"/>
          <w:lang w:eastAsia="en-US"/>
        </w:rPr>
        <w:t>Összességében megállapítható, hogy a speciális szakképesítéssel (tudással) rendelkező munkaerő megszerzése, megtartása, motiválása, nehézségeket okoz.</w:t>
      </w:r>
    </w:p>
    <w:p w14:paraId="2306938B" w14:textId="65AE47D1" w:rsidR="00963997" w:rsidRPr="00424DC9" w:rsidRDefault="00963997" w:rsidP="00963997">
      <w:pPr>
        <w:jc w:val="both"/>
        <w:rPr>
          <w:rFonts w:ascii="Calibri" w:eastAsia="Calibri" w:hAnsi="Calibri" w:cs="Calibri"/>
          <w:lang w:eastAsia="en-US"/>
        </w:rPr>
      </w:pPr>
      <w:r w:rsidRPr="00424DC9">
        <w:rPr>
          <w:rFonts w:ascii="Calibri" w:eastAsia="Calibri" w:hAnsi="Calibri" w:cs="Calibri"/>
          <w:lang w:eastAsia="en-US"/>
        </w:rPr>
        <w:t xml:space="preserve">A bemutatott problémák kezelésére a korábbi évek legkiemeltebb mértékű béremelése került végrehajtásra </w:t>
      </w:r>
      <w:r w:rsidR="00002BBE">
        <w:rPr>
          <w:rFonts w:ascii="Calibri" w:eastAsia="Calibri" w:hAnsi="Calibri" w:cs="Calibri"/>
          <w:lang w:eastAsia="en-US"/>
        </w:rPr>
        <w:t>a</w:t>
      </w:r>
      <w:r w:rsidR="002C28B8">
        <w:rPr>
          <w:rFonts w:ascii="Calibri" w:eastAsia="Calibri" w:hAnsi="Calibri" w:cs="Calibri"/>
          <w:lang w:eastAsia="en-US"/>
        </w:rPr>
        <w:t>z elmúlt két évben.</w:t>
      </w:r>
      <w:r w:rsidR="00002BBE">
        <w:rPr>
          <w:rFonts w:ascii="Calibri" w:eastAsia="Calibri" w:hAnsi="Calibri" w:cs="Calibri"/>
          <w:lang w:eastAsia="en-US"/>
        </w:rPr>
        <w:t xml:space="preserve"> </w:t>
      </w:r>
      <w:r w:rsidR="00BF04E3">
        <w:rPr>
          <w:rFonts w:ascii="Calibri" w:eastAsia="Calibri" w:hAnsi="Calibri" w:cs="Calibri"/>
          <w:lang w:eastAsia="en-US"/>
        </w:rPr>
        <w:t xml:space="preserve">A </w:t>
      </w:r>
      <w:r w:rsidRPr="00424DC9">
        <w:rPr>
          <w:rFonts w:ascii="Calibri" w:eastAsia="Calibri" w:hAnsi="Calibri" w:cs="Calibri"/>
          <w:lang w:eastAsia="en-US"/>
        </w:rPr>
        <w:t>2017. évben</w:t>
      </w:r>
      <w:r w:rsidR="00BF04E3">
        <w:rPr>
          <w:rFonts w:ascii="Calibri" w:eastAsia="Calibri" w:hAnsi="Calibri" w:cs="Calibri"/>
          <w:lang w:eastAsia="en-US"/>
        </w:rPr>
        <w:t xml:space="preserve"> </w:t>
      </w:r>
      <w:r w:rsidRPr="00424DC9">
        <w:rPr>
          <w:rFonts w:ascii="Calibri" w:eastAsia="Calibri" w:hAnsi="Calibri" w:cs="Calibri"/>
          <w:lang w:eastAsia="en-US"/>
        </w:rPr>
        <w:t xml:space="preserve">a kulcsfontosságú munkakörökben, például </w:t>
      </w:r>
      <w:r w:rsidR="002C28B8">
        <w:rPr>
          <w:rFonts w:ascii="Calibri" w:eastAsia="Calibri" w:hAnsi="Calibri" w:cs="Calibri"/>
          <w:lang w:eastAsia="en-US"/>
        </w:rPr>
        <w:t xml:space="preserve">a </w:t>
      </w:r>
      <w:r w:rsidRPr="00424DC9">
        <w:rPr>
          <w:rFonts w:ascii="Calibri" w:eastAsia="Calibri" w:hAnsi="Calibri" w:cs="Calibri"/>
          <w:lang w:eastAsia="en-US"/>
        </w:rPr>
        <w:t xml:space="preserve">járművezetők esetében – a Bérmegállapodás keretén </w:t>
      </w:r>
      <w:r w:rsidR="00BF04E3">
        <w:rPr>
          <w:rFonts w:ascii="Calibri" w:eastAsia="Calibri" w:hAnsi="Calibri" w:cs="Calibri"/>
          <w:lang w:eastAsia="en-US"/>
        </w:rPr>
        <w:t xml:space="preserve">belül </w:t>
      </w:r>
      <w:r w:rsidRPr="00424DC9">
        <w:rPr>
          <w:rFonts w:ascii="Calibri" w:eastAsia="Calibri" w:hAnsi="Calibri" w:cs="Calibri"/>
          <w:lang w:eastAsia="en-US"/>
        </w:rPr>
        <w:t>–</w:t>
      </w:r>
      <w:r w:rsidR="002C28B8">
        <w:rPr>
          <w:rFonts w:ascii="Calibri" w:eastAsia="Calibri" w:hAnsi="Calibri" w:cs="Calibri"/>
          <w:lang w:eastAsia="en-US"/>
        </w:rPr>
        <w:t xml:space="preserve"> </w:t>
      </w:r>
      <w:r>
        <w:rPr>
          <w:rFonts w:ascii="Calibri" w:eastAsia="Calibri" w:hAnsi="Calibri" w:cs="Calibri"/>
          <w:lang w:eastAsia="en-US"/>
        </w:rPr>
        <w:t>további kiemelések történtek.</w:t>
      </w:r>
      <w:r>
        <w:rPr>
          <w:rFonts w:ascii="Calibri" w:eastAsia="Calibri" w:hAnsi="Calibri" w:cs="Calibri"/>
          <w:lang w:eastAsia="en-US"/>
        </w:rPr>
        <w:br/>
      </w:r>
      <w:r w:rsidRPr="00424DC9">
        <w:rPr>
          <w:rFonts w:ascii="Calibri" w:eastAsia="Calibri" w:hAnsi="Calibri" w:cs="Calibri"/>
          <w:lang w:eastAsia="en-US"/>
        </w:rPr>
        <w:t>A 2018. évi bérmegállapodás is hasonló célokat tűzött ki. Elfogadásra került továbbá a Társaság 2020</w:t>
      </w:r>
      <w:r w:rsidR="00BF04E3">
        <w:rPr>
          <w:rFonts w:ascii="Calibri" w:eastAsia="Calibri" w:hAnsi="Calibri" w:cs="Calibri"/>
          <w:lang w:eastAsia="en-US"/>
        </w:rPr>
        <w:t>-ig</w:t>
      </w:r>
      <w:r w:rsidRPr="00424DC9">
        <w:rPr>
          <w:rFonts w:ascii="Calibri" w:eastAsia="Calibri" w:hAnsi="Calibri" w:cs="Calibri"/>
          <w:lang w:eastAsia="en-US"/>
        </w:rPr>
        <w:t xml:space="preserve"> </w:t>
      </w:r>
      <w:r w:rsidR="00BF04E3">
        <w:rPr>
          <w:rFonts w:ascii="Calibri" w:eastAsia="Calibri" w:hAnsi="Calibri" w:cs="Calibri"/>
          <w:lang w:eastAsia="en-US"/>
        </w:rPr>
        <w:t>tartó</w:t>
      </w:r>
      <w:r w:rsidRPr="00424DC9">
        <w:rPr>
          <w:rFonts w:ascii="Calibri" w:eastAsia="Calibri" w:hAnsi="Calibri" w:cs="Calibri"/>
          <w:lang w:eastAsia="en-US"/>
        </w:rPr>
        <w:t xml:space="preserve"> Humánstratégiája, melyhez kapcsolódóan Intézkedési tervek kerültek megfogalmazásra és elindult azok ütemezett megvalósítása. </w:t>
      </w:r>
    </w:p>
    <w:p w14:paraId="55C0D34F" w14:textId="77777777" w:rsidR="00DD70A2" w:rsidRPr="00787AB7" w:rsidRDefault="00DD70A2" w:rsidP="006B1A14">
      <w:pPr>
        <w:jc w:val="both"/>
        <w:rPr>
          <w:rFonts w:ascii="Calibri" w:eastAsia="Calibri" w:hAnsi="Calibri" w:cs="Calibri"/>
          <w:lang w:eastAsia="en-US"/>
        </w:rPr>
      </w:pPr>
    </w:p>
    <w:p w14:paraId="6177549D" w14:textId="77777777" w:rsidR="00DD70A2" w:rsidRPr="003730CE" w:rsidRDefault="00DD70A2" w:rsidP="001E0F17">
      <w:pPr>
        <w:pStyle w:val="Cmsor2"/>
      </w:pPr>
      <w:bookmarkStart w:id="100" w:name="_Toc512409636"/>
      <w:r w:rsidRPr="003730CE">
        <w:t>A 2018. évi bérfejlesztés</w:t>
      </w:r>
      <w:bookmarkEnd w:id="100"/>
    </w:p>
    <w:p w14:paraId="39F5FFD9" w14:textId="77777777" w:rsidR="005012D6" w:rsidRPr="00787AB7" w:rsidRDefault="005012D6" w:rsidP="006B1A14">
      <w:pPr>
        <w:pStyle w:val="Lista3"/>
        <w:rPr>
          <w:rFonts w:eastAsia="Calibri"/>
        </w:rPr>
      </w:pPr>
    </w:p>
    <w:p w14:paraId="2D65087E" w14:textId="77777777" w:rsidR="00963997" w:rsidRPr="00874419" w:rsidRDefault="00963997" w:rsidP="00963997">
      <w:pPr>
        <w:jc w:val="both"/>
        <w:rPr>
          <w:rFonts w:asciiTheme="minorHAnsi" w:eastAsia="Calibri" w:hAnsiTheme="minorHAnsi" w:cs="Calibri"/>
        </w:rPr>
      </w:pPr>
      <w:r w:rsidRPr="00874419">
        <w:rPr>
          <w:rFonts w:asciiTheme="minorHAnsi" w:eastAsia="Calibri" w:hAnsiTheme="minorHAnsi" w:cs="Calibri"/>
        </w:rPr>
        <w:t>A</w:t>
      </w:r>
      <w:r>
        <w:rPr>
          <w:rFonts w:asciiTheme="minorHAnsi" w:eastAsia="Calibri" w:hAnsiTheme="minorHAnsi" w:cs="Calibri"/>
        </w:rPr>
        <w:t xml:space="preserve"> </w:t>
      </w:r>
      <w:r w:rsidRPr="00874419">
        <w:rPr>
          <w:rFonts w:asciiTheme="minorHAnsi" w:eastAsia="Calibri" w:hAnsiTheme="minorHAnsi" w:cs="Calibri"/>
        </w:rPr>
        <w:t>terv</w:t>
      </w:r>
      <w:r>
        <w:rPr>
          <w:rFonts w:asciiTheme="minorHAnsi" w:eastAsia="Calibri" w:hAnsiTheme="minorHAnsi" w:cs="Calibri"/>
        </w:rPr>
        <w:t xml:space="preserve"> </w:t>
      </w:r>
      <w:r w:rsidRPr="00874419">
        <w:rPr>
          <w:rFonts w:asciiTheme="minorHAnsi" w:eastAsia="Calibri" w:hAnsiTheme="minorHAnsi" w:cs="Calibri"/>
        </w:rPr>
        <w:t>készítésének időszakában a Társaságnál már lezárult a 2018. évi bértárgyalás</w:t>
      </w:r>
      <w:r>
        <w:rPr>
          <w:rFonts w:asciiTheme="minorHAnsi" w:eastAsia="Calibri" w:hAnsiTheme="minorHAnsi" w:cs="Calibri"/>
        </w:rPr>
        <w:t>, megkötésre került a 2018. évi Bérmegállapodás</w:t>
      </w:r>
      <w:r w:rsidRPr="00874419">
        <w:rPr>
          <w:rFonts w:asciiTheme="minorHAnsi" w:eastAsia="Calibri" w:hAnsiTheme="minorHAnsi" w:cs="Calibri"/>
        </w:rPr>
        <w:t>.</w:t>
      </w:r>
    </w:p>
    <w:p w14:paraId="18038964" w14:textId="77777777" w:rsidR="00963997" w:rsidRPr="00874419" w:rsidRDefault="00963997" w:rsidP="00963997">
      <w:pPr>
        <w:jc w:val="both"/>
        <w:rPr>
          <w:rFonts w:asciiTheme="minorHAnsi" w:eastAsia="Calibri" w:hAnsiTheme="minorHAnsi" w:cs="Arial"/>
        </w:rPr>
      </w:pPr>
      <w:r w:rsidRPr="00874419">
        <w:rPr>
          <w:rFonts w:asciiTheme="minorHAnsi" w:eastAsia="Calibri" w:hAnsiTheme="minorHAnsi" w:cs="Arial"/>
        </w:rPr>
        <w:t>A Bérmegállapodás főbb elemei:</w:t>
      </w:r>
    </w:p>
    <w:p w14:paraId="5ABA7CF8" w14:textId="77777777" w:rsidR="00963997" w:rsidRPr="00F07EFC" w:rsidRDefault="00963997" w:rsidP="00963997">
      <w:pPr>
        <w:numPr>
          <w:ilvl w:val="0"/>
          <w:numId w:val="41"/>
        </w:numPr>
        <w:jc w:val="both"/>
        <w:rPr>
          <w:rFonts w:asciiTheme="minorHAnsi" w:eastAsia="Calibri" w:hAnsiTheme="minorHAnsi" w:cs="Arial"/>
        </w:rPr>
      </w:pPr>
      <w:r w:rsidRPr="00874419">
        <w:rPr>
          <w:rFonts w:asciiTheme="minorHAnsi" w:eastAsia="Calibri" w:hAnsiTheme="minorHAnsi" w:cs="Arial"/>
        </w:rPr>
        <w:t>Egységes, 5%-os mérték</w:t>
      </w:r>
      <w:r>
        <w:rPr>
          <w:rFonts w:asciiTheme="minorHAnsi" w:eastAsia="Calibri" w:hAnsiTheme="minorHAnsi" w:cs="Arial"/>
        </w:rPr>
        <w:t xml:space="preserve">ű és további – bizonyos feltételekhez kötött – 14 </w:t>
      </w:r>
      <w:r w:rsidRPr="00874419">
        <w:rPr>
          <w:rFonts w:asciiTheme="minorHAnsi" w:eastAsia="Calibri" w:hAnsiTheme="minorHAnsi" w:cs="Arial"/>
        </w:rPr>
        <w:t>000 Ft/hó összegű alapbérfejlesztés.</w:t>
      </w:r>
    </w:p>
    <w:p w14:paraId="3F592669" w14:textId="58E5F9D2" w:rsidR="00963997" w:rsidRPr="00874419" w:rsidRDefault="00963997" w:rsidP="00963997">
      <w:pPr>
        <w:numPr>
          <w:ilvl w:val="0"/>
          <w:numId w:val="41"/>
        </w:numPr>
        <w:jc w:val="both"/>
        <w:rPr>
          <w:rFonts w:asciiTheme="minorHAnsi" w:eastAsia="Calibri" w:hAnsiTheme="minorHAnsi" w:cs="Arial"/>
        </w:rPr>
      </w:pPr>
      <w:r w:rsidRPr="00874419">
        <w:rPr>
          <w:rFonts w:asciiTheme="minorHAnsi" w:eastAsia="Calibri" w:hAnsiTheme="minorHAnsi" w:cs="Arial"/>
        </w:rPr>
        <w:t>A cafeteria ker</w:t>
      </w:r>
      <w:r>
        <w:rPr>
          <w:rFonts w:asciiTheme="minorHAnsi" w:eastAsia="Calibri" w:hAnsiTheme="minorHAnsi" w:cs="Arial"/>
        </w:rPr>
        <w:t>et 180 000 Ft-ra emelkedett</w:t>
      </w:r>
      <w:r w:rsidRPr="00874419">
        <w:rPr>
          <w:rFonts w:asciiTheme="minorHAnsi" w:eastAsia="Calibri" w:hAnsiTheme="minorHAnsi" w:cs="Arial"/>
        </w:rPr>
        <w:t xml:space="preserve">. A </w:t>
      </w:r>
      <w:r w:rsidR="00BF04E3">
        <w:rPr>
          <w:rFonts w:asciiTheme="minorHAnsi" w:eastAsia="Calibri" w:hAnsiTheme="minorHAnsi" w:cs="Arial"/>
        </w:rPr>
        <w:t>t</w:t>
      </w:r>
      <w:r w:rsidRPr="00874419">
        <w:rPr>
          <w:rFonts w:asciiTheme="minorHAnsi" w:eastAsia="Calibri" w:hAnsiTheme="minorHAnsi" w:cs="Arial"/>
        </w:rPr>
        <w:t>ársasági elismerések jutalomalapja és a távolléti díj kiegé</w:t>
      </w:r>
      <w:r>
        <w:rPr>
          <w:rFonts w:asciiTheme="minorHAnsi" w:eastAsia="Calibri" w:hAnsiTheme="minorHAnsi" w:cs="Arial"/>
        </w:rPr>
        <w:t>szítés egységes</w:t>
      </w:r>
      <w:r w:rsidR="00BF04E3">
        <w:rPr>
          <w:rFonts w:asciiTheme="minorHAnsi" w:eastAsia="Calibri" w:hAnsiTheme="minorHAnsi" w:cs="Arial"/>
        </w:rPr>
        <w:t>en</w:t>
      </w:r>
      <w:r>
        <w:rPr>
          <w:rFonts w:asciiTheme="minorHAnsi" w:eastAsia="Calibri" w:hAnsiTheme="minorHAnsi" w:cs="Arial"/>
        </w:rPr>
        <w:t>, 12%-os mértékben növekedett</w:t>
      </w:r>
      <w:r w:rsidRPr="00874419">
        <w:rPr>
          <w:rFonts w:asciiTheme="minorHAnsi" w:eastAsia="Calibri" w:hAnsiTheme="minorHAnsi" w:cs="Arial"/>
        </w:rPr>
        <w:t>.</w:t>
      </w:r>
    </w:p>
    <w:p w14:paraId="5A236EB2" w14:textId="77777777" w:rsidR="00963997" w:rsidRPr="00874419" w:rsidRDefault="00963997" w:rsidP="00963997">
      <w:pPr>
        <w:numPr>
          <w:ilvl w:val="0"/>
          <w:numId w:val="41"/>
        </w:numPr>
        <w:jc w:val="both"/>
        <w:rPr>
          <w:rFonts w:asciiTheme="minorHAnsi" w:eastAsia="Calibri" w:hAnsiTheme="minorHAnsi" w:cs="Arial"/>
        </w:rPr>
      </w:pPr>
      <w:r w:rsidRPr="00874419">
        <w:rPr>
          <w:rFonts w:asciiTheme="minorHAnsi" w:eastAsia="Calibri" w:hAnsiTheme="minorHAnsi" w:cs="Arial"/>
        </w:rPr>
        <w:t xml:space="preserve">A </w:t>
      </w:r>
      <w:r>
        <w:rPr>
          <w:rFonts w:asciiTheme="minorHAnsi" w:eastAsia="Calibri" w:hAnsiTheme="minorHAnsi" w:cs="Arial"/>
        </w:rPr>
        <w:t xml:space="preserve">nemzetközi standardoknak megfelelően kialakításra került a </w:t>
      </w:r>
      <w:r w:rsidRPr="00874419">
        <w:rPr>
          <w:rFonts w:asciiTheme="minorHAnsi" w:eastAsia="Calibri" w:hAnsiTheme="minorHAnsi" w:cs="Arial"/>
        </w:rPr>
        <w:t>BKV Zrt. munkaköri besorolási rendszer</w:t>
      </w:r>
      <w:r>
        <w:rPr>
          <w:rFonts w:asciiTheme="minorHAnsi" w:eastAsia="Calibri" w:hAnsiTheme="minorHAnsi" w:cs="Arial"/>
        </w:rPr>
        <w:t>e, melye</w:t>
      </w:r>
      <w:r w:rsidRPr="00874419">
        <w:rPr>
          <w:rFonts w:asciiTheme="minorHAnsi" w:eastAsia="Calibri" w:hAnsiTheme="minorHAnsi" w:cs="Arial"/>
        </w:rPr>
        <w:t xml:space="preserve">n alapuló bértarifa rendszerének bevezetése és ezzel </w:t>
      </w:r>
      <w:r w:rsidRPr="00874419">
        <w:rPr>
          <w:rFonts w:asciiTheme="minorHAnsi" w:eastAsia="Calibri" w:hAnsiTheme="minorHAnsi" w:cs="Arial"/>
        </w:rPr>
        <w:lastRenderedPageBreak/>
        <w:t>egyidejűleg a bértarifa rendszer sávjai alsó határértéké</w:t>
      </w:r>
      <w:r>
        <w:rPr>
          <w:rFonts w:asciiTheme="minorHAnsi" w:eastAsia="Calibri" w:hAnsiTheme="minorHAnsi" w:cs="Arial"/>
        </w:rPr>
        <w:t xml:space="preserve">ig, de maximum 30 </w:t>
      </w:r>
      <w:r w:rsidRPr="00874419">
        <w:rPr>
          <w:rFonts w:asciiTheme="minorHAnsi" w:eastAsia="Calibri" w:hAnsiTheme="minorHAnsi" w:cs="Arial"/>
        </w:rPr>
        <w:t>000 Ft/hó mértékig az érintett munkavállalók bérfelzárkóztatása.</w:t>
      </w:r>
    </w:p>
    <w:p w14:paraId="1C5A99BA" w14:textId="77777777" w:rsidR="00963997" w:rsidRPr="00874419" w:rsidRDefault="00963997" w:rsidP="00963997">
      <w:pPr>
        <w:numPr>
          <w:ilvl w:val="0"/>
          <w:numId w:val="41"/>
        </w:numPr>
        <w:ind w:left="714" w:hanging="357"/>
        <w:jc w:val="both"/>
        <w:rPr>
          <w:rFonts w:asciiTheme="minorHAnsi" w:eastAsia="Calibri" w:hAnsiTheme="minorHAnsi" w:cs="Calibri"/>
        </w:rPr>
      </w:pPr>
      <w:r w:rsidRPr="00874419">
        <w:rPr>
          <w:rFonts w:asciiTheme="minorHAnsi" w:eastAsia="Calibri" w:hAnsiTheme="minorHAnsi" w:cs="Arial"/>
        </w:rPr>
        <w:t xml:space="preserve">Az 1.-3. pontokban szereplő általános bérfejlesztésen túl elsődleges munkáltatói célkitűzés </w:t>
      </w:r>
      <w:r>
        <w:rPr>
          <w:rFonts w:asciiTheme="minorHAnsi" w:eastAsia="Calibri" w:hAnsiTheme="minorHAnsi" w:cs="Arial"/>
        </w:rPr>
        <w:t xml:space="preserve">volt </w:t>
      </w:r>
      <w:r w:rsidRPr="00874419">
        <w:rPr>
          <w:rFonts w:asciiTheme="minorHAnsi" w:eastAsia="Calibri" w:hAnsiTheme="minorHAnsi" w:cs="Arial"/>
        </w:rPr>
        <w:t>a jövedelmek további növelése a kiemelt állománycsoportokban:</w:t>
      </w:r>
    </w:p>
    <w:p w14:paraId="5AC84019" w14:textId="77777777" w:rsidR="00963997" w:rsidRPr="00874419" w:rsidRDefault="00963997" w:rsidP="00963997">
      <w:pPr>
        <w:pStyle w:val="Listaszerbekezds"/>
        <w:numPr>
          <w:ilvl w:val="0"/>
          <w:numId w:val="43"/>
        </w:numPr>
        <w:jc w:val="both"/>
        <w:rPr>
          <w:rFonts w:asciiTheme="minorHAnsi" w:eastAsia="Calibri" w:hAnsiTheme="minorHAnsi" w:cs="Calibri"/>
        </w:rPr>
      </w:pPr>
      <w:r w:rsidRPr="00874419">
        <w:rPr>
          <w:rFonts w:asciiTheme="minorHAnsi" w:eastAsia="Calibri" w:hAnsiTheme="minorHAnsi" w:cs="Calibri"/>
        </w:rPr>
        <w:t>A járművezetők esetében egyéb intézkedések is végrehajtásra kerülnek (alap óradíj megemelése, tanulók tekintetében alapbér-emelés, a besegítő munkavállalók órabérének emelése, a metrópótlásban érintett munkavállalók részére rendkívüli forgalmi pótlék bevezetése, a minőségi munkavégzésért járó többletdíjazás összegének megemelése).</w:t>
      </w:r>
    </w:p>
    <w:p w14:paraId="4F4FDC84" w14:textId="77777777" w:rsidR="00963997" w:rsidRPr="00874419" w:rsidRDefault="00963997" w:rsidP="00963997">
      <w:pPr>
        <w:numPr>
          <w:ilvl w:val="0"/>
          <w:numId w:val="42"/>
        </w:numPr>
        <w:spacing w:before="120" w:after="120"/>
        <w:ind w:left="1135" w:hanging="284"/>
        <w:jc w:val="both"/>
        <w:rPr>
          <w:rFonts w:asciiTheme="minorHAnsi" w:eastAsia="Calibri" w:hAnsiTheme="minorHAnsi" w:cs="Calibri"/>
        </w:rPr>
      </w:pPr>
      <w:r w:rsidRPr="00874419">
        <w:rPr>
          <w:rFonts w:asciiTheme="minorHAnsi" w:eastAsia="Calibri" w:hAnsiTheme="minorHAnsi" w:cs="Calibri"/>
        </w:rPr>
        <w:t>Ezeken túl a piaci viszonyok indokolttá tették a magasan képzett, de piaci bérektől elmaradásban lévő szellemi állományú diplomások (ezen belül is kiemelten a társadalmi szinten hiányszakmának tekintett, speciális szakmai ismeretekkel rendelkező mérnökök</w:t>
      </w:r>
      <w:r>
        <w:rPr>
          <w:rFonts w:asciiTheme="minorHAnsi" w:eastAsia="Calibri" w:hAnsiTheme="minorHAnsi" w:cs="Calibri"/>
        </w:rPr>
        <w:t xml:space="preserve"> és informatikusok</w:t>
      </w:r>
      <w:r w:rsidRPr="00874419">
        <w:rPr>
          <w:rFonts w:asciiTheme="minorHAnsi" w:eastAsia="Calibri" w:hAnsiTheme="minorHAnsi" w:cs="Calibri"/>
        </w:rPr>
        <w:t xml:space="preserve">) bérfelzárkóztatására külön források biztosítását. </w:t>
      </w:r>
    </w:p>
    <w:p w14:paraId="45CBA133" w14:textId="77777777" w:rsidR="00963997" w:rsidRDefault="00963997" w:rsidP="00963997">
      <w:pPr>
        <w:jc w:val="both"/>
        <w:rPr>
          <w:rFonts w:asciiTheme="minorHAnsi" w:eastAsia="Calibri" w:hAnsiTheme="minorHAnsi" w:cs="Arial"/>
        </w:rPr>
      </w:pPr>
      <w:r w:rsidRPr="00874419">
        <w:rPr>
          <w:rFonts w:asciiTheme="minorHAnsi" w:eastAsia="Calibri" w:hAnsiTheme="minorHAnsi" w:cs="Arial"/>
        </w:rPr>
        <w:t xml:space="preserve">A bérfejlesztés végrehajtása során természetesen figyelembe vételre kerülnek az 1809/2010. (X.27.) számú határozattal elfogadott fővárosi bérpolitikai </w:t>
      </w:r>
      <w:r>
        <w:rPr>
          <w:rFonts w:asciiTheme="minorHAnsi" w:eastAsia="Calibri" w:hAnsiTheme="minorHAnsi" w:cs="Arial"/>
        </w:rPr>
        <w:t>i</w:t>
      </w:r>
      <w:r w:rsidRPr="00874419">
        <w:rPr>
          <w:rFonts w:asciiTheme="minorHAnsi" w:eastAsia="Calibri" w:hAnsiTheme="minorHAnsi" w:cs="Arial"/>
        </w:rPr>
        <w:t>rányelvek 1. számú mellékletében meghatározott sávhatárok; az alapbérek azokat eddig sem és a jövőben sem haladják meg.</w:t>
      </w:r>
    </w:p>
    <w:p w14:paraId="2FF3F4ED" w14:textId="60B21ADD" w:rsidR="00963997" w:rsidRDefault="00963997" w:rsidP="00963997">
      <w:pPr>
        <w:jc w:val="both"/>
        <w:rPr>
          <w:rFonts w:asciiTheme="minorHAnsi" w:eastAsia="Calibri" w:hAnsiTheme="minorHAnsi" w:cs="Arial"/>
        </w:rPr>
      </w:pPr>
      <w:r w:rsidRPr="00874419">
        <w:rPr>
          <w:rFonts w:asciiTheme="minorHAnsi" w:eastAsia="Calibri" w:hAnsiTheme="minorHAnsi" w:cs="Arial"/>
        </w:rPr>
        <w:t xml:space="preserve">A </w:t>
      </w:r>
      <w:r w:rsidR="00BF04E3">
        <w:rPr>
          <w:rFonts w:asciiTheme="minorHAnsi" w:eastAsia="Calibri" w:hAnsiTheme="minorHAnsi" w:cs="Arial"/>
        </w:rPr>
        <w:t xml:space="preserve">2018. évi </w:t>
      </w:r>
      <w:r w:rsidRPr="00874419">
        <w:rPr>
          <w:rFonts w:asciiTheme="minorHAnsi" w:eastAsia="Calibri" w:hAnsiTheme="minorHAnsi" w:cs="Arial"/>
        </w:rPr>
        <w:t>Bérmegállapodás a Fővárosi Közgyűlés általi elfogadással végrehajthatóvá</w:t>
      </w:r>
      <w:r>
        <w:rPr>
          <w:rFonts w:asciiTheme="minorHAnsi" w:eastAsia="Calibri" w:hAnsiTheme="minorHAnsi" w:cs="Arial"/>
        </w:rPr>
        <w:t xml:space="preserve"> vált</w:t>
      </w:r>
      <w:r w:rsidRPr="00874419">
        <w:rPr>
          <w:rFonts w:asciiTheme="minorHAnsi" w:eastAsia="Calibri" w:hAnsiTheme="minorHAnsi" w:cs="Arial"/>
        </w:rPr>
        <w:t>.</w:t>
      </w:r>
    </w:p>
    <w:p w14:paraId="68BCCA7F" w14:textId="77777777" w:rsidR="006B1A14" w:rsidRPr="00787AB7" w:rsidRDefault="006B1A14" w:rsidP="00B57A0B">
      <w:pPr>
        <w:jc w:val="both"/>
        <w:rPr>
          <w:rFonts w:asciiTheme="minorHAnsi" w:eastAsia="Calibri" w:hAnsiTheme="minorHAnsi" w:cs="Arial"/>
        </w:rPr>
      </w:pPr>
    </w:p>
    <w:p w14:paraId="2DB15429" w14:textId="77777777" w:rsidR="006B21F7" w:rsidRPr="003730CE" w:rsidRDefault="002164AE" w:rsidP="001E0F17">
      <w:pPr>
        <w:pStyle w:val="Cmsor2"/>
      </w:pPr>
      <w:bookmarkStart w:id="101" w:name="_Toc512409637"/>
      <w:r w:rsidRPr="003730CE">
        <w:t>L</w:t>
      </w:r>
      <w:r w:rsidR="006B21F7" w:rsidRPr="003730CE">
        <w:t>étszámterv</w:t>
      </w:r>
      <w:bookmarkEnd w:id="101"/>
    </w:p>
    <w:p w14:paraId="06F68390" w14:textId="77777777" w:rsidR="005012D6" w:rsidRPr="00787AB7" w:rsidRDefault="005012D6" w:rsidP="005012D6">
      <w:pPr>
        <w:pStyle w:val="Lista3"/>
        <w:rPr>
          <w:rFonts w:eastAsia="Calibri"/>
        </w:rPr>
      </w:pPr>
    </w:p>
    <w:p w14:paraId="3A21D68C" w14:textId="77777777" w:rsidR="00DD70A2" w:rsidRPr="00787AB7" w:rsidRDefault="009A1A77" w:rsidP="00106B84">
      <w:pPr>
        <w:numPr>
          <w:ilvl w:val="0"/>
          <w:numId w:val="22"/>
        </w:numPr>
        <w:spacing w:after="200" w:line="276" w:lineRule="auto"/>
        <w:ind w:left="709"/>
        <w:contextualSpacing/>
        <w:jc w:val="both"/>
        <w:rPr>
          <w:rFonts w:ascii="Calibri" w:eastAsia="Calibri" w:hAnsi="Calibri" w:cs="Calibri"/>
          <w:b/>
          <w:lang w:eastAsia="en-US"/>
        </w:rPr>
      </w:pPr>
      <w:r w:rsidRPr="00787AB7">
        <w:rPr>
          <w:rFonts w:ascii="Calibri" w:eastAsia="Calibri" w:hAnsi="Calibri" w:cs="Calibri"/>
          <w:b/>
          <w:lang w:eastAsia="en-US"/>
        </w:rPr>
        <w:t>Vasúti Üzemeltetési Igazgatóság</w:t>
      </w:r>
    </w:p>
    <w:p w14:paraId="3F308B48" w14:textId="77777777" w:rsidR="008739CE" w:rsidRPr="00787AB7" w:rsidRDefault="008739CE" w:rsidP="008739CE">
      <w:pPr>
        <w:jc w:val="both"/>
        <w:rPr>
          <w:rFonts w:asciiTheme="minorHAnsi" w:hAnsiTheme="minorHAnsi" w:cstheme="minorHAnsi"/>
          <w:b/>
        </w:rPr>
      </w:pPr>
      <w:bookmarkStart w:id="102" w:name="_Toc493498869"/>
    </w:p>
    <w:bookmarkEnd w:id="102"/>
    <w:p w14:paraId="445C1B81" w14:textId="77777777" w:rsidR="00DD70A2" w:rsidRPr="00787AB7" w:rsidRDefault="009A1A77" w:rsidP="00106B84">
      <w:pPr>
        <w:pStyle w:val="Listaszerbekezds"/>
        <w:numPr>
          <w:ilvl w:val="0"/>
          <w:numId w:val="23"/>
        </w:numPr>
        <w:jc w:val="both"/>
        <w:rPr>
          <w:rFonts w:asciiTheme="minorHAnsi" w:hAnsiTheme="minorHAnsi" w:cstheme="minorHAnsi"/>
          <w:b/>
        </w:rPr>
      </w:pPr>
      <w:r w:rsidRPr="00787AB7">
        <w:rPr>
          <w:rFonts w:asciiTheme="minorHAnsi" w:hAnsiTheme="minorHAnsi" w:cstheme="minorHAnsi"/>
          <w:b/>
        </w:rPr>
        <w:t>Forgalmi teljesítményváltozás M3 rekonstrukcióval</w:t>
      </w:r>
    </w:p>
    <w:p w14:paraId="1C97EF3E" w14:textId="77777777" w:rsidR="008739CE" w:rsidRPr="00787AB7" w:rsidRDefault="008739CE" w:rsidP="008739CE">
      <w:pPr>
        <w:pStyle w:val="Listaszerbekezds"/>
        <w:jc w:val="both"/>
        <w:rPr>
          <w:rFonts w:asciiTheme="minorHAnsi" w:hAnsiTheme="minorHAnsi" w:cstheme="minorHAnsi"/>
          <w:b/>
        </w:rPr>
      </w:pPr>
    </w:p>
    <w:p w14:paraId="0BC1ED07" w14:textId="73026034" w:rsidR="00D70771" w:rsidRPr="00874419" w:rsidRDefault="00D70771" w:rsidP="00D70771">
      <w:pPr>
        <w:jc w:val="both"/>
        <w:rPr>
          <w:rFonts w:asciiTheme="minorHAnsi" w:eastAsia="Calibri" w:hAnsiTheme="minorHAnsi" w:cs="Calibri"/>
        </w:rPr>
      </w:pPr>
      <w:bookmarkStart w:id="103" w:name="_Toc493498870"/>
      <w:r w:rsidRPr="00874419">
        <w:rPr>
          <w:rFonts w:asciiTheme="minorHAnsi" w:eastAsia="Calibri" w:hAnsiTheme="minorHAnsi" w:cs="Calibri"/>
        </w:rPr>
        <w:t xml:space="preserve">A BKK Zrt. </w:t>
      </w:r>
      <w:r>
        <w:rPr>
          <w:rFonts w:asciiTheme="minorHAnsi" w:eastAsia="Calibri" w:hAnsiTheme="minorHAnsi" w:cs="Calibri"/>
        </w:rPr>
        <w:t xml:space="preserve">forgalmi </w:t>
      </w:r>
      <w:r w:rsidRPr="00874419">
        <w:rPr>
          <w:rFonts w:asciiTheme="minorHAnsi" w:eastAsia="Calibri" w:hAnsiTheme="minorHAnsi" w:cs="Calibri"/>
        </w:rPr>
        <w:t>teljesítmény megrendelését figyelembe véve került tervezésre a létszám változása</w:t>
      </w:r>
      <w:r>
        <w:rPr>
          <w:rFonts w:asciiTheme="minorHAnsi" w:eastAsia="Calibri" w:hAnsiTheme="minorHAnsi" w:cs="Calibri"/>
        </w:rPr>
        <w:t>,</w:t>
      </w:r>
      <w:r w:rsidRPr="00874419">
        <w:rPr>
          <w:rFonts w:asciiTheme="minorHAnsi" w:eastAsia="Calibri" w:hAnsiTheme="minorHAnsi" w:cs="Calibri"/>
        </w:rPr>
        <w:t xml:space="preserve"> ágazatonként és szakaszonként megbontva. A metró ágazatban a létszámterv figyelembe veszi a rekonstrukció okozta </w:t>
      </w:r>
      <w:r>
        <w:rPr>
          <w:rFonts w:asciiTheme="minorHAnsi" w:eastAsia="Calibri" w:hAnsiTheme="minorHAnsi" w:cs="Calibri"/>
        </w:rPr>
        <w:t xml:space="preserve">forgalmi </w:t>
      </w:r>
      <w:r w:rsidRPr="00874419">
        <w:rPr>
          <w:rFonts w:asciiTheme="minorHAnsi" w:eastAsia="Calibri" w:hAnsiTheme="minorHAnsi" w:cs="Calibri"/>
        </w:rPr>
        <w:t xml:space="preserve">teljesítményváltozás járművezetői és az egyéb forgalmi feladatokkal, a rekonstrukció ideje alatt a csökkentett járműkiadáshoz szükséges karbantartási feladatváltozáshoz kapcsolódó karbantartási és infrastruktúra fenntartási feladatokkal összefüggő létszámcsökkenés hatását. A létszámtervek az M3 rekonstrukcióval összefüggő forgalomtechnológiai, felügyeleti, oktatási, próbaüzemi, szakfelügyeleti stb. feladatok egyedi létszám igényeit is figyelembe véve kerültek meghatározásra. A hatások következtében az összesített metró járművezetői létszámcsökkenés 31,5 fő, </w:t>
      </w:r>
      <w:r w:rsidR="00A51EB8">
        <w:rPr>
          <w:rFonts w:asciiTheme="minorHAnsi" w:eastAsia="Calibri" w:hAnsiTheme="minorHAnsi" w:cs="Calibri"/>
        </w:rPr>
        <w:t xml:space="preserve">az egyéb </w:t>
      </w:r>
      <w:r w:rsidRPr="00874419">
        <w:rPr>
          <w:rFonts w:asciiTheme="minorHAnsi" w:eastAsia="Calibri" w:hAnsiTheme="minorHAnsi" w:cs="Calibri"/>
        </w:rPr>
        <w:t>fizikai létszámcsökkenés 39,1 fő. A villamos ágazatban a megrendelt forgalmi teljesítmények értelmében az M3 rekonstrukció ideje alatt sűrítések várhatók, melynek többlet járművezetői létszámigénye 23 fő.</w:t>
      </w:r>
    </w:p>
    <w:p w14:paraId="29AECE4E" w14:textId="77777777" w:rsidR="00D70771" w:rsidRPr="00874419" w:rsidRDefault="00D70771" w:rsidP="00D70771">
      <w:pPr>
        <w:jc w:val="both"/>
        <w:rPr>
          <w:rFonts w:asciiTheme="minorHAnsi" w:eastAsia="Calibri" w:hAnsiTheme="minorHAnsi" w:cs="Calibri"/>
        </w:rPr>
      </w:pPr>
    </w:p>
    <w:p w14:paraId="322D58FC" w14:textId="77777777" w:rsidR="00D70771" w:rsidRPr="00874419" w:rsidRDefault="00D70771" w:rsidP="00D70771">
      <w:pPr>
        <w:jc w:val="both"/>
        <w:rPr>
          <w:rFonts w:asciiTheme="minorHAnsi" w:eastAsia="Calibri" w:hAnsiTheme="minorHAnsi" w:cs="Calibri"/>
        </w:rPr>
      </w:pPr>
      <w:r w:rsidRPr="00874419">
        <w:rPr>
          <w:rFonts w:asciiTheme="minorHAnsi" w:eastAsia="Calibri" w:hAnsiTheme="minorHAnsi" w:cs="Calibri"/>
        </w:rPr>
        <w:t xml:space="preserve">A BKK Zrt. által megrendelt alapteljesítményhez (vágányzárakat és hálózatfejlesztést is figyelembe véve) szükséges többlet létszámigény a </w:t>
      </w:r>
      <w:r>
        <w:rPr>
          <w:rFonts w:asciiTheme="minorHAnsi" w:eastAsia="Calibri" w:hAnsiTheme="minorHAnsi" w:cs="Calibri"/>
        </w:rPr>
        <w:t>tény</w:t>
      </w:r>
      <w:r w:rsidRPr="00874419">
        <w:rPr>
          <w:rFonts w:asciiTheme="minorHAnsi" w:eastAsia="Calibri" w:hAnsiTheme="minorHAnsi" w:cs="Calibri"/>
        </w:rPr>
        <w:t xml:space="preserve"> létszámhoz képest a villamos ágazatban és metró ágazatban 71,6 fő átlagosan.</w:t>
      </w:r>
    </w:p>
    <w:p w14:paraId="30E12B04" w14:textId="77777777" w:rsidR="00213A10" w:rsidRPr="0056690E" w:rsidRDefault="00213A10">
      <w:pPr>
        <w:rPr>
          <w:rFonts w:ascii="Calibri" w:eastAsia="Calibri" w:hAnsi="Calibri" w:cs="Calibri"/>
          <w:color w:val="FF0000"/>
          <w:lang w:eastAsia="en-US"/>
        </w:rPr>
      </w:pPr>
      <w:r w:rsidRPr="0056690E">
        <w:rPr>
          <w:rFonts w:ascii="Calibri" w:eastAsia="Calibri" w:hAnsi="Calibri" w:cs="Calibri"/>
          <w:color w:val="FF0000"/>
          <w:lang w:eastAsia="en-US"/>
        </w:rPr>
        <w:br w:type="page"/>
      </w:r>
    </w:p>
    <w:bookmarkEnd w:id="103"/>
    <w:p w14:paraId="493BF3A5" w14:textId="77777777" w:rsidR="00AC71CA" w:rsidRPr="00787AB7" w:rsidRDefault="009A1A77" w:rsidP="00AC71CA">
      <w:pPr>
        <w:pStyle w:val="Listaszerbekezds"/>
        <w:numPr>
          <w:ilvl w:val="0"/>
          <w:numId w:val="23"/>
        </w:numPr>
        <w:jc w:val="both"/>
        <w:rPr>
          <w:rFonts w:asciiTheme="minorHAnsi" w:hAnsiTheme="minorHAnsi" w:cstheme="minorHAnsi"/>
          <w:b/>
        </w:rPr>
      </w:pPr>
      <w:r w:rsidRPr="00787AB7">
        <w:rPr>
          <w:rFonts w:asciiTheme="minorHAnsi" w:hAnsiTheme="minorHAnsi" w:cstheme="minorHAnsi"/>
          <w:b/>
        </w:rPr>
        <w:lastRenderedPageBreak/>
        <w:t>Metró és villamos üzemeltetéshez kapcsolódó jármű és infrastruktúra eszközállomány változás üzemeltetési hatása</w:t>
      </w:r>
    </w:p>
    <w:p w14:paraId="1BFEEDD1" w14:textId="77777777" w:rsidR="006D085D" w:rsidRPr="00787AB7" w:rsidRDefault="006D085D" w:rsidP="006D085D">
      <w:pPr>
        <w:jc w:val="both"/>
        <w:rPr>
          <w:rFonts w:asciiTheme="minorHAnsi" w:hAnsiTheme="minorHAnsi" w:cstheme="minorHAnsi"/>
          <w:b/>
        </w:rPr>
      </w:pPr>
    </w:p>
    <w:p w14:paraId="1DF61B7B" w14:textId="77777777" w:rsidR="00225BEA" w:rsidRPr="00312D13" w:rsidRDefault="00225BEA" w:rsidP="00225BEA">
      <w:pPr>
        <w:jc w:val="both"/>
        <w:rPr>
          <w:rFonts w:asciiTheme="minorHAnsi" w:eastAsia="Calibri" w:hAnsiTheme="minorHAnsi" w:cs="Calibri"/>
        </w:rPr>
      </w:pPr>
      <w:bookmarkStart w:id="104" w:name="_Toc493498871"/>
      <w:r w:rsidRPr="00312D13">
        <w:rPr>
          <w:rFonts w:asciiTheme="minorHAnsi" w:eastAsia="Calibri" w:hAnsiTheme="minorHAnsi" w:cs="Calibri"/>
        </w:rPr>
        <w:t>Az M3 felújított orosz jármű karbantartási létszámigénye 16 fő. Az orosz metró járművek felújítása 2016. év végétől folyik, az ütemezéseknek megfelelően 2018. év második felére befejeződik a program.</w:t>
      </w:r>
    </w:p>
    <w:p w14:paraId="05890C23" w14:textId="77777777" w:rsidR="00225BEA" w:rsidRPr="00312D13" w:rsidRDefault="00225BEA" w:rsidP="00225BEA">
      <w:pPr>
        <w:jc w:val="both"/>
        <w:rPr>
          <w:rFonts w:asciiTheme="minorHAnsi" w:eastAsia="Calibri" w:hAnsiTheme="minorHAnsi" w:cs="Calibri"/>
        </w:rPr>
      </w:pPr>
      <w:r w:rsidRPr="00312D13">
        <w:rPr>
          <w:rFonts w:asciiTheme="minorHAnsi" w:eastAsia="Calibri" w:hAnsiTheme="minorHAnsi" w:cs="Calibri"/>
        </w:rPr>
        <w:t>Az M3 hibakereső/javító/QCP teszt csoport létszám igénye 6,6 fő. Az Alstom járműveknél felmerült műszaki tapasztalatokat figyelembe véve a QCP teszt feladatokat végző műszaki csoport munkájával támogatja és elősegíti a garanciális munkák elvégzését. A feladat új tevékenységként jelentkezik.</w:t>
      </w:r>
    </w:p>
    <w:p w14:paraId="75A35502" w14:textId="77777777" w:rsidR="00225BEA" w:rsidRPr="00312D13" w:rsidRDefault="00225BEA" w:rsidP="00225BEA">
      <w:pPr>
        <w:jc w:val="both"/>
        <w:rPr>
          <w:rFonts w:asciiTheme="minorHAnsi" w:eastAsia="Calibri" w:hAnsiTheme="minorHAnsi" w:cs="Calibri"/>
        </w:rPr>
      </w:pPr>
      <w:r w:rsidRPr="00312D13">
        <w:rPr>
          <w:rFonts w:asciiTheme="minorHAnsi" w:eastAsia="Calibri" w:hAnsiTheme="minorHAnsi" w:cs="Calibri"/>
        </w:rPr>
        <w:t>Az M3 rekonstrukció során a hírközlési berendezések száma (kamerák például) jelentősen meg fog emelkedni, a kapcsolódó üzemeltetési és felügyeleti új feladatok létszámigénye 3,3 fő.</w:t>
      </w:r>
    </w:p>
    <w:p w14:paraId="160113B5" w14:textId="77777777" w:rsidR="00225BEA" w:rsidRPr="00312D13" w:rsidRDefault="00225BEA" w:rsidP="00225BEA">
      <w:pPr>
        <w:jc w:val="both"/>
        <w:rPr>
          <w:rFonts w:asciiTheme="minorHAnsi" w:eastAsia="Calibri" w:hAnsiTheme="minorHAnsi" w:cs="Calibri"/>
        </w:rPr>
      </w:pPr>
      <w:r w:rsidRPr="00312D13">
        <w:rPr>
          <w:rFonts w:asciiTheme="minorHAnsi" w:eastAsia="Calibri" w:hAnsiTheme="minorHAnsi" w:cs="Calibri"/>
        </w:rPr>
        <w:t>A járműfedélzeti vonatbefolyásoló ATC berendezés esetében a lejáró Siemens garancia miatt az üzemeltetési és karbantartási feladatok saját hatáskörben történő elvégzéséhez szükséges létszámfedezet 5 főben került meghatározásra.</w:t>
      </w:r>
    </w:p>
    <w:p w14:paraId="425DC279" w14:textId="3D31B2BC" w:rsidR="00225BEA" w:rsidRPr="00312D13" w:rsidRDefault="00225BEA" w:rsidP="00225BEA">
      <w:pPr>
        <w:jc w:val="both"/>
        <w:rPr>
          <w:rFonts w:asciiTheme="minorHAnsi" w:eastAsia="Calibri" w:hAnsiTheme="minorHAnsi" w:cs="Calibri"/>
        </w:rPr>
      </w:pPr>
      <w:r w:rsidRPr="00312D13">
        <w:rPr>
          <w:rFonts w:asciiTheme="minorHAnsi" w:eastAsia="Calibri" w:hAnsiTheme="minorHAnsi" w:cs="Calibri"/>
        </w:rPr>
        <w:t>Az M1 (MILLFAV) vonal utas</w:t>
      </w:r>
      <w:r w:rsidR="00A51EB8">
        <w:rPr>
          <w:rFonts w:asciiTheme="minorHAnsi" w:eastAsia="Calibri" w:hAnsiTheme="minorHAnsi" w:cs="Calibri"/>
        </w:rPr>
        <w:t xml:space="preserve"> </w:t>
      </w:r>
      <w:r w:rsidRPr="00312D13">
        <w:rPr>
          <w:rFonts w:asciiTheme="minorHAnsi" w:eastAsia="Calibri" w:hAnsiTheme="minorHAnsi" w:cs="Calibri"/>
        </w:rPr>
        <w:t>kihasználtság szempontjából Budapest kiemelt (elsősorban turisztikai célú) közösségi közlekedési vonala, melyre magas utasszám jellemző. A vonal utasforgalmi és biztonsági üzemeltetésének maradéktalan elvégzéséhez, a vonalon bekövetkező utasforgalmi zavarokat eredményező műszaki meghibásodások, problémák gyors, hatékony és maradéktalan elhárításához 4 fő műszaki ügyeletes munkavállaló alkalmazása szükséges.</w:t>
      </w:r>
    </w:p>
    <w:p w14:paraId="21FA6CE2" w14:textId="77777777" w:rsidR="00225BEA" w:rsidRPr="00312D13" w:rsidRDefault="00225BEA" w:rsidP="00225BEA">
      <w:pPr>
        <w:jc w:val="both"/>
        <w:rPr>
          <w:rFonts w:asciiTheme="minorHAnsi" w:eastAsia="Calibri" w:hAnsiTheme="minorHAnsi" w:cs="Calibri"/>
        </w:rPr>
      </w:pPr>
      <w:r w:rsidRPr="00312D13">
        <w:rPr>
          <w:rFonts w:asciiTheme="minorHAnsi" w:eastAsia="Calibri" w:hAnsiTheme="minorHAnsi" w:cs="Calibri"/>
        </w:rPr>
        <w:t>A CAF és Combino villamosok, valamint egyéb (beruházások során újonnan telepített, nagyobb darabszámú) vonali helyekre telepített és kiépítésre került kamerarendszerek képeinek hatósági kezelése, üzemeltetése többlet tevékenységként jelentkezik, melynek létszám hatása 2 fő.</w:t>
      </w:r>
    </w:p>
    <w:p w14:paraId="1F2FD42C" w14:textId="77777777" w:rsidR="00225BEA" w:rsidRPr="00312D13" w:rsidRDefault="00225BEA" w:rsidP="00225BEA">
      <w:pPr>
        <w:jc w:val="both"/>
        <w:rPr>
          <w:rFonts w:asciiTheme="minorHAnsi" w:eastAsia="Calibri" w:hAnsiTheme="minorHAnsi" w:cs="Calibri"/>
        </w:rPr>
      </w:pPr>
      <w:r w:rsidRPr="00312D13">
        <w:rPr>
          <w:rFonts w:asciiTheme="minorHAnsi" w:eastAsia="Calibri" w:hAnsiTheme="minorHAnsi" w:cs="Calibri"/>
        </w:rPr>
        <w:t>A villamos járművezetők képzéséhez szükséges vasútszakmai oktatói létszám többlet 4 főben került meghatározásra.</w:t>
      </w:r>
    </w:p>
    <w:p w14:paraId="74B5E785" w14:textId="77777777" w:rsidR="00292ACF" w:rsidRPr="00787AB7" w:rsidRDefault="00292ACF" w:rsidP="008E2823">
      <w:pPr>
        <w:jc w:val="both"/>
        <w:rPr>
          <w:rFonts w:asciiTheme="minorHAnsi" w:eastAsia="Calibri" w:hAnsiTheme="minorHAnsi" w:cs="Calibri"/>
        </w:rPr>
      </w:pPr>
    </w:p>
    <w:bookmarkEnd w:id="104"/>
    <w:p w14:paraId="017FC07F" w14:textId="77777777" w:rsidR="00DD70A2" w:rsidRPr="00787AB7" w:rsidRDefault="009A1A77" w:rsidP="00106B84">
      <w:pPr>
        <w:pStyle w:val="Listaszerbekezds"/>
        <w:numPr>
          <w:ilvl w:val="0"/>
          <w:numId w:val="23"/>
        </w:numPr>
        <w:jc w:val="both"/>
        <w:rPr>
          <w:rFonts w:asciiTheme="minorHAnsi" w:hAnsiTheme="minorHAnsi" w:cstheme="minorHAnsi"/>
          <w:b/>
        </w:rPr>
      </w:pPr>
      <w:r w:rsidRPr="00787AB7">
        <w:rPr>
          <w:rFonts w:asciiTheme="minorHAnsi" w:hAnsiTheme="minorHAnsi" w:cstheme="minorHAnsi"/>
          <w:b/>
        </w:rPr>
        <w:t>Sínhegesztési tevékenység insource</w:t>
      </w:r>
    </w:p>
    <w:p w14:paraId="1D088043" w14:textId="77777777" w:rsidR="006D085D" w:rsidRPr="00787AB7" w:rsidRDefault="006D085D" w:rsidP="006D085D">
      <w:pPr>
        <w:jc w:val="both"/>
        <w:rPr>
          <w:rFonts w:asciiTheme="minorHAnsi" w:hAnsiTheme="minorHAnsi" w:cstheme="minorHAnsi"/>
          <w:b/>
        </w:rPr>
      </w:pPr>
    </w:p>
    <w:p w14:paraId="6A2D3FB0" w14:textId="6F9DAA5C" w:rsidR="00D6275D" w:rsidRPr="00312D13" w:rsidRDefault="00D6275D" w:rsidP="00D6275D">
      <w:pPr>
        <w:jc w:val="both"/>
        <w:rPr>
          <w:rFonts w:asciiTheme="minorHAnsi" w:eastAsia="Calibri" w:hAnsiTheme="minorHAnsi" w:cs="Calibri"/>
        </w:rPr>
      </w:pPr>
      <w:bookmarkStart w:id="105" w:name="_Toc493498873"/>
      <w:r w:rsidRPr="00312D13">
        <w:rPr>
          <w:rFonts w:asciiTheme="minorHAnsi" w:eastAsia="Calibri" w:hAnsiTheme="minorHAnsi" w:cs="Calibri"/>
        </w:rPr>
        <w:t xml:space="preserve">A BKV Zrt. 2017. szeptember 25-i </w:t>
      </w:r>
      <w:r w:rsidR="00002BBE" w:rsidRPr="00312D13">
        <w:rPr>
          <w:rFonts w:asciiTheme="minorHAnsi" w:eastAsia="Calibri" w:hAnsiTheme="minorHAnsi" w:cs="Calibri"/>
        </w:rPr>
        <w:t xml:space="preserve">igazgatósági </w:t>
      </w:r>
      <w:r w:rsidRPr="00312D13">
        <w:rPr>
          <w:rFonts w:asciiTheme="minorHAnsi" w:eastAsia="Calibri" w:hAnsiTheme="minorHAnsi" w:cs="Calibri"/>
        </w:rPr>
        <w:t>döntésének megfelelően, a hatékonysági elvárások alapján, az eddig külső féltől szolgáltatásban igénybe vett sínhegesztési tevékenység saját hatáskörbe történő átvétele 2018. évben tervezett. A tevékenység saját hatáskörben történő ellátásának éves átlagos létszámigénye 5 fő, mely az igénybevett szolgáltatások költségét a személy jellegű ráfordítások emelkedésénél nagyobb mértékben csökkenti.</w:t>
      </w:r>
    </w:p>
    <w:p w14:paraId="1485F66D" w14:textId="77777777" w:rsidR="006D085D" w:rsidRPr="00787AB7" w:rsidRDefault="006D085D" w:rsidP="00BB4B86">
      <w:pPr>
        <w:jc w:val="both"/>
        <w:rPr>
          <w:rFonts w:asciiTheme="minorHAnsi" w:hAnsiTheme="minorHAnsi" w:cstheme="minorHAnsi"/>
          <w:b/>
        </w:rPr>
      </w:pPr>
    </w:p>
    <w:bookmarkEnd w:id="105"/>
    <w:p w14:paraId="724B7BE7" w14:textId="77777777" w:rsidR="006D085D" w:rsidRPr="00787AB7" w:rsidRDefault="009A1A77" w:rsidP="006D085D">
      <w:pPr>
        <w:pStyle w:val="Listaszerbekezds"/>
        <w:numPr>
          <w:ilvl w:val="0"/>
          <w:numId w:val="23"/>
        </w:numPr>
        <w:jc w:val="both"/>
        <w:rPr>
          <w:rFonts w:asciiTheme="minorHAnsi" w:hAnsiTheme="minorHAnsi" w:cstheme="minorHAnsi"/>
          <w:b/>
        </w:rPr>
      </w:pPr>
      <w:r w:rsidRPr="00787AB7">
        <w:rPr>
          <w:rFonts w:asciiTheme="minorHAnsi" w:hAnsiTheme="minorHAnsi" w:cstheme="minorHAnsi"/>
          <w:b/>
        </w:rPr>
        <w:t>CAF villamos járművek üzemeltetése – mérnök felvétel</w:t>
      </w:r>
    </w:p>
    <w:p w14:paraId="54DD319F" w14:textId="77777777" w:rsidR="006D085D" w:rsidRPr="00787AB7" w:rsidRDefault="006D085D" w:rsidP="00411D9D">
      <w:pPr>
        <w:jc w:val="both"/>
        <w:rPr>
          <w:rFonts w:asciiTheme="minorHAnsi" w:hAnsiTheme="minorHAnsi" w:cstheme="minorHAnsi"/>
          <w:b/>
        </w:rPr>
      </w:pPr>
    </w:p>
    <w:p w14:paraId="44C57F65" w14:textId="7E3AD66B" w:rsidR="00D6275D" w:rsidRDefault="00D6275D" w:rsidP="00D6275D">
      <w:pPr>
        <w:jc w:val="both"/>
        <w:rPr>
          <w:rFonts w:asciiTheme="minorHAnsi" w:eastAsia="Calibri" w:hAnsiTheme="minorHAnsi" w:cs="Calibri"/>
        </w:rPr>
      </w:pPr>
      <w:r w:rsidRPr="00312D13">
        <w:rPr>
          <w:rFonts w:asciiTheme="minorHAnsi" w:eastAsia="Calibri" w:hAnsiTheme="minorHAnsi" w:cs="Calibri"/>
        </w:rPr>
        <w:t xml:space="preserve">A CAF járművek karbantartásának saját hatáskörben történő ellátása olyan technológiai és </w:t>
      </w:r>
      <w:r w:rsidRPr="00874419">
        <w:rPr>
          <w:rFonts w:asciiTheme="minorHAnsi" w:eastAsia="Calibri" w:hAnsiTheme="minorHAnsi" w:cs="Calibri"/>
        </w:rPr>
        <w:t>műszaki feladatok elvégzését jelenti, melyhez képzett mérnökök is szükségesek. A CAF villamosok karbantartása jelenleg a tulajdonos BKK Zrt. és a CAF közötti szolgáltatási szerződésen keresztül kerül megvalósításra. A járművek üzemeltetésére a BKV Zrt. és</w:t>
      </w:r>
      <w:r w:rsidRPr="00874419">
        <w:rPr>
          <w:rFonts w:asciiTheme="minorHAnsi" w:eastAsia="Calibri" w:hAnsiTheme="minorHAnsi" w:cs="Calibri"/>
        </w:rPr>
        <w:br/>
        <w:t xml:space="preserve">BKK Zrt. által kötött Üzemeltetési megállapodásban rögzítésre került, hogy a garanciális és külső </w:t>
      </w:r>
      <w:r>
        <w:rPr>
          <w:rFonts w:asciiTheme="minorHAnsi" w:eastAsia="Calibri" w:hAnsiTheme="minorHAnsi" w:cs="Calibri"/>
        </w:rPr>
        <w:t xml:space="preserve">szolgáltatásban igénybe vett </w:t>
      </w:r>
      <w:r w:rsidRPr="00874419">
        <w:rPr>
          <w:rFonts w:asciiTheme="minorHAnsi" w:eastAsia="Calibri" w:hAnsiTheme="minorHAnsi" w:cs="Calibri"/>
        </w:rPr>
        <w:t xml:space="preserve">karbantartás lejártával az üzemeltetésen túl a járművek fenntartását is a BKV Zrt. szakemberei fogják ellátni. A jövőbeli, 2019. évtől kezdődő BKV hatáskörű karbantartás elvégzéséhez szükségesek olyan előkészületek, melynek során </w:t>
      </w:r>
      <w:r w:rsidRPr="00874419">
        <w:rPr>
          <w:rFonts w:asciiTheme="minorHAnsi" w:eastAsia="Calibri" w:hAnsiTheme="minorHAnsi" w:cs="Calibri"/>
        </w:rPr>
        <w:lastRenderedPageBreak/>
        <w:t>képzett munkaerő felvételével a szaktudást, gyakorlati és helyismereteket, a járművek megismerését, a garanciális időszak alatti jármű hibákat a mérnökök a karbantartás indulásáig teljeskörűen megismerik. Ennek létszám igénye 3 fő.</w:t>
      </w:r>
    </w:p>
    <w:p w14:paraId="67B52F57" w14:textId="77777777" w:rsidR="00D6275D" w:rsidRPr="00F07EFC" w:rsidRDefault="00D6275D" w:rsidP="00D6275D">
      <w:pPr>
        <w:pStyle w:val="Listaszerbekezds"/>
        <w:jc w:val="both"/>
        <w:rPr>
          <w:rFonts w:asciiTheme="minorHAnsi" w:hAnsiTheme="minorHAnsi" w:cstheme="minorHAnsi"/>
          <w:b/>
        </w:rPr>
      </w:pPr>
    </w:p>
    <w:p w14:paraId="2CE5FACB" w14:textId="36A2BC46" w:rsidR="00D6275D" w:rsidRPr="00874419" w:rsidRDefault="00D6275D" w:rsidP="00D6275D">
      <w:pPr>
        <w:jc w:val="both"/>
        <w:rPr>
          <w:rFonts w:asciiTheme="minorHAnsi" w:eastAsia="Calibri" w:hAnsiTheme="minorHAnsi" w:cs="Calibri"/>
        </w:rPr>
      </w:pPr>
      <w:r w:rsidRPr="00874419">
        <w:rPr>
          <w:rFonts w:asciiTheme="minorHAnsi" w:eastAsia="Calibri" w:hAnsiTheme="minorHAnsi" w:cs="Calibri"/>
        </w:rPr>
        <w:t xml:space="preserve">Az évközi fluktuáció a vasúti ágazatokban </w:t>
      </w:r>
      <w:r>
        <w:rPr>
          <w:rFonts w:asciiTheme="minorHAnsi" w:eastAsia="Calibri" w:hAnsiTheme="minorHAnsi" w:cs="Calibri"/>
        </w:rPr>
        <w:t xml:space="preserve">is </w:t>
      </w:r>
      <w:r w:rsidRPr="00874419">
        <w:rPr>
          <w:rFonts w:asciiTheme="minorHAnsi" w:eastAsia="Calibri" w:hAnsiTheme="minorHAnsi" w:cs="Calibri"/>
        </w:rPr>
        <w:t>igen magas. A hazai munkaerő piaci helyzetben</w:t>
      </w:r>
      <w:r w:rsidR="00A51EB8">
        <w:rPr>
          <w:rFonts w:asciiTheme="minorHAnsi" w:eastAsia="Calibri" w:hAnsiTheme="minorHAnsi" w:cs="Calibri"/>
        </w:rPr>
        <w:t>,</w:t>
      </w:r>
      <w:r w:rsidRPr="00874419">
        <w:rPr>
          <w:rFonts w:asciiTheme="minorHAnsi" w:eastAsia="Calibri" w:hAnsiTheme="minorHAnsi" w:cs="Calibri"/>
        </w:rPr>
        <w:t xml:space="preserve"> több munkakörben a kieső létszámot azonnal nem lehet pótolni. Ezen felül több olyan vasúti munkakörben foglalkoztatunk munkavállalókat, melyek a vasúti szabályozások miatt különféle képzésekkel, hatósági vizsgák letételével tölthetők be. Emiatt évközi létszámhiány mellett történik a foglalkoztatás, azonban a tervezett létszámra szükség van.</w:t>
      </w:r>
      <w:r w:rsidRPr="00874419">
        <w:rPr>
          <w:rFonts w:asciiTheme="minorHAnsi" w:eastAsia="Calibri" w:hAnsiTheme="minorHAnsi" w:cs="Calibri"/>
        </w:rPr>
        <w:br/>
        <w:t xml:space="preserve">A létszámfeltöltés igénye összesen </w:t>
      </w:r>
      <w:r>
        <w:rPr>
          <w:rFonts w:asciiTheme="minorHAnsi" w:eastAsia="Calibri" w:hAnsiTheme="minorHAnsi" w:cs="Calibri"/>
        </w:rPr>
        <w:t xml:space="preserve">135,8 </w:t>
      </w:r>
      <w:r w:rsidRPr="00874419">
        <w:rPr>
          <w:rFonts w:asciiTheme="minorHAnsi" w:eastAsia="Calibri" w:hAnsiTheme="minorHAnsi" w:cs="Calibri"/>
        </w:rPr>
        <w:t>fő átlagosan (</w:t>
      </w:r>
      <w:r>
        <w:rPr>
          <w:rFonts w:asciiTheme="minorHAnsi" w:eastAsia="Calibri" w:hAnsiTheme="minorHAnsi" w:cs="Calibri"/>
        </w:rPr>
        <w:t xml:space="preserve">66,2 </w:t>
      </w:r>
      <w:r w:rsidRPr="00874419">
        <w:rPr>
          <w:rFonts w:asciiTheme="minorHAnsi" w:eastAsia="Calibri" w:hAnsiTheme="minorHAnsi" w:cs="Calibri"/>
        </w:rPr>
        <w:t xml:space="preserve">fő járművezető és </w:t>
      </w:r>
      <w:r>
        <w:rPr>
          <w:rFonts w:asciiTheme="minorHAnsi" w:eastAsia="Calibri" w:hAnsiTheme="minorHAnsi" w:cs="Calibri"/>
        </w:rPr>
        <w:t xml:space="preserve">69,6 </w:t>
      </w:r>
      <w:r w:rsidRPr="00874419">
        <w:rPr>
          <w:rFonts w:asciiTheme="minorHAnsi" w:eastAsia="Calibri" w:hAnsiTheme="minorHAnsi" w:cs="Calibri"/>
        </w:rPr>
        <w:t>fő egyéb állományú munkavállaló).</w:t>
      </w:r>
    </w:p>
    <w:p w14:paraId="29E9BCDC" w14:textId="77777777" w:rsidR="00DD70A2" w:rsidRPr="00787AB7" w:rsidRDefault="00DD70A2" w:rsidP="00DD70A2">
      <w:pPr>
        <w:spacing w:after="120" w:line="276" w:lineRule="auto"/>
        <w:jc w:val="both"/>
        <w:rPr>
          <w:rFonts w:ascii="Calibri" w:eastAsia="Calibri" w:hAnsi="Calibri" w:cs="Calibri"/>
          <w:lang w:eastAsia="en-US"/>
        </w:rPr>
      </w:pPr>
    </w:p>
    <w:p w14:paraId="06FF161F" w14:textId="77777777" w:rsidR="00DD70A2" w:rsidRPr="00787AB7" w:rsidRDefault="009A1A77" w:rsidP="00106B84">
      <w:pPr>
        <w:numPr>
          <w:ilvl w:val="0"/>
          <w:numId w:val="22"/>
        </w:numPr>
        <w:spacing w:after="200" w:line="276" w:lineRule="auto"/>
        <w:ind w:left="709"/>
        <w:contextualSpacing/>
        <w:jc w:val="both"/>
        <w:rPr>
          <w:rFonts w:ascii="Calibri" w:eastAsia="Calibri" w:hAnsi="Calibri" w:cs="Calibri"/>
          <w:b/>
          <w:lang w:eastAsia="en-US"/>
        </w:rPr>
      </w:pPr>
      <w:r w:rsidRPr="00787AB7">
        <w:rPr>
          <w:rFonts w:ascii="Calibri" w:eastAsia="Calibri" w:hAnsi="Calibri" w:cs="Calibri"/>
          <w:b/>
          <w:lang w:eastAsia="en-US"/>
        </w:rPr>
        <w:t>Az Autóbusz és Trolibusz Üzemeltetési Igazgatóság</w:t>
      </w:r>
    </w:p>
    <w:p w14:paraId="030060B5" w14:textId="77777777" w:rsidR="007F5724" w:rsidRPr="00787AB7" w:rsidRDefault="007F5724" w:rsidP="00411D9D">
      <w:pPr>
        <w:spacing w:after="200" w:line="276" w:lineRule="auto"/>
        <w:ind w:left="-11"/>
        <w:contextualSpacing/>
        <w:jc w:val="both"/>
        <w:rPr>
          <w:rFonts w:ascii="Calibri" w:eastAsia="Calibri" w:hAnsi="Calibri" w:cs="Calibri"/>
          <w:lang w:eastAsia="en-US"/>
        </w:rPr>
      </w:pPr>
    </w:p>
    <w:p w14:paraId="408AB122" w14:textId="2504C56C" w:rsidR="00731DC9" w:rsidRPr="00874419" w:rsidRDefault="00731DC9" w:rsidP="00731DC9">
      <w:pPr>
        <w:jc w:val="both"/>
        <w:rPr>
          <w:rFonts w:asciiTheme="minorHAnsi" w:eastAsia="Calibri" w:hAnsiTheme="minorHAnsi" w:cs="Calibri"/>
        </w:rPr>
      </w:pPr>
      <w:r w:rsidRPr="00874419">
        <w:rPr>
          <w:rFonts w:asciiTheme="minorHAnsi" w:eastAsia="Calibri" w:hAnsiTheme="minorHAnsi" w:cs="Calibri"/>
        </w:rPr>
        <w:t>A 2018. évi M3 metrópótlás humánerőforrás szükségletének biztosítása kiemelt feladatként jelenik meg a tervezési időszakban. Mind a járművezetők, mind a koros járműállomány karbantartását végző egyéb fizikai állomány esetében kijelenthető, hogy a munkaerőpiac korlátai miatt kiemelt kockázatot jelent a szükséges létszám biztosítása. A metrópótlás legmagasabb teljesítményű időszakában a</w:t>
      </w:r>
      <w:r>
        <w:rPr>
          <w:rFonts w:asciiTheme="minorHAnsi" w:eastAsia="Calibri" w:hAnsiTheme="minorHAnsi" w:cs="Calibri"/>
        </w:rPr>
        <w:t xml:space="preserve"> jelenlegi állománynál közel 250</w:t>
      </w:r>
      <w:r w:rsidRPr="00874419">
        <w:rPr>
          <w:rFonts w:asciiTheme="minorHAnsi" w:eastAsia="Calibri" w:hAnsiTheme="minorHAnsi" w:cs="Calibri"/>
        </w:rPr>
        <w:t xml:space="preserve"> fővel több járművezetőre lenne szükség. A létszám ilyen mértékű növelése nem reális célkitűzés</w:t>
      </w:r>
      <w:r w:rsidR="00DE79AB">
        <w:rPr>
          <w:rFonts w:asciiTheme="minorHAnsi" w:eastAsia="Calibri" w:hAnsiTheme="minorHAnsi" w:cs="Calibri"/>
        </w:rPr>
        <w:t xml:space="preserve"> </w:t>
      </w:r>
      <w:r w:rsidRPr="00874419">
        <w:rPr>
          <w:rFonts w:asciiTheme="minorHAnsi" w:eastAsia="Calibri" w:hAnsiTheme="minorHAnsi" w:cs="Calibri"/>
        </w:rPr>
        <w:t xml:space="preserve">2018. első félévének végéig. Ebből adódóan a túlórák további emelkedése és az elvont pihenőnapok arányának növekedése prognosztizálható </w:t>
      </w:r>
      <w:r w:rsidR="00002BBE">
        <w:rPr>
          <w:rFonts w:asciiTheme="minorHAnsi" w:eastAsia="Calibri" w:hAnsiTheme="minorHAnsi" w:cs="Calibri"/>
        </w:rPr>
        <w:t xml:space="preserve">a </w:t>
      </w:r>
      <w:r w:rsidRPr="00874419">
        <w:rPr>
          <w:rFonts w:asciiTheme="minorHAnsi" w:eastAsia="Calibri" w:hAnsiTheme="minorHAnsi" w:cs="Calibri"/>
        </w:rPr>
        <w:t>2018. évben, mivel a járművezetői létszámhiány az M3-as metró pótlási tevékenysége során fog tetőzni.</w:t>
      </w:r>
    </w:p>
    <w:p w14:paraId="23BA33BB" w14:textId="77777777" w:rsidR="00731DC9" w:rsidRPr="00F07EFC" w:rsidRDefault="00731DC9" w:rsidP="00731DC9">
      <w:pPr>
        <w:jc w:val="both"/>
        <w:rPr>
          <w:rFonts w:ascii="Calibri" w:eastAsia="Calibri" w:hAnsi="Calibri" w:cs="Calibri"/>
          <w:lang w:eastAsia="en-US"/>
        </w:rPr>
      </w:pPr>
    </w:p>
    <w:p w14:paraId="395F5743" w14:textId="77777777" w:rsidR="00731DC9" w:rsidRDefault="00731DC9" w:rsidP="00731DC9">
      <w:pPr>
        <w:jc w:val="both"/>
        <w:rPr>
          <w:rFonts w:asciiTheme="minorHAnsi" w:eastAsia="Calibri" w:hAnsiTheme="minorHAnsi" w:cs="Calibri"/>
        </w:rPr>
      </w:pPr>
      <w:r w:rsidRPr="00874419">
        <w:rPr>
          <w:rFonts w:asciiTheme="minorHAnsi" w:eastAsia="Calibri" w:hAnsiTheme="minorHAnsi" w:cs="Calibri"/>
        </w:rPr>
        <w:t xml:space="preserve">A BKV Zrt. a létszámhiány kezelése és a számottevő fluktuáció hatásainak semlegesítése érdekében törekszik a járművezetők folyamatos képzésére és felvételére. Ennek érdekében több akció/program elindult, illetve folytatódik </w:t>
      </w:r>
      <w:r w:rsidR="00002BBE">
        <w:rPr>
          <w:rFonts w:asciiTheme="minorHAnsi" w:eastAsia="Calibri" w:hAnsiTheme="minorHAnsi" w:cs="Calibri"/>
        </w:rPr>
        <w:t xml:space="preserve">a </w:t>
      </w:r>
      <w:r w:rsidRPr="00874419">
        <w:rPr>
          <w:rFonts w:asciiTheme="minorHAnsi" w:eastAsia="Calibri" w:hAnsiTheme="minorHAnsi" w:cs="Calibri"/>
        </w:rPr>
        <w:t>2018. évben is.</w:t>
      </w:r>
    </w:p>
    <w:p w14:paraId="19A38660" w14:textId="77777777" w:rsidR="00731DC9" w:rsidRPr="00874419" w:rsidRDefault="00731DC9" w:rsidP="00731DC9">
      <w:pPr>
        <w:jc w:val="both"/>
        <w:rPr>
          <w:rFonts w:asciiTheme="minorHAnsi" w:eastAsia="Calibri" w:hAnsiTheme="minorHAnsi" w:cs="Calibri"/>
        </w:rPr>
      </w:pPr>
    </w:p>
    <w:p w14:paraId="3166CCF8" w14:textId="77777777" w:rsidR="00731DC9" w:rsidRDefault="00731DC9" w:rsidP="00731DC9">
      <w:pPr>
        <w:jc w:val="both"/>
        <w:rPr>
          <w:rFonts w:asciiTheme="minorHAnsi" w:eastAsia="Calibri" w:hAnsiTheme="minorHAnsi" w:cs="Calibri"/>
        </w:rPr>
      </w:pPr>
      <w:r w:rsidRPr="00874419">
        <w:rPr>
          <w:rFonts w:asciiTheme="minorHAnsi" w:eastAsia="Calibri" w:hAnsiTheme="minorHAnsi" w:cs="Calibri"/>
        </w:rPr>
        <w:t>Intenzív hirdetési kampány keretében álláshirdetések jelennek meg a járműveken, a nyomtatott és elektronikus médiában. Szoros a kapcsolat az OFA-val és a Munkaügyi Központokkal, munkaerő-közvetítő céget vontunk be a munkaerő felkutatásába, és belső ajánlási rendszert működtetünk.</w:t>
      </w:r>
    </w:p>
    <w:p w14:paraId="4FD2137E" w14:textId="77777777" w:rsidR="00731DC9" w:rsidRPr="00874419" w:rsidRDefault="00731DC9" w:rsidP="00731DC9">
      <w:pPr>
        <w:jc w:val="both"/>
        <w:rPr>
          <w:rFonts w:asciiTheme="minorHAnsi" w:eastAsia="Calibri" w:hAnsiTheme="minorHAnsi" w:cs="Calibri"/>
        </w:rPr>
      </w:pPr>
    </w:p>
    <w:p w14:paraId="4942BAF7" w14:textId="77777777" w:rsidR="00731DC9" w:rsidRDefault="00731DC9" w:rsidP="00731DC9">
      <w:pPr>
        <w:jc w:val="both"/>
        <w:rPr>
          <w:rFonts w:asciiTheme="minorHAnsi" w:eastAsia="Calibri" w:hAnsiTheme="minorHAnsi" w:cs="Calibri"/>
        </w:rPr>
      </w:pPr>
      <w:r w:rsidRPr="00874419">
        <w:rPr>
          <w:rFonts w:asciiTheme="minorHAnsi" w:eastAsia="Calibri" w:hAnsiTheme="minorHAnsi" w:cs="Calibri"/>
        </w:rPr>
        <w:t>A munkáltatói oldal elköteleződött a munkakörülmények javításában is, ezért vizsgáljuk a pihenőidők növelésének lehetőségét, tervezzük a járművezetői munkakörnyezet (vezetőfülke és tartózkodók) komfortosabbá tételét, ingyenes munkásszálló elhelyezést biztosítunk.</w:t>
      </w:r>
    </w:p>
    <w:p w14:paraId="200B68AE" w14:textId="5FB02704" w:rsidR="00731DC9" w:rsidRDefault="00731DC9" w:rsidP="00731DC9">
      <w:pPr>
        <w:jc w:val="both"/>
        <w:rPr>
          <w:rFonts w:asciiTheme="minorHAnsi" w:eastAsia="Calibri" w:hAnsiTheme="minorHAnsi" w:cs="Calibri"/>
        </w:rPr>
      </w:pPr>
      <w:r w:rsidRPr="00874419">
        <w:rPr>
          <w:rFonts w:asciiTheme="minorHAnsi" w:eastAsia="Calibri" w:hAnsiTheme="minorHAnsi" w:cs="Calibri"/>
        </w:rPr>
        <w:t>A többlet teljesítmény biztosításához</w:t>
      </w:r>
      <w:r>
        <w:rPr>
          <w:rFonts w:asciiTheme="minorHAnsi" w:eastAsia="Calibri" w:hAnsiTheme="minorHAnsi" w:cs="Calibri"/>
        </w:rPr>
        <w:t xml:space="preserve"> 245</w:t>
      </w:r>
      <w:r w:rsidRPr="00874419">
        <w:rPr>
          <w:rFonts w:asciiTheme="minorHAnsi" w:eastAsia="Calibri" w:hAnsiTheme="minorHAnsi" w:cs="Calibri"/>
        </w:rPr>
        <w:t xml:space="preserve"> fő járművezetővel </w:t>
      </w:r>
      <w:r>
        <w:rPr>
          <w:rFonts w:asciiTheme="minorHAnsi" w:eastAsia="Calibri" w:hAnsiTheme="minorHAnsi" w:cs="Calibri"/>
        </w:rPr>
        <w:t>és</w:t>
      </w:r>
      <w:r w:rsidRPr="00874419">
        <w:rPr>
          <w:rFonts w:asciiTheme="minorHAnsi" w:eastAsia="Calibri" w:hAnsiTheme="minorHAnsi" w:cs="Calibri"/>
        </w:rPr>
        <w:t xml:space="preserve"> 1</w:t>
      </w:r>
      <w:r>
        <w:rPr>
          <w:rFonts w:asciiTheme="minorHAnsi" w:eastAsia="Calibri" w:hAnsiTheme="minorHAnsi" w:cs="Calibri"/>
        </w:rPr>
        <w:t>18</w:t>
      </w:r>
      <w:r w:rsidRPr="00874419">
        <w:rPr>
          <w:rFonts w:asciiTheme="minorHAnsi" w:eastAsia="Calibri" w:hAnsiTheme="minorHAnsi" w:cs="Calibri"/>
        </w:rPr>
        <w:t xml:space="preserve"> fő egyéb </w:t>
      </w:r>
      <w:r>
        <w:rPr>
          <w:rFonts w:asciiTheme="minorHAnsi" w:eastAsia="Calibri" w:hAnsiTheme="minorHAnsi" w:cs="Calibri"/>
        </w:rPr>
        <w:t xml:space="preserve">állományú munkavállalóval </w:t>
      </w:r>
      <w:r w:rsidRPr="00874419">
        <w:rPr>
          <w:rFonts w:asciiTheme="minorHAnsi" w:eastAsia="Calibri" w:hAnsiTheme="minorHAnsi" w:cs="Calibri"/>
        </w:rPr>
        <w:t>tervezzük növelni a létszámot 2018-ban.</w:t>
      </w:r>
    </w:p>
    <w:p w14:paraId="70BB919B" w14:textId="55DBD26B" w:rsidR="00731DC9" w:rsidRPr="00B57A0B" w:rsidRDefault="00731DC9" w:rsidP="00731DC9">
      <w:pPr>
        <w:jc w:val="both"/>
        <w:rPr>
          <w:rFonts w:ascii="Calibri" w:eastAsia="Calibri" w:hAnsi="Calibri" w:cs="Calibri"/>
          <w:lang w:eastAsia="en-US"/>
        </w:rPr>
      </w:pPr>
      <w:r>
        <w:rPr>
          <w:rFonts w:ascii="Calibri" w:eastAsia="Calibri" w:hAnsi="Calibri" w:cs="Calibri"/>
          <w:lang w:eastAsia="en-US"/>
        </w:rPr>
        <w:t xml:space="preserve">A metrópótlási tevékenységhez szükséges járműállomány biztosítása érdekében – külön szerződéses konstrukcióval – 30 db </w:t>
      </w:r>
      <w:r w:rsidR="0010169C">
        <w:rPr>
          <w:rFonts w:ascii="Calibri" w:eastAsia="Calibri" w:hAnsi="Calibri" w:cs="Calibri"/>
          <w:lang w:eastAsia="en-US"/>
        </w:rPr>
        <w:t xml:space="preserve">csuklós </w:t>
      </w:r>
      <w:r>
        <w:rPr>
          <w:rFonts w:ascii="Calibri" w:eastAsia="Calibri" w:hAnsi="Calibri" w:cs="Calibri"/>
          <w:lang w:eastAsia="en-US"/>
        </w:rPr>
        <w:t xml:space="preserve">autóbusz építését tervezzük 32 fő többlet fizikai létszám alkalmazásával. </w:t>
      </w:r>
    </w:p>
    <w:p w14:paraId="041798F9" w14:textId="77777777" w:rsidR="00D26F9A" w:rsidRPr="00787AB7" w:rsidRDefault="00D26F9A" w:rsidP="00731DC9">
      <w:pPr>
        <w:jc w:val="both"/>
        <w:rPr>
          <w:rFonts w:asciiTheme="minorHAnsi" w:eastAsia="Calibri" w:hAnsiTheme="minorHAnsi" w:cs="Calibri"/>
        </w:rPr>
      </w:pPr>
    </w:p>
    <w:p w14:paraId="185432CB" w14:textId="77777777" w:rsidR="00DD70A2" w:rsidRPr="00787AB7" w:rsidRDefault="009A1A77" w:rsidP="00106B84">
      <w:pPr>
        <w:numPr>
          <w:ilvl w:val="0"/>
          <w:numId w:val="22"/>
        </w:numPr>
        <w:spacing w:after="200" w:line="276" w:lineRule="auto"/>
        <w:ind w:left="709"/>
        <w:contextualSpacing/>
        <w:jc w:val="both"/>
        <w:rPr>
          <w:rFonts w:ascii="Calibri" w:eastAsia="Calibri" w:hAnsi="Calibri" w:cs="Calibri"/>
          <w:b/>
          <w:lang w:eastAsia="en-US"/>
        </w:rPr>
      </w:pPr>
      <w:r w:rsidRPr="00787AB7">
        <w:rPr>
          <w:rFonts w:ascii="Calibri" w:eastAsia="Calibri" w:hAnsi="Calibri" w:cs="Calibri"/>
          <w:b/>
          <w:lang w:eastAsia="en-US"/>
        </w:rPr>
        <w:t>Nem járműüzemeltetési szervezetek</w:t>
      </w:r>
    </w:p>
    <w:p w14:paraId="712D6145" w14:textId="77777777" w:rsidR="007F5724" w:rsidRPr="00787AB7" w:rsidRDefault="007F5724" w:rsidP="00411D9D">
      <w:pPr>
        <w:spacing w:after="200" w:line="276" w:lineRule="auto"/>
        <w:ind w:left="-11"/>
        <w:contextualSpacing/>
        <w:jc w:val="both"/>
        <w:rPr>
          <w:rFonts w:ascii="Calibri" w:eastAsia="Calibri" w:hAnsi="Calibri" w:cs="Calibri"/>
          <w:b/>
          <w:lang w:eastAsia="en-US"/>
        </w:rPr>
      </w:pPr>
    </w:p>
    <w:p w14:paraId="74F997DD" w14:textId="010ACC8E" w:rsidR="002C3165" w:rsidRDefault="009A1A77" w:rsidP="002C3165">
      <w:pPr>
        <w:jc w:val="both"/>
        <w:rPr>
          <w:rFonts w:asciiTheme="minorHAnsi" w:eastAsia="Calibri" w:hAnsiTheme="minorHAnsi" w:cs="Calibri"/>
        </w:rPr>
      </w:pPr>
      <w:r w:rsidRPr="00787AB7">
        <w:rPr>
          <w:rFonts w:asciiTheme="minorHAnsi" w:eastAsia="Calibri" w:hAnsiTheme="minorHAnsi" w:cs="Calibri"/>
        </w:rPr>
        <w:t xml:space="preserve">A </w:t>
      </w:r>
      <w:r w:rsidR="002C3165" w:rsidRPr="00874419">
        <w:rPr>
          <w:rFonts w:asciiTheme="minorHAnsi" w:eastAsia="Calibri" w:hAnsiTheme="minorHAnsi" w:cs="Calibri"/>
        </w:rPr>
        <w:t xml:space="preserve">Gazdasági Igazgatóságon az átszervezés hatására csökkent a létszám (a Beszerzési Főosztály a Stratégiai és Beszerzési Igazgatósághoz került). Az igazgatóság feladatai </w:t>
      </w:r>
      <w:r w:rsidR="002C3165" w:rsidRPr="00874419">
        <w:rPr>
          <w:rFonts w:asciiTheme="minorHAnsi" w:eastAsia="Calibri" w:hAnsiTheme="minorHAnsi" w:cs="Calibri"/>
        </w:rPr>
        <w:lastRenderedPageBreak/>
        <w:t>elsősorban az informatikai területen növekedtek meg. A HANA projekt eredményeinek további hasznosítása érdekében tervezzük a rendszer kiterjesztését több szakterületre.</w:t>
      </w:r>
      <w:r w:rsidR="002C3165">
        <w:rPr>
          <w:rFonts w:asciiTheme="minorHAnsi" w:eastAsia="Calibri" w:hAnsiTheme="minorHAnsi" w:cs="Calibri"/>
        </w:rPr>
        <w:tab/>
      </w:r>
      <w:r w:rsidR="002C3165" w:rsidRPr="00874419">
        <w:rPr>
          <w:rFonts w:asciiTheme="minorHAnsi" w:eastAsia="Calibri" w:hAnsiTheme="minorHAnsi" w:cs="Calibri"/>
        </w:rPr>
        <w:br/>
      </w:r>
      <w:r w:rsidR="002C3165">
        <w:rPr>
          <w:rFonts w:asciiTheme="minorHAnsi" w:eastAsia="Calibri" w:hAnsiTheme="minorHAnsi" w:cs="Calibri"/>
        </w:rPr>
        <w:t>Ezen túl</w:t>
      </w:r>
      <w:r w:rsidR="0010169C">
        <w:rPr>
          <w:rFonts w:asciiTheme="minorHAnsi" w:eastAsia="Calibri" w:hAnsiTheme="minorHAnsi" w:cs="Calibri"/>
        </w:rPr>
        <w:t>menően</w:t>
      </w:r>
      <w:r w:rsidR="002C3165">
        <w:rPr>
          <w:rFonts w:asciiTheme="minorHAnsi" w:eastAsia="Calibri" w:hAnsiTheme="minorHAnsi" w:cs="Calibri"/>
        </w:rPr>
        <w:t xml:space="preserve"> a</w:t>
      </w:r>
      <w:r w:rsidR="002C3165" w:rsidRPr="00874419">
        <w:rPr>
          <w:rFonts w:asciiTheme="minorHAnsi" w:eastAsia="Calibri" w:hAnsiTheme="minorHAnsi" w:cs="Calibri"/>
        </w:rPr>
        <w:t xml:space="preserve"> 2018. évben az informatikai és a távközlési szolgáltatókkal lejár a BKV szerződése</w:t>
      </w:r>
      <w:r w:rsidR="002C3165">
        <w:rPr>
          <w:rFonts w:asciiTheme="minorHAnsi" w:eastAsia="Calibri" w:hAnsiTheme="minorHAnsi" w:cs="Calibri"/>
        </w:rPr>
        <w:t>,</w:t>
      </w:r>
      <w:r w:rsidR="00002BBE">
        <w:rPr>
          <w:rFonts w:asciiTheme="minorHAnsi" w:eastAsia="Calibri" w:hAnsiTheme="minorHAnsi" w:cs="Calibri"/>
        </w:rPr>
        <w:t xml:space="preserve"> </w:t>
      </w:r>
      <w:r w:rsidR="002C3165">
        <w:rPr>
          <w:rFonts w:asciiTheme="minorHAnsi" w:eastAsia="Calibri" w:hAnsiTheme="minorHAnsi" w:cs="Calibri"/>
        </w:rPr>
        <w:t>s a</w:t>
      </w:r>
      <w:r w:rsidR="002C3165" w:rsidRPr="00874419">
        <w:rPr>
          <w:rFonts w:asciiTheme="minorHAnsi" w:eastAsia="Calibri" w:hAnsiTheme="minorHAnsi" w:cs="Calibri"/>
        </w:rPr>
        <w:t>z új szerződések megkötés</w:t>
      </w:r>
      <w:r w:rsidR="002C3165">
        <w:rPr>
          <w:rFonts w:asciiTheme="minorHAnsi" w:eastAsia="Calibri" w:hAnsiTheme="minorHAnsi" w:cs="Calibri"/>
        </w:rPr>
        <w:t xml:space="preserve">éből következő feladatok egy hálózati szakértő alkalmazását indokolják. A megnövekedett feladatokhoz </w:t>
      </w:r>
      <w:r w:rsidR="002C3165" w:rsidRPr="00874419">
        <w:rPr>
          <w:rFonts w:asciiTheme="minorHAnsi" w:eastAsia="Calibri" w:hAnsiTheme="minorHAnsi" w:cs="Calibri"/>
        </w:rPr>
        <w:t xml:space="preserve">szükséges a létszám 2 fővel </w:t>
      </w:r>
      <w:r w:rsidR="00002BBE">
        <w:rPr>
          <w:rFonts w:asciiTheme="minorHAnsi" w:eastAsia="Calibri" w:hAnsiTheme="minorHAnsi" w:cs="Calibri"/>
        </w:rPr>
        <w:t>történő</w:t>
      </w:r>
      <w:r w:rsidR="002C3165" w:rsidRPr="00874419">
        <w:rPr>
          <w:rFonts w:asciiTheme="minorHAnsi" w:eastAsia="Calibri" w:hAnsiTheme="minorHAnsi" w:cs="Calibri"/>
        </w:rPr>
        <w:t xml:space="preserve"> bővítése. Az Igazgatóság egyéb területein csak az átszervezés hatásával és a tartós távollétről visszaérkezőkkel számolunk.</w:t>
      </w:r>
    </w:p>
    <w:p w14:paraId="2643E69C" w14:textId="77777777" w:rsidR="002C3165" w:rsidRPr="00874419" w:rsidRDefault="002C3165" w:rsidP="002C3165">
      <w:pPr>
        <w:jc w:val="both"/>
        <w:rPr>
          <w:rFonts w:asciiTheme="minorHAnsi" w:eastAsia="Calibri" w:hAnsiTheme="minorHAnsi" w:cs="Calibri"/>
        </w:rPr>
      </w:pPr>
    </w:p>
    <w:p w14:paraId="15F2A2C0" w14:textId="77777777" w:rsidR="002C3165" w:rsidRDefault="002C3165" w:rsidP="002C3165">
      <w:pPr>
        <w:jc w:val="both"/>
        <w:rPr>
          <w:rFonts w:asciiTheme="minorHAnsi" w:eastAsia="Calibri" w:hAnsiTheme="minorHAnsi" w:cs="Calibri"/>
        </w:rPr>
      </w:pPr>
      <w:r w:rsidRPr="00874419">
        <w:rPr>
          <w:rFonts w:asciiTheme="minorHAnsi" w:eastAsia="Calibri" w:hAnsiTheme="minorHAnsi" w:cs="Calibri"/>
        </w:rPr>
        <w:t>A Biztonsági Igazgatóságon jelentősebb munkaerő bővüléssel kell számolni a munkavédelmi területen. A munkavédelemről szóló törvény végrehajtására kiadott MüM Rendelet előírása megváltozik 2018. január 1-jétől. Eddig minden megkezdett 600 fő létszám után kellett alkalmaznunk egy teljes munkaidős munkavédelmi szakembert. A januári változás már</w:t>
      </w:r>
      <w:r w:rsidRPr="00874419">
        <w:rPr>
          <w:rFonts w:asciiTheme="minorHAnsi" w:eastAsia="Calibri" w:hAnsiTheme="minorHAnsi" w:cs="Calibri"/>
        </w:rPr>
        <w:br/>
        <w:t>400 főnként írja elő a szakemberek alkalmazását, ami 8 fő többlet létszámot igényel.</w:t>
      </w:r>
      <w:r>
        <w:rPr>
          <w:rFonts w:asciiTheme="minorHAnsi" w:eastAsia="Calibri" w:hAnsiTheme="minorHAnsi" w:cs="Calibri"/>
        </w:rPr>
        <w:t xml:space="preserve"> </w:t>
      </w:r>
      <w:r w:rsidR="0076508B">
        <w:rPr>
          <w:rFonts w:asciiTheme="minorHAnsi" w:eastAsia="Calibri" w:hAnsiTheme="minorHAnsi" w:cs="Calibri"/>
        </w:rPr>
        <w:br/>
      </w:r>
      <w:r>
        <w:rPr>
          <w:rFonts w:asciiTheme="minorHAnsi" w:eastAsia="Calibri" w:hAnsiTheme="minorHAnsi" w:cs="Calibri"/>
        </w:rPr>
        <w:t>E többlet már tartalmazza a Társaságon belüli hatékonyságjavítás eredményét, mely nélkül az igényelt létszám ennél is több lenne.</w:t>
      </w:r>
    </w:p>
    <w:p w14:paraId="185A5C72" w14:textId="77777777" w:rsidR="002C3165" w:rsidRPr="00874419" w:rsidRDefault="002C3165" w:rsidP="002C3165">
      <w:pPr>
        <w:jc w:val="both"/>
        <w:rPr>
          <w:rFonts w:asciiTheme="minorHAnsi" w:eastAsia="Calibri" w:hAnsiTheme="minorHAnsi" w:cs="Calibri"/>
        </w:rPr>
      </w:pPr>
    </w:p>
    <w:p w14:paraId="5D9939D5" w14:textId="77777777" w:rsidR="002C3165" w:rsidRDefault="002C3165" w:rsidP="002C3165">
      <w:pPr>
        <w:jc w:val="both"/>
        <w:rPr>
          <w:rFonts w:asciiTheme="minorHAnsi" w:eastAsia="Calibri" w:hAnsiTheme="minorHAnsi" w:cs="Calibri"/>
        </w:rPr>
      </w:pPr>
      <w:r w:rsidRPr="00874419">
        <w:rPr>
          <w:rFonts w:asciiTheme="minorHAnsi" w:eastAsia="Calibri" w:hAnsiTheme="minorHAnsi" w:cs="Calibri"/>
        </w:rPr>
        <w:t>A 2017. június 1-jével megalakult Stratégiai és Beszerzési Igazgatóság létszámának áthúzódó hatását az érintett szervezeteknél terveztük.</w:t>
      </w:r>
      <w:r>
        <w:rPr>
          <w:rFonts w:asciiTheme="minorHAnsi" w:eastAsia="Calibri" w:hAnsiTheme="minorHAnsi" w:cs="Calibri"/>
        </w:rPr>
        <w:t xml:space="preserve"> </w:t>
      </w:r>
    </w:p>
    <w:p w14:paraId="476EB4AC" w14:textId="7EC57DBC" w:rsidR="002C3165" w:rsidRPr="00874419" w:rsidRDefault="002C3165" w:rsidP="002C3165">
      <w:pPr>
        <w:jc w:val="both"/>
        <w:rPr>
          <w:rFonts w:asciiTheme="minorHAnsi" w:eastAsia="Calibri" w:hAnsiTheme="minorHAnsi" w:cs="Calibri"/>
        </w:rPr>
      </w:pPr>
      <w:r>
        <w:rPr>
          <w:rFonts w:asciiTheme="minorHAnsi" w:eastAsia="Calibri" w:hAnsiTheme="minorHAnsi" w:cs="Calibri"/>
        </w:rPr>
        <w:t>A létszámterv a bázis szintű keretek változatlanságával készült.</w:t>
      </w:r>
    </w:p>
    <w:p w14:paraId="52A7BF31" w14:textId="79758772" w:rsidR="002C3165" w:rsidRDefault="002C3165" w:rsidP="002C3165">
      <w:pPr>
        <w:jc w:val="both"/>
        <w:rPr>
          <w:rFonts w:ascii="Calibri" w:eastAsia="Calibri" w:hAnsi="Calibri" w:cs="Calibri"/>
          <w:lang w:eastAsia="en-US"/>
        </w:rPr>
      </w:pPr>
      <w:r w:rsidRPr="00874419">
        <w:rPr>
          <w:rFonts w:asciiTheme="minorHAnsi" w:eastAsia="Calibri" w:hAnsiTheme="minorHAnsi" w:cs="Calibri"/>
        </w:rPr>
        <w:t>A Metró Felújítási Projekt Igazgatóság Fővárossal egyeztetett létszámterve 45 fő, ami a jelenlegi létszám 14 fővel való bővítésével jár.</w:t>
      </w:r>
    </w:p>
    <w:p w14:paraId="085E9BFD" w14:textId="77777777" w:rsidR="002C3165" w:rsidRPr="001801C8" w:rsidRDefault="002C3165" w:rsidP="002C3165">
      <w:pPr>
        <w:jc w:val="both"/>
        <w:rPr>
          <w:rFonts w:ascii="Calibri" w:eastAsia="Calibri" w:hAnsi="Calibri" w:cs="Calibri"/>
          <w:lang w:eastAsia="en-US"/>
        </w:rPr>
      </w:pPr>
      <w:r>
        <w:rPr>
          <w:rFonts w:ascii="Calibri" w:eastAsia="Calibri" w:hAnsi="Calibri" w:cs="Calibri"/>
          <w:lang w:eastAsia="en-US"/>
        </w:rPr>
        <w:t>A tervezéskor figyelembe vételre került a munkaköri projekt hatása is.</w:t>
      </w:r>
    </w:p>
    <w:p w14:paraId="7704F93B" w14:textId="77777777" w:rsidR="005F6F52" w:rsidRPr="00787AB7" w:rsidRDefault="005F6F52" w:rsidP="005F6F52">
      <w:pPr>
        <w:jc w:val="both"/>
        <w:rPr>
          <w:rFonts w:ascii="Calibri" w:eastAsia="Calibri" w:hAnsi="Calibri" w:cs="Calibri"/>
          <w:lang w:eastAsia="en-US"/>
        </w:rPr>
      </w:pPr>
    </w:p>
    <w:p w14:paraId="14DA50E9" w14:textId="77777777" w:rsidR="00AC71CA" w:rsidRPr="00787AB7" w:rsidRDefault="009A1A77" w:rsidP="00330472">
      <w:pPr>
        <w:rPr>
          <w:rFonts w:ascii="Calibri" w:hAnsi="Calibri"/>
          <w:u w:val="single"/>
        </w:rPr>
      </w:pPr>
      <w:r w:rsidRPr="00787AB7">
        <w:rPr>
          <w:rFonts w:ascii="Calibri" w:hAnsi="Calibri"/>
          <w:u w:val="single"/>
        </w:rPr>
        <w:t>A Társaság 2018. évi létszámterve a változások hatásával:</w:t>
      </w:r>
    </w:p>
    <w:p w14:paraId="231268CF" w14:textId="4C84DA4C" w:rsidR="001A4626" w:rsidRPr="00787AB7" w:rsidRDefault="00F5003A" w:rsidP="001372E1">
      <w:pPr>
        <w:spacing w:after="120" w:line="276" w:lineRule="auto"/>
        <w:jc w:val="both"/>
        <w:rPr>
          <w:rFonts w:ascii="Calibri" w:eastAsia="Calibri" w:hAnsi="Calibri" w:cs="Calibri"/>
          <w:lang w:eastAsia="en-US"/>
        </w:rPr>
      </w:pPr>
      <w:r w:rsidRPr="00787AB7">
        <w:rPr>
          <w:rFonts w:cstheme="minorHAnsi"/>
          <w:noProof/>
          <w:color w:val="FF0000"/>
        </w:rPr>
        <w:drawing>
          <wp:inline distT="0" distB="0" distL="0" distR="0" wp14:anchorId="2678543C" wp14:editId="71444D3F">
            <wp:extent cx="5761355" cy="4474845"/>
            <wp:effectExtent l="0" t="0" r="0" b="1905"/>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4474845"/>
                    </a:xfrm>
                    <a:prstGeom prst="rect">
                      <a:avLst/>
                    </a:prstGeom>
                    <a:noFill/>
                  </pic:spPr>
                </pic:pic>
              </a:graphicData>
            </a:graphic>
          </wp:inline>
        </w:drawing>
      </w:r>
    </w:p>
    <w:p w14:paraId="144B8194" w14:textId="77777777" w:rsidR="00DA4CF8" w:rsidRPr="00787AB7" w:rsidRDefault="009A1A77" w:rsidP="00106B84">
      <w:pPr>
        <w:pStyle w:val="Cmsor1"/>
        <w:pageBreakBefore/>
        <w:numPr>
          <w:ilvl w:val="0"/>
          <w:numId w:val="17"/>
        </w:numPr>
        <w:spacing w:before="360" w:after="360"/>
        <w:jc w:val="left"/>
        <w:rPr>
          <w:rStyle w:val="Stlus14ptFlkvrAlhzs"/>
          <w:rFonts w:asciiTheme="minorHAnsi" w:hAnsiTheme="minorHAnsi" w:cstheme="minorHAnsi"/>
          <w:bCs/>
          <w:i w:val="0"/>
          <w:u w:val="none"/>
        </w:rPr>
      </w:pPr>
      <w:bookmarkStart w:id="106" w:name="_Toc512409638"/>
      <w:r w:rsidRPr="00787AB7">
        <w:rPr>
          <w:rStyle w:val="Stlus14ptFlkvrAlhzs"/>
          <w:rFonts w:asciiTheme="minorHAnsi" w:hAnsiTheme="minorHAnsi" w:cstheme="minorHAnsi"/>
          <w:bCs/>
          <w:i w:val="0"/>
          <w:u w:val="none"/>
        </w:rPr>
        <w:lastRenderedPageBreak/>
        <w:t>Számviteli törvény szerinti mérleg</w:t>
      </w:r>
      <w:bookmarkEnd w:id="106"/>
    </w:p>
    <w:p w14:paraId="2FB6BCF8" w14:textId="77777777" w:rsidR="0030127B" w:rsidRPr="0056690E" w:rsidRDefault="0030127B" w:rsidP="001E0F17">
      <w:pPr>
        <w:pStyle w:val="Cmsor2"/>
      </w:pPr>
      <w:bookmarkStart w:id="107" w:name="_Toc512409639"/>
      <w:r w:rsidRPr="0056690E">
        <w:t>Mérleg</w:t>
      </w:r>
      <w:bookmarkEnd w:id="107"/>
    </w:p>
    <w:p w14:paraId="107C4466" w14:textId="77777777" w:rsidR="005B7882" w:rsidRPr="003860A9" w:rsidRDefault="005B7882" w:rsidP="005B7882">
      <w:pPr>
        <w:jc w:val="both"/>
        <w:rPr>
          <w:rFonts w:asciiTheme="minorHAnsi" w:hAnsiTheme="minorHAnsi" w:cstheme="minorHAnsi"/>
          <w:highlight w:val="yellow"/>
        </w:rPr>
      </w:pPr>
    </w:p>
    <w:p w14:paraId="07A81638" w14:textId="77777777" w:rsidR="003860A9" w:rsidRPr="003860A9" w:rsidRDefault="003860A9" w:rsidP="003860A9">
      <w:pPr>
        <w:jc w:val="both"/>
        <w:rPr>
          <w:rFonts w:asciiTheme="minorHAnsi" w:hAnsiTheme="minorHAnsi" w:cstheme="minorHAnsi"/>
        </w:rPr>
      </w:pPr>
      <w:r w:rsidRPr="003860A9">
        <w:rPr>
          <w:rFonts w:asciiTheme="minorHAnsi" w:hAnsiTheme="minorHAnsi" w:cstheme="minorHAnsi"/>
        </w:rPr>
        <w:t>A BKV Zrt. 2018. évi tervezett mérlegfőösszege 711 294 millió Ft, amely 49 175 millió Ft-tal magasabb a 2017. évi értéknél. A mérlegfőösszeg növekedését előidéző jelentősebb változások az alábbiak:</w:t>
      </w:r>
    </w:p>
    <w:p w14:paraId="2FB625D3" w14:textId="77777777" w:rsidR="003860A9" w:rsidRDefault="003860A9" w:rsidP="003860A9">
      <w:pPr>
        <w:jc w:val="both"/>
        <w:rPr>
          <w:rFonts w:asciiTheme="minorHAnsi" w:hAnsiTheme="minorHAnsi" w:cstheme="minorHAnsi"/>
          <w:b/>
        </w:rPr>
      </w:pPr>
    </w:p>
    <w:p w14:paraId="56690F00" w14:textId="77777777" w:rsidR="003860A9" w:rsidRPr="003860A9" w:rsidRDefault="003860A9" w:rsidP="003860A9">
      <w:pPr>
        <w:jc w:val="both"/>
        <w:rPr>
          <w:rFonts w:asciiTheme="minorHAnsi" w:hAnsiTheme="minorHAnsi" w:cstheme="minorHAnsi"/>
          <w:b/>
        </w:rPr>
      </w:pPr>
      <w:r w:rsidRPr="003860A9">
        <w:rPr>
          <w:rFonts w:asciiTheme="minorHAnsi" w:hAnsiTheme="minorHAnsi" w:cstheme="minorHAnsi"/>
          <w:b/>
        </w:rPr>
        <w:t>Eszközök</w:t>
      </w:r>
    </w:p>
    <w:p w14:paraId="177156BB" w14:textId="77777777" w:rsidR="003860A9" w:rsidRPr="003860A9" w:rsidRDefault="003860A9" w:rsidP="003860A9">
      <w:pPr>
        <w:numPr>
          <w:ilvl w:val="0"/>
          <w:numId w:val="45"/>
        </w:numPr>
        <w:jc w:val="both"/>
        <w:rPr>
          <w:rFonts w:asciiTheme="minorHAnsi" w:hAnsiTheme="minorHAnsi" w:cstheme="minorHAnsi"/>
        </w:rPr>
      </w:pPr>
      <w:r w:rsidRPr="003860A9">
        <w:rPr>
          <w:rFonts w:asciiTheme="minorHAnsi" w:hAnsiTheme="minorHAnsi" w:cstheme="minorHAnsi"/>
        </w:rPr>
        <w:t>A befektetett eszközök értéke 63 693 millió Ft-tal növekedik, a jelentősebb változások az alábbiak:</w:t>
      </w:r>
    </w:p>
    <w:p w14:paraId="721914B4" w14:textId="77777777" w:rsidR="003860A9" w:rsidRPr="003860A9" w:rsidRDefault="003860A9" w:rsidP="003860A9">
      <w:pPr>
        <w:numPr>
          <w:ilvl w:val="0"/>
          <w:numId w:val="46"/>
        </w:numPr>
        <w:jc w:val="both"/>
        <w:rPr>
          <w:rFonts w:asciiTheme="minorHAnsi" w:hAnsiTheme="minorHAnsi" w:cstheme="minorHAnsi"/>
        </w:rPr>
      </w:pPr>
      <w:r w:rsidRPr="003860A9">
        <w:rPr>
          <w:rFonts w:asciiTheme="minorHAnsi" w:hAnsiTheme="minorHAnsi" w:cstheme="minorHAnsi"/>
        </w:rPr>
        <w:t>A 2017. évben megkezdődő M3 infrastruktúra felújítás miatt a beruházások, felújítások értéke 55 238 millió Ft-tal fog növekedni, azonban a beruházásra adott előlegek állománya 7 389 millió Ft-tal csökken;</w:t>
      </w:r>
    </w:p>
    <w:p w14:paraId="473C3640" w14:textId="77777777" w:rsidR="003860A9" w:rsidRPr="003860A9" w:rsidRDefault="003860A9" w:rsidP="003860A9">
      <w:pPr>
        <w:numPr>
          <w:ilvl w:val="0"/>
          <w:numId w:val="46"/>
        </w:numPr>
        <w:jc w:val="both"/>
        <w:rPr>
          <w:rFonts w:asciiTheme="minorHAnsi" w:hAnsiTheme="minorHAnsi" w:cstheme="minorHAnsi"/>
        </w:rPr>
      </w:pPr>
      <w:r w:rsidRPr="003860A9">
        <w:rPr>
          <w:rFonts w:asciiTheme="minorHAnsi" w:hAnsiTheme="minorHAnsi" w:cstheme="minorHAnsi"/>
        </w:rPr>
        <w:t>Az M3 járműfelújítás 2018. évre eső összege 28 537 millió Ft, mely aktiválásra is kerül.</w:t>
      </w:r>
    </w:p>
    <w:p w14:paraId="6BFA0EA3" w14:textId="509C949A" w:rsidR="003860A9" w:rsidRPr="003860A9" w:rsidRDefault="003860A9" w:rsidP="003860A9">
      <w:pPr>
        <w:numPr>
          <w:ilvl w:val="0"/>
          <w:numId w:val="45"/>
        </w:numPr>
        <w:jc w:val="both"/>
        <w:rPr>
          <w:rFonts w:asciiTheme="minorHAnsi" w:hAnsiTheme="minorHAnsi" w:cstheme="minorHAnsi"/>
        </w:rPr>
      </w:pPr>
      <w:r w:rsidRPr="003860A9">
        <w:rPr>
          <w:rFonts w:asciiTheme="minorHAnsi" w:hAnsiTheme="minorHAnsi" w:cstheme="minorHAnsi"/>
        </w:rPr>
        <w:t>A forgóeszközök értéke 5 927 millió Ft-tal csökken a 2017. évi</w:t>
      </w:r>
      <w:r w:rsidR="008621F5">
        <w:rPr>
          <w:rFonts w:asciiTheme="minorHAnsi" w:hAnsiTheme="minorHAnsi" w:cstheme="minorHAnsi"/>
        </w:rPr>
        <w:t xml:space="preserve"> tény</w:t>
      </w:r>
      <w:r w:rsidRPr="003860A9">
        <w:rPr>
          <w:rFonts w:asciiTheme="minorHAnsi" w:hAnsiTheme="minorHAnsi" w:cstheme="minorHAnsi"/>
        </w:rPr>
        <w:t xml:space="preserve"> adatokhoz képest, mely a 3 000 millió Ft összegű forgatási célú értékpapír lejárat miatti kivezetésére, valamint a pénzeszközök csökkenésére vezethető vissza. </w:t>
      </w:r>
    </w:p>
    <w:p w14:paraId="43017E29" w14:textId="77777777" w:rsidR="003860A9" w:rsidRPr="003860A9" w:rsidRDefault="003860A9" w:rsidP="003860A9">
      <w:pPr>
        <w:jc w:val="both"/>
        <w:rPr>
          <w:rFonts w:asciiTheme="minorHAnsi" w:hAnsiTheme="minorHAnsi" w:cstheme="minorHAnsi"/>
          <w:b/>
        </w:rPr>
      </w:pPr>
    </w:p>
    <w:p w14:paraId="731077CD" w14:textId="77777777" w:rsidR="003860A9" w:rsidRPr="003860A9" w:rsidRDefault="003860A9" w:rsidP="003860A9">
      <w:pPr>
        <w:jc w:val="both"/>
        <w:rPr>
          <w:rFonts w:asciiTheme="minorHAnsi" w:hAnsiTheme="minorHAnsi" w:cstheme="minorHAnsi"/>
          <w:b/>
        </w:rPr>
      </w:pPr>
      <w:r w:rsidRPr="003860A9">
        <w:rPr>
          <w:rFonts w:asciiTheme="minorHAnsi" w:hAnsiTheme="minorHAnsi" w:cstheme="minorHAnsi"/>
          <w:b/>
        </w:rPr>
        <w:t>Források</w:t>
      </w:r>
    </w:p>
    <w:p w14:paraId="59D0E596" w14:textId="77777777" w:rsidR="003860A9" w:rsidRPr="003860A9" w:rsidRDefault="003860A9" w:rsidP="003860A9">
      <w:pPr>
        <w:numPr>
          <w:ilvl w:val="0"/>
          <w:numId w:val="45"/>
        </w:numPr>
        <w:jc w:val="both"/>
        <w:rPr>
          <w:rFonts w:asciiTheme="minorHAnsi" w:hAnsiTheme="minorHAnsi" w:cstheme="minorHAnsi"/>
        </w:rPr>
      </w:pPr>
      <w:r w:rsidRPr="003860A9">
        <w:rPr>
          <w:rFonts w:asciiTheme="minorHAnsi" w:hAnsiTheme="minorHAnsi" w:cstheme="minorHAnsi"/>
        </w:rPr>
        <w:t>A saját tőke összege 17 696 millió Ft-tal növekedik, mely visszavezethető a</w:t>
      </w:r>
      <w:r w:rsidRPr="003860A9">
        <w:rPr>
          <w:rFonts w:asciiTheme="minorHAnsi" w:hAnsiTheme="minorHAnsi" w:cstheme="minorHAnsi"/>
        </w:rPr>
        <w:br/>
        <w:t>31 993 millió Ft M3 járműfelújítással kapcsolatos tőketartalékos támogatásra, valamint a 15 073 millió Ft tervezett veszteségre.</w:t>
      </w:r>
    </w:p>
    <w:p w14:paraId="3E049DE8" w14:textId="7A6F9214" w:rsidR="003860A9" w:rsidRPr="003860A9" w:rsidRDefault="003860A9" w:rsidP="003860A9">
      <w:pPr>
        <w:numPr>
          <w:ilvl w:val="0"/>
          <w:numId w:val="45"/>
        </w:numPr>
        <w:jc w:val="both"/>
        <w:rPr>
          <w:rFonts w:asciiTheme="minorHAnsi" w:hAnsiTheme="minorHAnsi" w:cstheme="minorHAnsi"/>
        </w:rPr>
      </w:pPr>
      <w:r w:rsidRPr="003860A9">
        <w:rPr>
          <w:rFonts w:asciiTheme="minorHAnsi" w:hAnsiTheme="minorHAnsi" w:cstheme="minorHAnsi"/>
        </w:rPr>
        <w:t xml:space="preserve">A kötelezettségek összege 27 552 millió Ft-tal csökken, mely részben a szállítói állomány csökkenésére, </w:t>
      </w:r>
      <w:r w:rsidR="00BC1B03">
        <w:rPr>
          <w:rFonts w:asciiTheme="minorHAnsi" w:hAnsiTheme="minorHAnsi" w:cstheme="minorHAnsi"/>
        </w:rPr>
        <w:t xml:space="preserve">valamint </w:t>
      </w:r>
      <w:r w:rsidRPr="003860A9">
        <w:rPr>
          <w:rFonts w:asciiTheme="minorHAnsi" w:hAnsiTheme="minorHAnsi" w:cstheme="minorHAnsi"/>
        </w:rPr>
        <w:t xml:space="preserve">az M3 infrastruktúra felújítás IKOP előleg állományának csökkenésre vezethető vissza, mely az egyéb rövid lejáratú kötelezettségeken belül található. </w:t>
      </w:r>
    </w:p>
    <w:p w14:paraId="522AB522" w14:textId="77777777" w:rsidR="003860A9" w:rsidRPr="003860A9" w:rsidRDefault="003860A9" w:rsidP="003860A9">
      <w:pPr>
        <w:numPr>
          <w:ilvl w:val="0"/>
          <w:numId w:val="45"/>
        </w:numPr>
        <w:jc w:val="both"/>
        <w:rPr>
          <w:rFonts w:asciiTheme="minorHAnsi" w:hAnsiTheme="minorHAnsi" w:cstheme="minorHAnsi"/>
        </w:rPr>
      </w:pPr>
      <w:r w:rsidRPr="003860A9">
        <w:rPr>
          <w:rFonts w:asciiTheme="minorHAnsi" w:hAnsiTheme="minorHAnsi" w:cstheme="minorHAnsi"/>
        </w:rPr>
        <w:t>A passzív időbeli elhatárolások összege 59 180 millió Ft-tal növekedett, mely összefüggésben van az M3 infrastruktúra felújítással, mivel a projektre kapott IKOP támogatást a halasztott bevételek között számoljuk el.</w:t>
      </w:r>
    </w:p>
    <w:p w14:paraId="4112A8E3" w14:textId="77777777" w:rsidR="008B1720" w:rsidRPr="003860A9" w:rsidRDefault="008B1720" w:rsidP="001E0F17">
      <w:pPr>
        <w:pStyle w:val="Cmsor2"/>
      </w:pPr>
      <w:bookmarkStart w:id="108" w:name="_Toc512409640"/>
      <w:r w:rsidRPr="003860A9">
        <w:t>Készletek alakulása</w:t>
      </w:r>
      <w:bookmarkEnd w:id="108"/>
    </w:p>
    <w:p w14:paraId="03E5E350" w14:textId="77777777" w:rsidR="008557F8" w:rsidRPr="003860A9" w:rsidRDefault="008557F8" w:rsidP="008557F8">
      <w:pPr>
        <w:pStyle w:val="Lista3"/>
        <w:ind w:left="0" w:firstLine="0"/>
        <w:rPr>
          <w:rFonts w:asciiTheme="minorHAnsi" w:hAnsiTheme="minorHAnsi" w:cstheme="minorHAnsi"/>
        </w:rPr>
      </w:pPr>
    </w:p>
    <w:p w14:paraId="36C65BF4" w14:textId="77777777" w:rsidR="005561A5" w:rsidRPr="005135C1" w:rsidRDefault="005561A5" w:rsidP="005561A5">
      <w:pPr>
        <w:jc w:val="both"/>
        <w:rPr>
          <w:rFonts w:asciiTheme="minorHAnsi" w:hAnsiTheme="minorHAnsi" w:cstheme="minorHAnsi"/>
          <w:iCs/>
        </w:rPr>
      </w:pPr>
      <w:r w:rsidRPr="005135C1">
        <w:rPr>
          <w:rFonts w:asciiTheme="minorHAnsi" w:hAnsiTheme="minorHAnsi" w:cstheme="minorHAnsi"/>
          <w:iCs/>
        </w:rPr>
        <w:t>A készletgazdálkodás célja időben, megfelelő minőségben, a műszaki követelményeknek megfelelően biztosítani a Társaság működéséhez szükséges anyagokat, alkatrészeket, energiahordozókat és minden egyéb, az anyagellátás részét képező cikkeket.</w:t>
      </w:r>
    </w:p>
    <w:p w14:paraId="72C261F3" w14:textId="77777777" w:rsidR="005561A5" w:rsidRPr="005135C1" w:rsidRDefault="005561A5" w:rsidP="005561A5">
      <w:pPr>
        <w:jc w:val="both"/>
        <w:rPr>
          <w:rFonts w:asciiTheme="minorHAnsi" w:hAnsiTheme="minorHAnsi" w:cstheme="minorHAnsi"/>
          <w:iCs/>
          <w:u w:val="single"/>
        </w:rPr>
      </w:pPr>
    </w:p>
    <w:p w14:paraId="26349DF7" w14:textId="77777777" w:rsidR="005561A5" w:rsidRPr="005135C1" w:rsidRDefault="005561A5" w:rsidP="005561A5">
      <w:pPr>
        <w:jc w:val="both"/>
        <w:rPr>
          <w:rFonts w:asciiTheme="minorHAnsi" w:hAnsiTheme="minorHAnsi" w:cstheme="minorHAnsi"/>
          <w:iCs/>
          <w:u w:val="single"/>
        </w:rPr>
      </w:pPr>
      <w:r w:rsidRPr="005135C1">
        <w:rPr>
          <w:rFonts w:asciiTheme="minorHAnsi" w:hAnsiTheme="minorHAnsi" w:cstheme="minorHAnsi"/>
          <w:iCs/>
          <w:u w:val="single"/>
        </w:rPr>
        <w:t>Fő célkitűzések:</w:t>
      </w:r>
    </w:p>
    <w:p w14:paraId="4B9CDBC8" w14:textId="77777777" w:rsidR="005561A5" w:rsidRPr="005135C1" w:rsidRDefault="005561A5" w:rsidP="005561A5">
      <w:pPr>
        <w:numPr>
          <w:ilvl w:val="0"/>
          <w:numId w:val="1"/>
        </w:numPr>
        <w:jc w:val="both"/>
        <w:rPr>
          <w:rFonts w:asciiTheme="minorHAnsi" w:hAnsiTheme="minorHAnsi" w:cstheme="minorHAnsi"/>
          <w:iCs/>
        </w:rPr>
      </w:pPr>
      <w:r w:rsidRPr="005135C1">
        <w:rPr>
          <w:rFonts w:asciiTheme="minorHAnsi" w:hAnsiTheme="minorHAnsi" w:cstheme="minorHAnsi"/>
          <w:iCs/>
        </w:rPr>
        <w:t>a raktári készletek optimalizált összetételének biztosítása a meghatározott készletérték szinten belül,</w:t>
      </w:r>
    </w:p>
    <w:p w14:paraId="5BA85355" w14:textId="77777777" w:rsidR="005561A5" w:rsidRPr="005135C1" w:rsidRDefault="005561A5" w:rsidP="005561A5">
      <w:pPr>
        <w:numPr>
          <w:ilvl w:val="0"/>
          <w:numId w:val="1"/>
        </w:numPr>
        <w:jc w:val="both"/>
        <w:rPr>
          <w:rFonts w:asciiTheme="minorHAnsi" w:hAnsiTheme="minorHAnsi" w:cstheme="minorHAnsi"/>
          <w:iCs/>
        </w:rPr>
      </w:pPr>
      <w:r w:rsidRPr="005135C1">
        <w:rPr>
          <w:rFonts w:asciiTheme="minorHAnsi" w:hAnsiTheme="minorHAnsi" w:cstheme="minorHAnsi"/>
          <w:iCs/>
        </w:rPr>
        <w:t>az elfekvő készletek minimalizálása,</w:t>
      </w:r>
    </w:p>
    <w:p w14:paraId="6391CF40" w14:textId="77777777" w:rsidR="005561A5" w:rsidRPr="005135C1" w:rsidRDefault="005561A5" w:rsidP="005561A5">
      <w:pPr>
        <w:numPr>
          <w:ilvl w:val="0"/>
          <w:numId w:val="1"/>
        </w:numPr>
        <w:jc w:val="both"/>
        <w:rPr>
          <w:rFonts w:asciiTheme="minorHAnsi" w:hAnsiTheme="minorHAnsi" w:cstheme="minorHAnsi"/>
          <w:iCs/>
        </w:rPr>
      </w:pPr>
      <w:r w:rsidRPr="005135C1">
        <w:rPr>
          <w:rFonts w:asciiTheme="minorHAnsi" w:hAnsiTheme="minorHAnsi" w:cstheme="minorHAnsi"/>
          <w:iCs/>
        </w:rPr>
        <w:t>a raktározási költségek csökkentése,</w:t>
      </w:r>
    </w:p>
    <w:p w14:paraId="6BC8AF40" w14:textId="77777777" w:rsidR="005561A5" w:rsidRPr="005135C1" w:rsidRDefault="005561A5" w:rsidP="005561A5">
      <w:pPr>
        <w:numPr>
          <w:ilvl w:val="0"/>
          <w:numId w:val="1"/>
        </w:numPr>
        <w:jc w:val="both"/>
        <w:rPr>
          <w:rFonts w:asciiTheme="minorHAnsi" w:hAnsiTheme="minorHAnsi" w:cstheme="minorHAnsi"/>
          <w:iCs/>
        </w:rPr>
      </w:pPr>
      <w:r w:rsidRPr="005135C1">
        <w:rPr>
          <w:rFonts w:asciiTheme="minorHAnsi" w:hAnsiTheme="minorHAnsi" w:cstheme="minorHAnsi"/>
          <w:iCs/>
        </w:rPr>
        <w:t>a biztonságos üzemeltetéshez szükséges anyagok mindenkori biztosítása,</w:t>
      </w:r>
    </w:p>
    <w:p w14:paraId="0CF824C3" w14:textId="77777777" w:rsidR="005561A5" w:rsidRPr="005135C1" w:rsidRDefault="005561A5" w:rsidP="005561A5">
      <w:pPr>
        <w:numPr>
          <w:ilvl w:val="0"/>
          <w:numId w:val="1"/>
        </w:numPr>
        <w:jc w:val="both"/>
        <w:rPr>
          <w:rFonts w:asciiTheme="minorHAnsi" w:hAnsiTheme="minorHAnsi" w:cstheme="minorHAnsi"/>
          <w:iCs/>
        </w:rPr>
      </w:pPr>
      <w:r w:rsidRPr="005135C1">
        <w:rPr>
          <w:rFonts w:asciiTheme="minorHAnsi" w:hAnsiTheme="minorHAnsi" w:cstheme="minorHAnsi"/>
          <w:iCs/>
        </w:rPr>
        <w:t>az optimális beszerzési forrás felkutatása,</w:t>
      </w:r>
    </w:p>
    <w:p w14:paraId="26A6FFB8" w14:textId="77777777" w:rsidR="005561A5" w:rsidRPr="005135C1" w:rsidRDefault="005561A5" w:rsidP="005561A5">
      <w:pPr>
        <w:numPr>
          <w:ilvl w:val="0"/>
          <w:numId w:val="1"/>
        </w:numPr>
        <w:jc w:val="both"/>
        <w:rPr>
          <w:rFonts w:asciiTheme="minorHAnsi" w:hAnsiTheme="minorHAnsi" w:cstheme="minorHAnsi"/>
          <w:iCs/>
        </w:rPr>
      </w:pPr>
      <w:r w:rsidRPr="005135C1">
        <w:rPr>
          <w:rFonts w:asciiTheme="minorHAnsi" w:hAnsiTheme="minorHAnsi" w:cstheme="minorHAnsi"/>
          <w:iCs/>
        </w:rPr>
        <w:t>finanszírozási oldalról törekedni kell a felesleges tőkelekötés elkerülésére.</w:t>
      </w:r>
    </w:p>
    <w:p w14:paraId="6FACF621" w14:textId="77777777" w:rsidR="005561A5" w:rsidRPr="005135C1" w:rsidRDefault="005561A5" w:rsidP="005561A5">
      <w:pPr>
        <w:jc w:val="both"/>
        <w:rPr>
          <w:rFonts w:asciiTheme="minorHAnsi" w:hAnsiTheme="minorHAnsi" w:cstheme="minorHAnsi"/>
          <w:iCs/>
        </w:rPr>
      </w:pPr>
    </w:p>
    <w:p w14:paraId="596B4A58" w14:textId="3C767E09" w:rsidR="005561A5" w:rsidRPr="005135C1" w:rsidRDefault="005561A5" w:rsidP="005561A5">
      <w:pPr>
        <w:jc w:val="both"/>
        <w:rPr>
          <w:rFonts w:asciiTheme="minorHAnsi" w:hAnsiTheme="minorHAnsi" w:cstheme="minorHAnsi"/>
          <w:iCs/>
        </w:rPr>
      </w:pPr>
      <w:r w:rsidRPr="005135C1">
        <w:rPr>
          <w:rFonts w:asciiTheme="minorHAnsi" w:hAnsiTheme="minorHAnsi" w:cstheme="minorHAnsi"/>
          <w:b/>
          <w:iCs/>
        </w:rPr>
        <w:t>A 201</w:t>
      </w:r>
      <w:r>
        <w:rPr>
          <w:rFonts w:asciiTheme="minorHAnsi" w:hAnsiTheme="minorHAnsi" w:cstheme="minorHAnsi"/>
          <w:b/>
          <w:iCs/>
        </w:rPr>
        <w:t>8</w:t>
      </w:r>
      <w:r w:rsidRPr="005135C1">
        <w:rPr>
          <w:rFonts w:asciiTheme="minorHAnsi" w:hAnsiTheme="minorHAnsi" w:cstheme="minorHAnsi"/>
          <w:b/>
          <w:iCs/>
        </w:rPr>
        <w:t xml:space="preserve">. évi raktári zárókészlet terv </w:t>
      </w:r>
      <w:r>
        <w:rPr>
          <w:rFonts w:asciiTheme="minorHAnsi" w:hAnsiTheme="minorHAnsi" w:cstheme="minorHAnsi"/>
          <w:b/>
          <w:iCs/>
        </w:rPr>
        <w:t xml:space="preserve">9 970 </w:t>
      </w:r>
      <w:r w:rsidRPr="005135C1">
        <w:rPr>
          <w:rFonts w:asciiTheme="minorHAnsi" w:hAnsiTheme="minorHAnsi" w:cstheme="minorHAnsi"/>
          <w:b/>
          <w:iCs/>
        </w:rPr>
        <w:t>millió Ft.</w:t>
      </w:r>
      <w:r w:rsidRPr="005135C1">
        <w:rPr>
          <w:rFonts w:asciiTheme="minorHAnsi" w:hAnsiTheme="minorHAnsi" w:cstheme="minorHAnsi"/>
          <w:iCs/>
        </w:rPr>
        <w:t xml:space="preserve"> Ezen érték magában foglalja az </w:t>
      </w:r>
      <w:r>
        <w:rPr>
          <w:rFonts w:asciiTheme="minorHAnsi" w:hAnsiTheme="minorHAnsi" w:cstheme="minorHAnsi"/>
          <w:iCs/>
        </w:rPr>
        <w:br/>
      </w:r>
      <w:r w:rsidRPr="005135C1">
        <w:rPr>
          <w:rFonts w:asciiTheme="minorHAnsi" w:hAnsiTheme="minorHAnsi" w:cstheme="minorHAnsi"/>
          <w:b/>
          <w:iCs/>
        </w:rPr>
        <w:t>M2 vonalra érkezett Alstom járművek üzemeltetéséhez szükséges 1</w:t>
      </w:r>
      <w:r>
        <w:rPr>
          <w:rFonts w:asciiTheme="minorHAnsi" w:hAnsiTheme="minorHAnsi" w:cstheme="minorHAnsi"/>
          <w:b/>
          <w:iCs/>
        </w:rPr>
        <w:t xml:space="preserve"> 091 </w:t>
      </w:r>
      <w:r w:rsidRPr="005135C1">
        <w:rPr>
          <w:rFonts w:asciiTheme="minorHAnsi" w:hAnsiTheme="minorHAnsi" w:cstheme="minorHAnsi"/>
          <w:b/>
          <w:iCs/>
        </w:rPr>
        <w:t xml:space="preserve">millió Ft értékű tartalék alkatrészek </w:t>
      </w:r>
      <w:r w:rsidRPr="005135C1">
        <w:rPr>
          <w:rFonts w:asciiTheme="minorHAnsi" w:hAnsiTheme="minorHAnsi" w:cstheme="minorHAnsi"/>
          <w:iCs/>
        </w:rPr>
        <w:t xml:space="preserve">értékét, valamint az </w:t>
      </w:r>
      <w:r w:rsidRPr="005135C1">
        <w:rPr>
          <w:rFonts w:asciiTheme="minorHAnsi" w:hAnsiTheme="minorHAnsi" w:cstheme="minorHAnsi"/>
          <w:b/>
          <w:iCs/>
        </w:rPr>
        <w:t>M4 vonalra érkezett Alstom járművekhez szükséges tartalék alkatrészek</w:t>
      </w:r>
      <w:r w:rsidRPr="005135C1">
        <w:rPr>
          <w:rFonts w:asciiTheme="minorHAnsi" w:hAnsiTheme="minorHAnsi" w:cstheme="minorHAnsi"/>
          <w:iCs/>
        </w:rPr>
        <w:t xml:space="preserve"> </w:t>
      </w:r>
      <w:r w:rsidRPr="005135C1">
        <w:rPr>
          <w:rFonts w:asciiTheme="minorHAnsi" w:hAnsiTheme="minorHAnsi" w:cstheme="minorHAnsi"/>
          <w:b/>
          <w:iCs/>
        </w:rPr>
        <w:t>szerződés szerinti</w:t>
      </w:r>
      <w:r w:rsidRPr="005135C1">
        <w:rPr>
          <w:rFonts w:asciiTheme="minorHAnsi" w:hAnsiTheme="minorHAnsi" w:cstheme="minorHAnsi"/>
          <w:iCs/>
        </w:rPr>
        <w:t xml:space="preserve"> </w:t>
      </w:r>
      <w:r w:rsidRPr="005135C1">
        <w:rPr>
          <w:rFonts w:asciiTheme="minorHAnsi" w:hAnsiTheme="minorHAnsi" w:cstheme="minorHAnsi"/>
          <w:b/>
          <w:iCs/>
        </w:rPr>
        <w:t>1</w:t>
      </w:r>
      <w:r>
        <w:rPr>
          <w:rFonts w:asciiTheme="minorHAnsi" w:hAnsiTheme="minorHAnsi" w:cstheme="minorHAnsi"/>
          <w:b/>
          <w:iCs/>
        </w:rPr>
        <w:t> 629 </w:t>
      </w:r>
      <w:r w:rsidRPr="005135C1">
        <w:rPr>
          <w:rFonts w:asciiTheme="minorHAnsi" w:hAnsiTheme="minorHAnsi" w:cstheme="minorHAnsi"/>
          <w:b/>
          <w:iCs/>
        </w:rPr>
        <w:t>millió</w:t>
      </w:r>
      <w:r>
        <w:rPr>
          <w:rFonts w:asciiTheme="minorHAnsi" w:hAnsiTheme="minorHAnsi" w:cstheme="minorHAnsi"/>
          <w:b/>
          <w:iCs/>
        </w:rPr>
        <w:t> </w:t>
      </w:r>
      <w:r w:rsidRPr="005135C1">
        <w:rPr>
          <w:rFonts w:asciiTheme="minorHAnsi" w:hAnsiTheme="minorHAnsi" w:cstheme="minorHAnsi"/>
          <w:b/>
          <w:iCs/>
        </w:rPr>
        <w:t>Ft értékét</w:t>
      </w:r>
      <w:r w:rsidRPr="005135C1">
        <w:rPr>
          <w:rFonts w:asciiTheme="minorHAnsi" w:hAnsiTheme="minorHAnsi" w:cstheme="minorHAnsi"/>
          <w:iCs/>
        </w:rPr>
        <w:t xml:space="preserve"> </w:t>
      </w:r>
      <w:r>
        <w:rPr>
          <w:rFonts w:asciiTheme="minorHAnsi" w:hAnsiTheme="minorHAnsi" w:cstheme="minorHAnsi"/>
          <w:iCs/>
        </w:rPr>
        <w:t xml:space="preserve">– </w:t>
      </w:r>
      <w:r w:rsidRPr="005135C1">
        <w:rPr>
          <w:rFonts w:asciiTheme="minorHAnsi" w:hAnsiTheme="minorHAnsi" w:cstheme="minorHAnsi"/>
          <w:iCs/>
        </w:rPr>
        <w:t>ez azonban többletforrást nem igényel</w:t>
      </w:r>
      <w:r>
        <w:rPr>
          <w:rFonts w:asciiTheme="minorHAnsi" w:hAnsiTheme="minorHAnsi" w:cstheme="minorHAnsi"/>
          <w:iCs/>
        </w:rPr>
        <w:t xml:space="preserve"> –, valamint </w:t>
      </w:r>
      <w:r w:rsidRPr="005135C1">
        <w:rPr>
          <w:rFonts w:asciiTheme="minorHAnsi" w:hAnsiTheme="minorHAnsi" w:cstheme="minorHAnsi"/>
          <w:iCs/>
        </w:rPr>
        <w:t>az M3 felújított orosz járművek tartalék alkatrészeinek 1 7</w:t>
      </w:r>
      <w:r>
        <w:rPr>
          <w:rFonts w:asciiTheme="minorHAnsi" w:hAnsiTheme="minorHAnsi" w:cstheme="minorHAnsi"/>
          <w:iCs/>
        </w:rPr>
        <w:t>91</w:t>
      </w:r>
      <w:r w:rsidRPr="005135C1">
        <w:rPr>
          <w:rFonts w:asciiTheme="minorHAnsi" w:hAnsiTheme="minorHAnsi" w:cstheme="minorHAnsi"/>
          <w:iCs/>
        </w:rPr>
        <w:t xml:space="preserve"> millió Ft értékét. Tartalmazza továbbá </w:t>
      </w:r>
      <w:r>
        <w:rPr>
          <w:rFonts w:asciiTheme="minorHAnsi" w:hAnsiTheme="minorHAnsi" w:cstheme="minorHAnsi"/>
          <w:iCs/>
        </w:rPr>
        <w:t>a Metró Felújítási Projekt keretében beszerzésre kerülő kitérők és sínek 1</w:t>
      </w:r>
      <w:r w:rsidR="002663D1" w:rsidRPr="002663D1">
        <w:rPr>
          <w:rFonts w:asciiTheme="minorHAnsi" w:hAnsiTheme="minorHAnsi" w:cstheme="minorHAnsi"/>
          <w:iCs/>
        </w:rPr>
        <w:t> </w:t>
      </w:r>
      <w:r>
        <w:rPr>
          <w:rFonts w:asciiTheme="minorHAnsi" w:hAnsiTheme="minorHAnsi" w:cstheme="minorHAnsi"/>
          <w:iCs/>
        </w:rPr>
        <w:t>272 millió Ft értékét</w:t>
      </w:r>
      <w:r w:rsidR="00CA308E">
        <w:rPr>
          <w:rFonts w:asciiTheme="minorHAnsi" w:hAnsiTheme="minorHAnsi" w:cstheme="minorHAnsi"/>
          <w:iCs/>
        </w:rPr>
        <w:t>,</w:t>
      </w:r>
      <w:r>
        <w:rPr>
          <w:rFonts w:asciiTheme="minorHAnsi" w:hAnsiTheme="minorHAnsi" w:cstheme="minorHAnsi"/>
          <w:iCs/>
        </w:rPr>
        <w:t xml:space="preserve"> a </w:t>
      </w:r>
      <w:r w:rsidRPr="005135C1">
        <w:rPr>
          <w:rFonts w:asciiTheme="minorHAnsi" w:hAnsiTheme="minorHAnsi" w:cstheme="minorHAnsi"/>
          <w:iCs/>
        </w:rPr>
        <w:t>gázolaj értékesítéshez szükséges, rendelkezésre tartott értékesítési célú készleteket</w:t>
      </w:r>
      <w:r>
        <w:rPr>
          <w:rFonts w:asciiTheme="minorHAnsi" w:hAnsiTheme="minorHAnsi" w:cstheme="minorHAnsi"/>
          <w:iCs/>
        </w:rPr>
        <w:t xml:space="preserve">, mely </w:t>
      </w:r>
      <w:r w:rsidRPr="005135C1">
        <w:rPr>
          <w:rFonts w:asciiTheme="minorHAnsi" w:hAnsiTheme="minorHAnsi" w:cstheme="minorHAnsi"/>
          <w:iCs/>
        </w:rPr>
        <w:t xml:space="preserve">a Cinkotai és a Délpesti </w:t>
      </w:r>
      <w:r>
        <w:rPr>
          <w:rFonts w:asciiTheme="minorHAnsi" w:hAnsiTheme="minorHAnsi" w:cstheme="minorHAnsi"/>
          <w:iCs/>
        </w:rPr>
        <w:t>telephelyek</w:t>
      </w:r>
      <w:r w:rsidRPr="005135C1">
        <w:rPr>
          <w:rFonts w:asciiTheme="minorHAnsi" w:hAnsiTheme="minorHAnsi" w:cstheme="minorHAnsi"/>
          <w:iCs/>
        </w:rPr>
        <w:t xml:space="preserve"> gázolaj készletét</w:t>
      </w:r>
      <w:r>
        <w:rPr>
          <w:rFonts w:asciiTheme="minorHAnsi" w:hAnsiTheme="minorHAnsi" w:cstheme="minorHAnsi"/>
          <w:iCs/>
        </w:rPr>
        <w:t xml:space="preserve"> foglalja magában</w:t>
      </w:r>
      <w:r w:rsidRPr="005135C1">
        <w:rPr>
          <w:rFonts w:asciiTheme="minorHAnsi" w:hAnsiTheme="minorHAnsi" w:cstheme="minorHAnsi"/>
          <w:iCs/>
        </w:rPr>
        <w:t xml:space="preserve">. </w:t>
      </w:r>
      <w:r>
        <w:rPr>
          <w:rFonts w:asciiTheme="minorHAnsi" w:hAnsiTheme="minorHAnsi" w:cstheme="minorHAnsi"/>
          <w:iCs/>
        </w:rPr>
        <w:t>A</w:t>
      </w:r>
      <w:r w:rsidRPr="005135C1">
        <w:rPr>
          <w:rFonts w:asciiTheme="minorHAnsi" w:hAnsiTheme="minorHAnsi" w:cstheme="minorHAnsi"/>
          <w:iCs/>
        </w:rPr>
        <w:t xml:space="preserve"> beruházásokhoz beérkező pályaépítési anyagok készletigény</w:t>
      </w:r>
      <w:r>
        <w:rPr>
          <w:rFonts w:asciiTheme="minorHAnsi" w:hAnsiTheme="minorHAnsi" w:cstheme="minorHAnsi"/>
          <w:iCs/>
        </w:rPr>
        <w:t>e</w:t>
      </w:r>
      <w:r w:rsidRPr="005135C1">
        <w:rPr>
          <w:rFonts w:asciiTheme="minorHAnsi" w:hAnsiTheme="minorHAnsi" w:cstheme="minorHAnsi"/>
          <w:iCs/>
        </w:rPr>
        <w:t xml:space="preserve">, </w:t>
      </w:r>
      <w:r>
        <w:rPr>
          <w:rFonts w:asciiTheme="minorHAnsi" w:hAnsiTheme="minorHAnsi" w:cstheme="minorHAnsi"/>
          <w:iCs/>
        </w:rPr>
        <w:t>valamint</w:t>
      </w:r>
      <w:r w:rsidRPr="005135C1">
        <w:rPr>
          <w:rFonts w:asciiTheme="minorHAnsi" w:hAnsiTheme="minorHAnsi" w:cstheme="minorHAnsi"/>
          <w:iCs/>
        </w:rPr>
        <w:t xml:space="preserve"> a Combino járművek technológia szerinti javításához, illetve a mozgólépcsők saját hatáskörű javításához szükséges készletezendő anyagok, alkatrészek is</w:t>
      </w:r>
      <w:r>
        <w:rPr>
          <w:rFonts w:asciiTheme="minorHAnsi" w:hAnsiTheme="minorHAnsi" w:cstheme="minorHAnsi"/>
          <w:iCs/>
        </w:rPr>
        <w:t xml:space="preserve"> a tervezett zárókészlet részét képezik</w:t>
      </w:r>
      <w:r w:rsidRPr="005135C1">
        <w:rPr>
          <w:rFonts w:asciiTheme="minorHAnsi" w:hAnsiTheme="minorHAnsi" w:cstheme="minorHAnsi"/>
          <w:iCs/>
        </w:rPr>
        <w:t xml:space="preserve">. </w:t>
      </w:r>
      <w:r>
        <w:rPr>
          <w:rFonts w:asciiTheme="minorHAnsi" w:hAnsiTheme="minorHAnsi" w:cstheme="minorHAnsi"/>
          <w:iCs/>
        </w:rPr>
        <w:t>Azonban a</w:t>
      </w:r>
      <w:r w:rsidRPr="005135C1">
        <w:rPr>
          <w:rFonts w:asciiTheme="minorHAnsi" w:hAnsiTheme="minorHAnsi" w:cstheme="minorHAnsi"/>
          <w:iCs/>
        </w:rPr>
        <w:t xml:space="preserve"> raktári készletek (úton lévő, tank</w:t>
      </w:r>
      <w:r>
        <w:rPr>
          <w:rFonts w:asciiTheme="minorHAnsi" w:hAnsiTheme="minorHAnsi" w:cstheme="minorHAnsi"/>
          <w:iCs/>
        </w:rPr>
        <w:t>k</w:t>
      </w:r>
      <w:r w:rsidRPr="005135C1">
        <w:rPr>
          <w:rFonts w:asciiTheme="minorHAnsi" w:hAnsiTheme="minorHAnsi" w:cstheme="minorHAnsi"/>
          <w:iCs/>
        </w:rPr>
        <w:t xml:space="preserve">észletek, stb.) </w:t>
      </w:r>
      <w:r>
        <w:rPr>
          <w:rFonts w:asciiTheme="minorHAnsi" w:hAnsiTheme="minorHAnsi" w:cstheme="minorHAnsi"/>
          <w:iCs/>
        </w:rPr>
        <w:t>nem jelennek meg a tervösszegben</w:t>
      </w:r>
      <w:r w:rsidRPr="005135C1">
        <w:rPr>
          <w:rFonts w:asciiTheme="minorHAnsi" w:hAnsiTheme="minorHAnsi" w:cstheme="minorHAnsi"/>
          <w:iCs/>
        </w:rPr>
        <w:t>.</w:t>
      </w:r>
    </w:p>
    <w:p w14:paraId="358543EE" w14:textId="77777777" w:rsidR="008B1720" w:rsidRPr="0056690E" w:rsidRDefault="008B1720" w:rsidP="008B1720">
      <w:pPr>
        <w:rPr>
          <w:rFonts w:ascii="Calibri" w:hAnsi="Calibri" w:cs="Calibri"/>
          <w:color w:val="FF0000"/>
          <w:lang w:eastAsia="en-US"/>
        </w:rPr>
      </w:pPr>
      <w:r w:rsidRPr="0056690E">
        <w:rPr>
          <w:rFonts w:ascii="Calibri" w:hAnsi="Calibri" w:cs="Calibri"/>
          <w:color w:val="FF0000"/>
          <w:lang w:eastAsia="en-US"/>
        </w:rPr>
        <w:br w:type="page"/>
      </w:r>
    </w:p>
    <w:p w14:paraId="548BC20C" w14:textId="77777777" w:rsidR="00DA4CF8" w:rsidRPr="00C8142B" w:rsidRDefault="00DA4CF8" w:rsidP="00106B84">
      <w:pPr>
        <w:pStyle w:val="Cmsor1"/>
        <w:pageBreakBefore/>
        <w:numPr>
          <w:ilvl w:val="0"/>
          <w:numId w:val="17"/>
        </w:numPr>
        <w:spacing w:before="360" w:after="360"/>
        <w:jc w:val="left"/>
        <w:rPr>
          <w:rStyle w:val="Stlus14ptFlkvrAlhzs"/>
          <w:rFonts w:asciiTheme="minorHAnsi" w:hAnsiTheme="minorHAnsi" w:cstheme="minorHAnsi"/>
          <w:bCs/>
          <w:i w:val="0"/>
          <w:u w:val="none"/>
        </w:rPr>
      </w:pPr>
      <w:bookmarkStart w:id="109" w:name="_Toc512409641"/>
      <w:r w:rsidRPr="00C8142B">
        <w:rPr>
          <w:rStyle w:val="Stlus14ptFlkvrAlhzs"/>
          <w:rFonts w:asciiTheme="minorHAnsi" w:hAnsiTheme="minorHAnsi" w:cstheme="minorHAnsi"/>
          <w:bCs/>
          <w:i w:val="0"/>
          <w:u w:val="none"/>
        </w:rPr>
        <w:lastRenderedPageBreak/>
        <w:t>Pénzügyi (likviditási) és cash flow tervek</w:t>
      </w:r>
      <w:bookmarkEnd w:id="109"/>
    </w:p>
    <w:p w14:paraId="10A0363B" w14:textId="77777777" w:rsidR="00E735ED" w:rsidRPr="0056690E" w:rsidRDefault="00E735ED" w:rsidP="001E0F17">
      <w:pPr>
        <w:pStyle w:val="Cmsor2"/>
      </w:pPr>
      <w:bookmarkStart w:id="110" w:name="_Toc443317920"/>
      <w:bookmarkStart w:id="111" w:name="_Toc465246393"/>
      <w:bookmarkStart w:id="112" w:name="_Toc512409642"/>
      <w:r w:rsidRPr="0056690E">
        <w:t>Likviditá</w:t>
      </w:r>
      <w:bookmarkEnd w:id="110"/>
      <w:bookmarkEnd w:id="111"/>
      <w:r w:rsidRPr="0056690E">
        <w:t>s</w:t>
      </w:r>
      <w:bookmarkEnd w:id="112"/>
    </w:p>
    <w:p w14:paraId="6D4D302D" w14:textId="77777777" w:rsidR="00626FE1" w:rsidRPr="003860A9" w:rsidRDefault="00626FE1" w:rsidP="00411D9D">
      <w:pPr>
        <w:pStyle w:val="Lista3"/>
        <w:ind w:left="0" w:firstLine="0"/>
        <w:rPr>
          <w:rFonts w:ascii="Calibri" w:hAnsi="Calibri" w:cs="Calibri"/>
        </w:rPr>
      </w:pPr>
    </w:p>
    <w:p w14:paraId="4832D27E" w14:textId="77777777" w:rsidR="00447E01" w:rsidRPr="00051FA6" w:rsidRDefault="00447E01" w:rsidP="00447E01">
      <w:pPr>
        <w:pStyle w:val="Lista3"/>
        <w:ind w:left="0" w:firstLine="0"/>
        <w:jc w:val="both"/>
        <w:rPr>
          <w:rFonts w:ascii="Calibri" w:hAnsi="Calibri" w:cs="Calibri"/>
        </w:rPr>
      </w:pPr>
      <w:r w:rsidRPr="006F1195">
        <w:rPr>
          <w:rFonts w:ascii="Calibri" w:hAnsi="Calibri" w:cs="Calibri"/>
        </w:rPr>
        <w:t xml:space="preserve">A </w:t>
      </w:r>
      <w:r>
        <w:rPr>
          <w:rFonts w:ascii="Calibri" w:hAnsi="Calibri" w:cs="Calibri"/>
        </w:rPr>
        <w:t>BKV Zrt. 2018</w:t>
      </w:r>
      <w:r w:rsidRPr="006F1195">
        <w:rPr>
          <w:rFonts w:ascii="Calibri" w:hAnsi="Calibri" w:cs="Calibri"/>
        </w:rPr>
        <w:t>. évre vonatkozó likviditási terv</w:t>
      </w:r>
      <w:r>
        <w:rPr>
          <w:rFonts w:ascii="Calibri" w:hAnsi="Calibri" w:cs="Calibri"/>
        </w:rPr>
        <w:t>ének</w:t>
      </w:r>
      <w:r w:rsidRPr="006F1195">
        <w:rPr>
          <w:rFonts w:ascii="Calibri" w:hAnsi="Calibri" w:cs="Calibri"/>
        </w:rPr>
        <w:t xml:space="preserve"> kialakítása során feltételezés, hogy az </w:t>
      </w:r>
      <w:r w:rsidRPr="00051FA6">
        <w:rPr>
          <w:rFonts w:ascii="Calibri" w:hAnsi="Calibri" w:cs="Calibri"/>
        </w:rPr>
        <w:t>Üzleti Tervben megjelenő bevételek és költségek</w:t>
      </w:r>
      <w:r>
        <w:rPr>
          <w:rFonts w:ascii="Calibri" w:hAnsi="Calibri" w:cs="Calibri"/>
        </w:rPr>
        <w:t>-</w:t>
      </w:r>
      <w:r w:rsidRPr="00051FA6">
        <w:rPr>
          <w:rFonts w:ascii="Calibri" w:hAnsi="Calibri" w:cs="Calibri"/>
        </w:rPr>
        <w:t>ráfordítások az év</w:t>
      </w:r>
      <w:r>
        <w:rPr>
          <w:rFonts w:ascii="Calibri" w:hAnsi="Calibri" w:cs="Calibri"/>
        </w:rPr>
        <w:t xml:space="preserve"> során</w:t>
      </w:r>
      <w:r w:rsidRPr="00051FA6">
        <w:rPr>
          <w:rFonts w:ascii="Calibri" w:hAnsi="Calibri" w:cs="Calibri"/>
        </w:rPr>
        <w:t xml:space="preserve"> pénzügyileg </w:t>
      </w:r>
      <w:r>
        <w:rPr>
          <w:rFonts w:ascii="Calibri" w:hAnsi="Calibri" w:cs="Calibri"/>
        </w:rPr>
        <w:t xml:space="preserve">is </w:t>
      </w:r>
      <w:r w:rsidRPr="00051FA6">
        <w:rPr>
          <w:rFonts w:ascii="Calibri" w:hAnsi="Calibri" w:cs="Calibri"/>
        </w:rPr>
        <w:t xml:space="preserve">teljesítésre kerülnek. A pénzforgalmi szemléletű likviditási tervben </w:t>
      </w:r>
      <w:r>
        <w:rPr>
          <w:rFonts w:ascii="Calibri" w:hAnsi="Calibri" w:cs="Calibri"/>
        </w:rPr>
        <w:t xml:space="preserve">alapvetően </w:t>
      </w:r>
      <w:r w:rsidRPr="00051FA6">
        <w:rPr>
          <w:rFonts w:ascii="Calibri" w:hAnsi="Calibri" w:cs="Calibri"/>
        </w:rPr>
        <w:t>az Üzleti Terv eredménytervében</w:t>
      </w:r>
      <w:r>
        <w:rPr>
          <w:rFonts w:ascii="Calibri" w:hAnsi="Calibri" w:cs="Calibri"/>
        </w:rPr>
        <w:t>, valamint az előzetes beruházási tervben</w:t>
      </w:r>
      <w:r w:rsidRPr="00051FA6">
        <w:rPr>
          <w:rFonts w:ascii="Calibri" w:hAnsi="Calibri" w:cs="Calibri"/>
        </w:rPr>
        <w:t xml:space="preserve"> megjelenő pénzügyi hatások kerültek számbavételre.</w:t>
      </w:r>
      <w:r>
        <w:rPr>
          <w:rFonts w:ascii="Calibri" w:hAnsi="Calibri" w:cs="Calibri"/>
        </w:rPr>
        <w:t xml:space="preserve"> </w:t>
      </w:r>
      <w:r w:rsidRPr="000E1BC4">
        <w:rPr>
          <w:rFonts w:ascii="Calibri" w:hAnsi="Calibri" w:cs="Calibri"/>
        </w:rPr>
        <w:t xml:space="preserve">A likviditási terv január-március hónapokban tény adatokat, április-május hónapokban </w:t>
      </w:r>
      <w:r>
        <w:rPr>
          <w:rFonts w:ascii="Calibri" w:hAnsi="Calibri" w:cs="Calibri"/>
        </w:rPr>
        <w:t xml:space="preserve">a </w:t>
      </w:r>
      <w:r w:rsidRPr="000E1BC4">
        <w:rPr>
          <w:rFonts w:ascii="Calibri" w:hAnsi="Calibri" w:cs="Calibri"/>
        </w:rPr>
        <w:t>várható adatokat tartalmaz</w:t>
      </w:r>
      <w:r>
        <w:rPr>
          <w:rFonts w:ascii="Calibri" w:hAnsi="Calibri" w:cs="Calibri"/>
        </w:rPr>
        <w:t>za.</w:t>
      </w:r>
    </w:p>
    <w:p w14:paraId="60C217D1" w14:textId="77777777" w:rsidR="00447E01" w:rsidRDefault="00447E01" w:rsidP="00447E01">
      <w:pPr>
        <w:pStyle w:val="Lista3"/>
        <w:ind w:left="0" w:firstLine="0"/>
        <w:jc w:val="both"/>
        <w:rPr>
          <w:rFonts w:ascii="Calibri" w:hAnsi="Calibri" w:cs="Calibri"/>
        </w:rPr>
      </w:pPr>
    </w:p>
    <w:p w14:paraId="1118AA49" w14:textId="77777777" w:rsidR="00447E01" w:rsidRPr="00051FA6" w:rsidRDefault="00447E01" w:rsidP="00447E01">
      <w:pPr>
        <w:spacing w:after="120"/>
        <w:jc w:val="both"/>
        <w:rPr>
          <w:rFonts w:ascii="Calibri" w:hAnsi="Calibri" w:cs="Calibri"/>
        </w:rPr>
      </w:pPr>
      <w:r w:rsidRPr="00051FA6">
        <w:rPr>
          <w:rFonts w:ascii="Calibri" w:hAnsi="Calibri" w:cs="Calibri"/>
        </w:rPr>
        <w:t>A BKV Zrt. 201</w:t>
      </w:r>
      <w:r>
        <w:rPr>
          <w:rFonts w:ascii="Calibri" w:hAnsi="Calibri" w:cs="Calibri"/>
        </w:rPr>
        <w:t>8</w:t>
      </w:r>
      <w:r w:rsidRPr="00051FA6">
        <w:rPr>
          <w:rFonts w:ascii="Calibri" w:hAnsi="Calibri" w:cs="Calibri"/>
        </w:rPr>
        <w:t>. évre vonatkozó Ü</w:t>
      </w:r>
      <w:r>
        <w:rPr>
          <w:rFonts w:ascii="Calibri" w:hAnsi="Calibri" w:cs="Calibri"/>
        </w:rPr>
        <w:t xml:space="preserve">zleti Tervének likviditási terve </w:t>
      </w:r>
      <w:r w:rsidRPr="00051FA6">
        <w:rPr>
          <w:rFonts w:ascii="Calibri" w:hAnsi="Calibri" w:cs="Calibri"/>
        </w:rPr>
        <w:t>az alább</w:t>
      </w:r>
      <w:r>
        <w:rPr>
          <w:rFonts w:ascii="Calibri" w:hAnsi="Calibri" w:cs="Calibri"/>
        </w:rPr>
        <w:t>i főbb feltételezéseken alapszik</w:t>
      </w:r>
      <w:r w:rsidRPr="00051FA6">
        <w:rPr>
          <w:rFonts w:ascii="Calibri" w:hAnsi="Calibri" w:cs="Calibri"/>
        </w:rPr>
        <w:t>:</w:t>
      </w:r>
    </w:p>
    <w:p w14:paraId="7A496192" w14:textId="679DA00D" w:rsidR="00447E01" w:rsidRDefault="00447E01" w:rsidP="00447E01">
      <w:pPr>
        <w:numPr>
          <w:ilvl w:val="0"/>
          <w:numId w:val="16"/>
        </w:numPr>
        <w:tabs>
          <w:tab w:val="clear" w:pos="720"/>
          <w:tab w:val="num" w:pos="400"/>
        </w:tabs>
        <w:spacing w:before="120"/>
        <w:ind w:left="403" w:hanging="403"/>
        <w:jc w:val="both"/>
        <w:rPr>
          <w:rFonts w:ascii="Calibri" w:hAnsi="Calibri" w:cs="Calibri"/>
        </w:rPr>
      </w:pPr>
      <w:r w:rsidRPr="003978BB">
        <w:rPr>
          <w:rFonts w:ascii="Calibri" w:hAnsi="Calibri" w:cs="Calibri"/>
        </w:rPr>
        <w:t>A likviditási terv az előzetes eredménytervben megállapított 11</w:t>
      </w:r>
      <w:r>
        <w:rPr>
          <w:rFonts w:ascii="Calibri" w:hAnsi="Calibri" w:cs="Calibri"/>
        </w:rPr>
        <w:t>6</w:t>
      </w:r>
      <w:r w:rsidR="002663D1" w:rsidRPr="002663D1">
        <w:rPr>
          <w:rFonts w:ascii="Calibri" w:hAnsi="Calibri" w:cs="Calibri"/>
        </w:rPr>
        <w:t> </w:t>
      </w:r>
      <w:r>
        <w:rPr>
          <w:rFonts w:ascii="Calibri" w:hAnsi="Calibri" w:cs="Calibri"/>
        </w:rPr>
        <w:t>024</w:t>
      </w:r>
      <w:r w:rsidRPr="003978BB">
        <w:rPr>
          <w:rFonts w:ascii="Calibri" w:hAnsi="Calibri" w:cs="Calibri"/>
        </w:rPr>
        <w:t> millió Ft éves kompenzációs díjat veszi figyelembe. A likviditási terv</w:t>
      </w:r>
      <w:r>
        <w:rPr>
          <w:rFonts w:ascii="Calibri" w:hAnsi="Calibri" w:cs="Calibri"/>
        </w:rPr>
        <w:t xml:space="preserve"> </w:t>
      </w:r>
      <w:r w:rsidRPr="003978BB">
        <w:rPr>
          <w:rFonts w:ascii="Calibri" w:hAnsi="Calibri" w:cs="Calibri"/>
        </w:rPr>
        <w:t xml:space="preserve">feltételezi, hogy </w:t>
      </w:r>
      <w:r>
        <w:rPr>
          <w:rFonts w:ascii="Calibri" w:hAnsi="Calibri" w:cs="Calibri"/>
        </w:rPr>
        <w:t>2018. január- május</w:t>
      </w:r>
      <w:r w:rsidRPr="003978BB">
        <w:rPr>
          <w:rFonts w:ascii="Calibri" w:hAnsi="Calibri" w:cs="Calibri"/>
        </w:rPr>
        <w:t> hónapokat érintő</w:t>
      </w:r>
      <w:r>
        <w:rPr>
          <w:rFonts w:ascii="Calibri" w:hAnsi="Calibri" w:cs="Calibri"/>
        </w:rPr>
        <w:t>en a</w:t>
      </w:r>
      <w:r w:rsidRPr="003978BB">
        <w:rPr>
          <w:rFonts w:ascii="Calibri" w:hAnsi="Calibri" w:cs="Calibri"/>
        </w:rPr>
        <w:t xml:space="preserve"> </w:t>
      </w:r>
      <w:r>
        <w:rPr>
          <w:rFonts w:ascii="Calibri" w:hAnsi="Calibri" w:cs="Calibri"/>
        </w:rPr>
        <w:t xml:space="preserve">BKK Zrt. és a BKV Zrt. között létrejött </w:t>
      </w:r>
      <w:r w:rsidRPr="003978BB">
        <w:rPr>
          <w:rFonts w:ascii="Calibri" w:hAnsi="Calibri" w:cs="Calibri"/>
        </w:rPr>
        <w:t>2018. évi átmeneti finanszírozásról szóló megállapodás</w:t>
      </w:r>
      <w:r>
        <w:rPr>
          <w:rFonts w:ascii="Calibri" w:hAnsi="Calibri" w:cs="Calibri"/>
        </w:rPr>
        <w:t xml:space="preserve"> alapján történik a BKV Zrt. kompenzációs díjának havi folyósítása. A terv szerint a kompenzációs díj folyósítására 2018. június-december hónapokban </w:t>
      </w:r>
      <w:r w:rsidRPr="00BC2E35">
        <w:rPr>
          <w:rFonts w:ascii="Calibri" w:hAnsi="Calibri" w:cs="Calibri"/>
        </w:rPr>
        <w:t xml:space="preserve">az Üzleti Terv eredményterve szerinti </w:t>
      </w:r>
      <w:r>
        <w:rPr>
          <w:rFonts w:ascii="Calibri" w:hAnsi="Calibri" w:cs="Calibri"/>
        </w:rPr>
        <w:t>összegekben</w:t>
      </w:r>
      <w:r w:rsidRPr="00BC2E35">
        <w:rPr>
          <w:rFonts w:ascii="Calibri" w:hAnsi="Calibri" w:cs="Calibri"/>
        </w:rPr>
        <w:t xml:space="preserve"> kerül </w:t>
      </w:r>
      <w:r>
        <w:rPr>
          <w:rFonts w:ascii="Calibri" w:hAnsi="Calibri" w:cs="Calibri"/>
        </w:rPr>
        <w:t>sor</w:t>
      </w:r>
      <w:r w:rsidRPr="00BC2E35">
        <w:rPr>
          <w:rFonts w:ascii="Calibri" w:hAnsi="Calibri" w:cs="Calibri"/>
        </w:rPr>
        <w:t xml:space="preserve">. </w:t>
      </w:r>
      <w:r>
        <w:rPr>
          <w:rFonts w:ascii="Calibri" w:hAnsi="Calibri" w:cs="Calibri"/>
        </w:rPr>
        <w:t>Az</w:t>
      </w:r>
      <w:r w:rsidRPr="003978BB">
        <w:rPr>
          <w:rFonts w:ascii="Calibri" w:hAnsi="Calibri" w:cs="Calibri"/>
        </w:rPr>
        <w:t xml:space="preserve"> Üzleti Terv eredményterve </w:t>
      </w:r>
      <w:r>
        <w:rPr>
          <w:rFonts w:ascii="Calibri" w:hAnsi="Calibri" w:cs="Calibri"/>
        </w:rPr>
        <w:t xml:space="preserve">és a megállapodás </w:t>
      </w:r>
      <w:r w:rsidRPr="003978BB">
        <w:rPr>
          <w:rFonts w:ascii="Calibri" w:hAnsi="Calibri" w:cs="Calibri"/>
        </w:rPr>
        <w:t xml:space="preserve">közötti </w:t>
      </w:r>
      <w:r>
        <w:rPr>
          <w:rFonts w:ascii="Calibri" w:hAnsi="Calibri" w:cs="Calibri"/>
        </w:rPr>
        <w:t>218</w:t>
      </w:r>
      <w:r w:rsidRPr="003978BB">
        <w:rPr>
          <w:rFonts w:ascii="Calibri" w:hAnsi="Calibri" w:cs="Calibri"/>
        </w:rPr>
        <w:t> millió Ft-os</w:t>
      </w:r>
      <w:r>
        <w:rPr>
          <w:rFonts w:ascii="Calibri" w:hAnsi="Calibri" w:cs="Calibri"/>
        </w:rPr>
        <w:t xml:space="preserve"> díjkülönbözet rendezését a likviditási terv 2018. június hónapjában tartalmazza. </w:t>
      </w:r>
      <w:r w:rsidRPr="00BC2E35">
        <w:rPr>
          <w:rFonts w:ascii="Calibri" w:hAnsi="Calibri" w:cs="Calibri"/>
        </w:rPr>
        <w:t xml:space="preserve">A </w:t>
      </w:r>
      <w:r>
        <w:rPr>
          <w:rFonts w:ascii="Calibri" w:hAnsi="Calibri" w:cs="Calibri"/>
        </w:rPr>
        <w:t xml:space="preserve">tervben a </w:t>
      </w:r>
      <w:r w:rsidRPr="00BC2E35">
        <w:rPr>
          <w:rFonts w:ascii="Calibri" w:hAnsi="Calibri" w:cs="Calibri"/>
        </w:rPr>
        <w:t xml:space="preserve">kompenzáció </w:t>
      </w:r>
      <w:r>
        <w:rPr>
          <w:rFonts w:ascii="Calibri" w:hAnsi="Calibri" w:cs="Calibri"/>
        </w:rPr>
        <w:t xml:space="preserve">havi </w:t>
      </w:r>
      <w:r w:rsidRPr="00BC2E35">
        <w:rPr>
          <w:rFonts w:ascii="Calibri" w:hAnsi="Calibri" w:cs="Calibri"/>
        </w:rPr>
        <w:t xml:space="preserve">összegét </w:t>
      </w:r>
      <w:r>
        <w:rPr>
          <w:rFonts w:ascii="Calibri" w:hAnsi="Calibri" w:cs="Calibri"/>
        </w:rPr>
        <w:t xml:space="preserve">március hónapban 9 millió Ft </w:t>
      </w:r>
      <w:r w:rsidRPr="00BC2E35">
        <w:rPr>
          <w:rFonts w:ascii="Calibri" w:hAnsi="Calibri" w:cs="Calibri"/>
        </w:rPr>
        <w:t>kötbér levonása csökkenti.</w:t>
      </w:r>
    </w:p>
    <w:p w14:paraId="6C3120F0" w14:textId="3767EB09" w:rsidR="00447E01" w:rsidRDefault="00447E01" w:rsidP="00447E01">
      <w:pPr>
        <w:numPr>
          <w:ilvl w:val="0"/>
          <w:numId w:val="16"/>
        </w:numPr>
        <w:tabs>
          <w:tab w:val="clear" w:pos="720"/>
          <w:tab w:val="num" w:pos="400"/>
        </w:tabs>
        <w:spacing w:before="120"/>
        <w:ind w:left="403" w:hanging="403"/>
        <w:jc w:val="both"/>
        <w:rPr>
          <w:rFonts w:ascii="Calibri" w:hAnsi="Calibri" w:cs="Calibri"/>
        </w:rPr>
      </w:pPr>
      <w:r>
        <w:rPr>
          <w:rFonts w:ascii="Calibri" w:hAnsi="Calibri" w:cs="Calibri"/>
        </w:rPr>
        <w:t xml:space="preserve">A terv feltételezi </w:t>
      </w:r>
      <w:r w:rsidRPr="003978BB">
        <w:rPr>
          <w:rFonts w:ascii="Calibri" w:hAnsi="Calibri" w:cs="Calibri"/>
        </w:rPr>
        <w:t>a</w:t>
      </w:r>
      <w:r>
        <w:rPr>
          <w:rFonts w:ascii="Calibri" w:hAnsi="Calibri" w:cs="Calibri"/>
        </w:rPr>
        <w:t>z eredményterv szerinti éves kompenzációs díjon felül a</w:t>
      </w:r>
      <w:r w:rsidRPr="003978BB">
        <w:rPr>
          <w:rFonts w:ascii="Calibri" w:hAnsi="Calibri" w:cs="Calibri"/>
        </w:rPr>
        <w:t xml:space="preserve"> </w:t>
      </w:r>
      <w:r>
        <w:rPr>
          <w:rFonts w:ascii="Calibri" w:hAnsi="Calibri" w:cs="Calibri"/>
        </w:rPr>
        <w:t>2017. évi éves elszá</w:t>
      </w:r>
      <w:r w:rsidR="002663D1">
        <w:rPr>
          <w:rFonts w:ascii="Calibri" w:hAnsi="Calibri" w:cs="Calibri"/>
        </w:rPr>
        <w:t>molással kapcsolatban további 7</w:t>
      </w:r>
      <w:r w:rsidR="002663D1" w:rsidRPr="002663D1">
        <w:rPr>
          <w:rFonts w:ascii="Calibri" w:hAnsi="Calibri" w:cs="Calibri"/>
        </w:rPr>
        <w:t> </w:t>
      </w:r>
      <w:r>
        <w:rPr>
          <w:rFonts w:ascii="Calibri" w:hAnsi="Calibri" w:cs="Calibri"/>
        </w:rPr>
        <w:t>998</w:t>
      </w:r>
      <w:r w:rsidRPr="003978BB">
        <w:rPr>
          <w:rFonts w:ascii="Calibri" w:hAnsi="Calibri" w:cs="Calibri"/>
        </w:rPr>
        <w:t> millió Ft</w:t>
      </w:r>
      <w:r>
        <w:rPr>
          <w:rFonts w:ascii="Calibri" w:hAnsi="Calibri" w:cs="Calibri"/>
        </w:rPr>
        <w:t xml:space="preserve"> </w:t>
      </w:r>
      <w:r w:rsidRPr="003978BB">
        <w:rPr>
          <w:rFonts w:ascii="Calibri" w:hAnsi="Calibri" w:cs="Calibri"/>
        </w:rPr>
        <w:t>folyósítás</w:t>
      </w:r>
      <w:r>
        <w:rPr>
          <w:rFonts w:ascii="Calibri" w:hAnsi="Calibri" w:cs="Calibri"/>
        </w:rPr>
        <w:t>át</w:t>
      </w:r>
      <w:r w:rsidRPr="003978BB">
        <w:rPr>
          <w:rFonts w:ascii="Calibri" w:hAnsi="Calibri" w:cs="Calibri"/>
        </w:rPr>
        <w:t xml:space="preserve"> </w:t>
      </w:r>
      <w:r>
        <w:rPr>
          <w:rFonts w:ascii="Calibri" w:hAnsi="Calibri" w:cs="Calibri"/>
        </w:rPr>
        <w:t xml:space="preserve">a BKV Zrt. részére 2018 júniusában, amely a 2018. évre tervezett beruházási kifizetésekre kerül felhasználásra. </w:t>
      </w:r>
      <w:r w:rsidR="001E7B1F">
        <w:rPr>
          <w:rFonts w:ascii="Calibri" w:hAnsi="Calibri" w:cs="Calibri"/>
        </w:rPr>
        <w:br/>
      </w:r>
      <w:r>
        <w:rPr>
          <w:rFonts w:ascii="Calibri" w:hAnsi="Calibri" w:cs="Calibri"/>
        </w:rPr>
        <w:t>A terv ezen felül 500 millió Ft 2017. évi észszerű nyereség folyósításával számol.</w:t>
      </w:r>
    </w:p>
    <w:p w14:paraId="33C97D9E" w14:textId="6AB7F8DD" w:rsidR="00447E01" w:rsidRPr="00BC2E35" w:rsidRDefault="00447E01" w:rsidP="00447E01">
      <w:pPr>
        <w:numPr>
          <w:ilvl w:val="0"/>
          <w:numId w:val="16"/>
        </w:numPr>
        <w:tabs>
          <w:tab w:val="clear" w:pos="720"/>
          <w:tab w:val="num" w:pos="400"/>
        </w:tabs>
        <w:spacing w:before="120"/>
        <w:ind w:left="403" w:hanging="403"/>
        <w:jc w:val="both"/>
        <w:rPr>
          <w:rFonts w:ascii="Calibri" w:hAnsi="Calibri" w:cs="Calibri"/>
        </w:rPr>
      </w:pPr>
      <w:r w:rsidRPr="00BC2E35">
        <w:rPr>
          <w:rFonts w:ascii="Calibri" w:hAnsi="Calibri" w:cs="Calibri"/>
        </w:rPr>
        <w:t xml:space="preserve">A </w:t>
      </w:r>
      <w:r>
        <w:rPr>
          <w:rFonts w:ascii="Calibri" w:hAnsi="Calibri" w:cs="Calibri"/>
        </w:rPr>
        <w:t xml:space="preserve">2017. évi éves elszámolás kapcsán és a 2018. évi kompenzációban </w:t>
      </w:r>
      <w:r w:rsidRPr="00BC2E35">
        <w:rPr>
          <w:rFonts w:ascii="Calibri" w:hAnsi="Calibri" w:cs="Calibri"/>
        </w:rPr>
        <w:t xml:space="preserve">biztosított forrásból </w:t>
      </w:r>
      <w:r>
        <w:rPr>
          <w:rFonts w:ascii="Calibri" w:hAnsi="Calibri" w:cs="Calibri"/>
        </w:rPr>
        <w:t xml:space="preserve">a terv </w:t>
      </w:r>
      <w:r w:rsidRPr="00BC2E35">
        <w:rPr>
          <w:rFonts w:ascii="Calibri" w:hAnsi="Calibri" w:cs="Calibri"/>
        </w:rPr>
        <w:t>beruházási sz</w:t>
      </w:r>
      <w:r>
        <w:rPr>
          <w:rFonts w:ascii="Calibri" w:hAnsi="Calibri" w:cs="Calibri"/>
        </w:rPr>
        <w:t>állítói kifizetések esetében bruttó 11</w:t>
      </w:r>
      <w:r w:rsidR="002663D1" w:rsidRPr="002663D1">
        <w:rPr>
          <w:rFonts w:ascii="Calibri" w:hAnsi="Calibri" w:cs="Calibri"/>
        </w:rPr>
        <w:t> </w:t>
      </w:r>
      <w:r>
        <w:rPr>
          <w:rFonts w:ascii="Calibri" w:hAnsi="Calibri" w:cs="Calibri"/>
        </w:rPr>
        <w:t xml:space="preserve">454 </w:t>
      </w:r>
      <w:r w:rsidRPr="00BC2E35">
        <w:rPr>
          <w:rFonts w:ascii="Calibri" w:hAnsi="Calibri" w:cs="Calibri"/>
        </w:rPr>
        <w:t xml:space="preserve">millió Ft </w:t>
      </w:r>
      <w:r>
        <w:rPr>
          <w:rFonts w:ascii="Calibri" w:hAnsi="Calibri" w:cs="Calibri"/>
        </w:rPr>
        <w:t>kifizetéssel</w:t>
      </w:r>
      <w:r w:rsidRPr="00BC2E35">
        <w:rPr>
          <w:rFonts w:ascii="Calibri" w:hAnsi="Calibri" w:cs="Calibri"/>
        </w:rPr>
        <w:t xml:space="preserve"> számol. A korábbi évek elszámolásaiból </w:t>
      </w:r>
      <w:r>
        <w:rPr>
          <w:rFonts w:ascii="Calibri" w:hAnsi="Calibri" w:cs="Calibri"/>
        </w:rPr>
        <w:t>eredő</w:t>
      </w:r>
      <w:r w:rsidRPr="00BC2E35">
        <w:rPr>
          <w:rFonts w:ascii="Calibri" w:hAnsi="Calibri" w:cs="Calibri"/>
        </w:rPr>
        <w:t xml:space="preserve"> pótberuházási célú forrásból </w:t>
      </w:r>
      <w:r>
        <w:rPr>
          <w:rFonts w:ascii="Calibri" w:hAnsi="Calibri" w:cs="Calibri"/>
        </w:rPr>
        <w:t xml:space="preserve">a terv </w:t>
      </w:r>
      <w:r w:rsidRPr="00BC2E35">
        <w:rPr>
          <w:rFonts w:ascii="Calibri" w:hAnsi="Calibri" w:cs="Calibri"/>
        </w:rPr>
        <w:t xml:space="preserve">2018. </w:t>
      </w:r>
      <w:r w:rsidRPr="000352C3">
        <w:rPr>
          <w:rFonts w:ascii="Calibri" w:hAnsi="Calibri" w:cs="Calibri"/>
        </w:rPr>
        <w:t xml:space="preserve">évben bruttó </w:t>
      </w:r>
      <w:r>
        <w:rPr>
          <w:rFonts w:ascii="Calibri" w:hAnsi="Calibri" w:cs="Calibri"/>
        </w:rPr>
        <w:t>9</w:t>
      </w:r>
      <w:r w:rsidR="002663D1" w:rsidRPr="002663D1">
        <w:rPr>
          <w:rFonts w:ascii="Calibri" w:hAnsi="Calibri" w:cs="Calibri"/>
        </w:rPr>
        <w:t> </w:t>
      </w:r>
      <w:r>
        <w:rPr>
          <w:rFonts w:ascii="Calibri" w:hAnsi="Calibri" w:cs="Calibri"/>
        </w:rPr>
        <w:t>071 </w:t>
      </w:r>
      <w:r w:rsidRPr="000352C3">
        <w:rPr>
          <w:rFonts w:ascii="Calibri" w:hAnsi="Calibri" w:cs="Calibri"/>
        </w:rPr>
        <w:t>millió</w:t>
      </w:r>
      <w:r w:rsidRPr="00BC2E35">
        <w:rPr>
          <w:rFonts w:ascii="Calibri" w:hAnsi="Calibri" w:cs="Calibri"/>
        </w:rPr>
        <w:t xml:space="preserve"> Ft összeg kifizetésé</w:t>
      </w:r>
      <w:r>
        <w:rPr>
          <w:rFonts w:ascii="Calibri" w:hAnsi="Calibri" w:cs="Calibri"/>
        </w:rPr>
        <w:t>t</w:t>
      </w:r>
      <w:r w:rsidRPr="00BC2E35">
        <w:rPr>
          <w:rFonts w:ascii="Calibri" w:hAnsi="Calibri" w:cs="Calibri"/>
        </w:rPr>
        <w:t xml:space="preserve"> </w:t>
      </w:r>
      <w:r>
        <w:rPr>
          <w:rFonts w:ascii="Calibri" w:hAnsi="Calibri" w:cs="Calibri"/>
        </w:rPr>
        <w:t>tartalmazza</w:t>
      </w:r>
      <w:r w:rsidRPr="00BC2E35">
        <w:rPr>
          <w:rFonts w:ascii="Calibri" w:hAnsi="Calibri" w:cs="Calibri"/>
        </w:rPr>
        <w:t xml:space="preserve">. </w:t>
      </w:r>
      <w:r>
        <w:rPr>
          <w:rFonts w:ascii="Calibri" w:hAnsi="Calibri" w:cs="Calibri"/>
        </w:rPr>
        <w:t>A pótberuházási célú</w:t>
      </w:r>
      <w:r w:rsidR="002663D1">
        <w:rPr>
          <w:rFonts w:ascii="Calibri" w:hAnsi="Calibri" w:cs="Calibri"/>
        </w:rPr>
        <w:t xml:space="preserve"> forrás 2018. évi záró összege </w:t>
      </w:r>
      <w:r w:rsidRPr="00C50C18">
        <w:rPr>
          <w:rFonts w:ascii="Calibri" w:hAnsi="Calibri" w:cs="Calibri"/>
        </w:rPr>
        <w:t>446</w:t>
      </w:r>
      <w:r>
        <w:rPr>
          <w:rFonts w:ascii="Calibri" w:hAnsi="Calibri" w:cs="Calibri"/>
        </w:rPr>
        <w:t xml:space="preserve"> </w:t>
      </w:r>
      <w:r w:rsidRPr="00BC2E35">
        <w:rPr>
          <w:rFonts w:ascii="Calibri" w:hAnsi="Calibri" w:cs="Calibri"/>
        </w:rPr>
        <w:t>millió Ft</w:t>
      </w:r>
      <w:r>
        <w:rPr>
          <w:rFonts w:ascii="Calibri" w:hAnsi="Calibri" w:cs="Calibri"/>
        </w:rPr>
        <w:t>, amelynek felhasználása</w:t>
      </w:r>
      <w:r w:rsidRPr="00BC2E35">
        <w:rPr>
          <w:rFonts w:ascii="Calibri" w:hAnsi="Calibri" w:cs="Calibri"/>
        </w:rPr>
        <w:t xml:space="preserve"> 2019. évre tolódik át. A pótberuházási célú elkülönített forrás hó végi aktuális összegét a likviditási terv elkülönítetten mutatja be. </w:t>
      </w:r>
      <w:r>
        <w:rPr>
          <w:rFonts w:ascii="Calibri" w:hAnsi="Calibri" w:cs="Calibri"/>
        </w:rPr>
        <w:t xml:space="preserve">Előzőek alapján </w:t>
      </w:r>
      <w:r w:rsidRPr="00BC2E35">
        <w:rPr>
          <w:rFonts w:ascii="Calibri" w:hAnsi="Calibri" w:cs="Calibri"/>
        </w:rPr>
        <w:t xml:space="preserve">2018. évben </w:t>
      </w:r>
      <w:r>
        <w:rPr>
          <w:rFonts w:ascii="Calibri" w:hAnsi="Calibri" w:cs="Calibri"/>
        </w:rPr>
        <w:t xml:space="preserve">a terv </w:t>
      </w:r>
      <w:r w:rsidRPr="005D47B6">
        <w:rPr>
          <w:rFonts w:ascii="Calibri" w:hAnsi="Calibri" w:cs="Calibri"/>
        </w:rPr>
        <w:t xml:space="preserve">mindösszesen bruttó </w:t>
      </w:r>
      <w:r>
        <w:rPr>
          <w:rFonts w:ascii="Calibri" w:hAnsi="Calibri" w:cs="Calibri"/>
        </w:rPr>
        <w:t>20</w:t>
      </w:r>
      <w:r w:rsidR="002663D1" w:rsidRPr="002663D1">
        <w:rPr>
          <w:rFonts w:ascii="Calibri" w:hAnsi="Calibri" w:cs="Calibri"/>
        </w:rPr>
        <w:t> </w:t>
      </w:r>
      <w:r>
        <w:rPr>
          <w:rFonts w:ascii="Calibri" w:hAnsi="Calibri" w:cs="Calibri"/>
        </w:rPr>
        <w:t>525 </w:t>
      </w:r>
      <w:r w:rsidRPr="005D47B6">
        <w:rPr>
          <w:rFonts w:ascii="Calibri" w:hAnsi="Calibri" w:cs="Calibri"/>
        </w:rPr>
        <w:t>millió</w:t>
      </w:r>
      <w:r w:rsidRPr="00BC2E35">
        <w:rPr>
          <w:rFonts w:ascii="Calibri" w:hAnsi="Calibri" w:cs="Calibri"/>
        </w:rPr>
        <w:t xml:space="preserve"> Ft beruházási célú szállítói kötelezettség pénzügyi teljesítésé</w:t>
      </w:r>
      <w:r>
        <w:rPr>
          <w:rFonts w:ascii="Calibri" w:hAnsi="Calibri" w:cs="Calibri"/>
        </w:rPr>
        <w:t>t</w:t>
      </w:r>
      <w:r w:rsidRPr="00BC2E35">
        <w:rPr>
          <w:rFonts w:ascii="Calibri" w:hAnsi="Calibri" w:cs="Calibri"/>
        </w:rPr>
        <w:t xml:space="preserve"> </w:t>
      </w:r>
      <w:r>
        <w:rPr>
          <w:rFonts w:ascii="Calibri" w:hAnsi="Calibri" w:cs="Calibri"/>
        </w:rPr>
        <w:t>tartalmazza</w:t>
      </w:r>
      <w:r w:rsidRPr="00BC2E35">
        <w:rPr>
          <w:rFonts w:ascii="Calibri" w:hAnsi="Calibri" w:cs="Calibri"/>
        </w:rPr>
        <w:t>.</w:t>
      </w:r>
    </w:p>
    <w:p w14:paraId="53E4D590" w14:textId="77777777" w:rsidR="00447E01" w:rsidRPr="008257BF" w:rsidRDefault="00447E01" w:rsidP="00447E01">
      <w:pPr>
        <w:numPr>
          <w:ilvl w:val="0"/>
          <w:numId w:val="16"/>
        </w:numPr>
        <w:tabs>
          <w:tab w:val="clear" w:pos="720"/>
          <w:tab w:val="num" w:pos="400"/>
        </w:tabs>
        <w:spacing w:before="120"/>
        <w:ind w:left="403" w:hanging="403"/>
        <w:jc w:val="both"/>
        <w:rPr>
          <w:rFonts w:ascii="Calibri" w:hAnsi="Calibri" w:cs="Calibri"/>
        </w:rPr>
      </w:pPr>
      <w:r w:rsidRPr="008257BF">
        <w:rPr>
          <w:rFonts w:ascii="Calibri" w:hAnsi="Calibri" w:cs="Calibri"/>
        </w:rPr>
        <w:t>2018. év</w:t>
      </w:r>
      <w:r>
        <w:rPr>
          <w:rFonts w:ascii="Calibri" w:hAnsi="Calibri" w:cs="Calibri"/>
        </w:rPr>
        <w:t xml:space="preserve">ben </w:t>
      </w:r>
      <w:r w:rsidRPr="008257BF">
        <w:rPr>
          <w:rFonts w:ascii="Calibri" w:hAnsi="Calibri" w:cs="Calibri"/>
        </w:rPr>
        <w:t>lejárt fizetési határidejű szállítói állománnyal nem számoltunk.</w:t>
      </w:r>
    </w:p>
    <w:p w14:paraId="0CE1D3E0" w14:textId="77777777" w:rsidR="00447E01" w:rsidRPr="00D968C8" w:rsidRDefault="00447E01" w:rsidP="00447E01">
      <w:pPr>
        <w:numPr>
          <w:ilvl w:val="0"/>
          <w:numId w:val="16"/>
        </w:numPr>
        <w:tabs>
          <w:tab w:val="clear" w:pos="720"/>
          <w:tab w:val="num" w:pos="400"/>
        </w:tabs>
        <w:spacing w:before="120"/>
        <w:ind w:left="403" w:hanging="403"/>
        <w:jc w:val="both"/>
        <w:rPr>
          <w:rFonts w:ascii="Calibri" w:hAnsi="Calibri" w:cs="Calibri"/>
        </w:rPr>
      </w:pPr>
      <w:r w:rsidRPr="00D968C8">
        <w:rPr>
          <w:rFonts w:ascii="Calibri" w:hAnsi="Calibri" w:cs="Calibri"/>
        </w:rPr>
        <w:t xml:space="preserve">A likviditási </w:t>
      </w:r>
      <w:r w:rsidRPr="005D47B6">
        <w:rPr>
          <w:rFonts w:ascii="Calibri" w:hAnsi="Calibri" w:cs="Calibri"/>
        </w:rPr>
        <w:t>terv nem tartalmazza az M4</w:t>
      </w:r>
      <w:r>
        <w:rPr>
          <w:rFonts w:ascii="Calibri" w:hAnsi="Calibri" w:cs="Calibri"/>
        </w:rPr>
        <w:t xml:space="preserve">-es beruházáshoz, az M3-as metró járműfelújításhoz és infrastruktúra felújításhoz </w:t>
      </w:r>
      <w:r w:rsidRPr="00D968C8">
        <w:rPr>
          <w:rFonts w:ascii="Calibri" w:hAnsi="Calibri" w:cs="Calibri"/>
        </w:rPr>
        <w:t xml:space="preserve">kapcsolódó, a Fővárosi Önkormányzat által biztosított forrásból teljesülő </w:t>
      </w:r>
      <w:r>
        <w:rPr>
          <w:rFonts w:ascii="Calibri" w:hAnsi="Calibri" w:cs="Calibri"/>
        </w:rPr>
        <w:t>elkülönített pénzügyi elszámolásokat</w:t>
      </w:r>
      <w:r w:rsidRPr="00D968C8">
        <w:rPr>
          <w:rFonts w:ascii="Calibri" w:hAnsi="Calibri" w:cs="Calibri"/>
        </w:rPr>
        <w:t>.</w:t>
      </w:r>
    </w:p>
    <w:p w14:paraId="4E89F4B1" w14:textId="77777777" w:rsidR="00447E01" w:rsidRPr="00051FA6" w:rsidRDefault="00447E01" w:rsidP="00447E01">
      <w:pPr>
        <w:numPr>
          <w:ilvl w:val="0"/>
          <w:numId w:val="16"/>
        </w:numPr>
        <w:tabs>
          <w:tab w:val="clear" w:pos="720"/>
          <w:tab w:val="num" w:pos="400"/>
        </w:tabs>
        <w:spacing w:before="120"/>
        <w:ind w:left="403" w:hanging="403"/>
        <w:jc w:val="both"/>
        <w:rPr>
          <w:rFonts w:ascii="Calibri" w:hAnsi="Calibri" w:cs="Calibri"/>
        </w:rPr>
      </w:pPr>
      <w:r>
        <w:rPr>
          <w:rFonts w:ascii="Calibri" w:hAnsi="Calibri" w:cs="Calibri"/>
        </w:rPr>
        <w:t>Tervezési feltételezés, hogy a BKV Zrt-nek a 2017. évvel azonosan 2018. évben sem lesz hitelből/kölcsönből, pénzügyi lízingből eredő tartozása</w:t>
      </w:r>
      <w:r w:rsidRPr="00051FA6">
        <w:rPr>
          <w:rFonts w:ascii="Calibri" w:hAnsi="Calibri" w:cs="Calibri"/>
        </w:rPr>
        <w:t xml:space="preserve">, így </w:t>
      </w:r>
      <w:r>
        <w:rPr>
          <w:rFonts w:ascii="Calibri" w:hAnsi="Calibri" w:cs="Calibri"/>
        </w:rPr>
        <w:t xml:space="preserve">a terv </w:t>
      </w:r>
      <w:r w:rsidRPr="00051FA6">
        <w:rPr>
          <w:rFonts w:ascii="Calibri" w:hAnsi="Calibri" w:cs="Calibri"/>
        </w:rPr>
        <w:t xml:space="preserve">nem tartalmaz </w:t>
      </w:r>
      <w:r>
        <w:rPr>
          <w:rFonts w:ascii="Calibri" w:hAnsi="Calibri" w:cs="Calibri"/>
        </w:rPr>
        <w:t>ezzel kapcsolatos</w:t>
      </w:r>
      <w:r w:rsidRPr="00051FA6">
        <w:rPr>
          <w:rFonts w:ascii="Calibri" w:hAnsi="Calibri" w:cs="Calibri"/>
        </w:rPr>
        <w:t xml:space="preserve"> kamatfizetési kötelezettséget</w:t>
      </w:r>
      <w:r>
        <w:rPr>
          <w:rFonts w:ascii="Calibri" w:hAnsi="Calibri" w:cs="Calibri"/>
        </w:rPr>
        <w:t xml:space="preserve"> sem</w:t>
      </w:r>
      <w:r w:rsidRPr="00051FA6">
        <w:rPr>
          <w:rFonts w:ascii="Calibri" w:hAnsi="Calibri" w:cs="Calibri"/>
        </w:rPr>
        <w:t>.</w:t>
      </w:r>
    </w:p>
    <w:p w14:paraId="1D7D0C9C" w14:textId="45A5E968" w:rsidR="00447E01" w:rsidRPr="00802EAE" w:rsidRDefault="00447E01" w:rsidP="00447E01">
      <w:pPr>
        <w:numPr>
          <w:ilvl w:val="0"/>
          <w:numId w:val="16"/>
        </w:numPr>
        <w:tabs>
          <w:tab w:val="clear" w:pos="720"/>
          <w:tab w:val="num" w:pos="400"/>
        </w:tabs>
        <w:spacing w:before="120" w:after="120"/>
        <w:ind w:left="403" w:hanging="403"/>
        <w:jc w:val="both"/>
        <w:rPr>
          <w:rFonts w:ascii="Calibri" w:hAnsi="Calibri" w:cs="Calibri"/>
        </w:rPr>
      </w:pPr>
      <w:r w:rsidRPr="00802EAE">
        <w:rPr>
          <w:rFonts w:ascii="Calibri" w:hAnsi="Calibri" w:cs="Calibri"/>
        </w:rPr>
        <w:lastRenderedPageBreak/>
        <w:t>A pénzügyi tervezés során feltételezés, hogy az MKK Zrt. által nyújtott 4</w:t>
      </w:r>
      <w:r w:rsidR="002663D1" w:rsidRPr="002663D1">
        <w:rPr>
          <w:rFonts w:ascii="Calibri" w:hAnsi="Calibri" w:cs="Calibri"/>
        </w:rPr>
        <w:t> </w:t>
      </w:r>
      <w:r w:rsidRPr="00802EAE">
        <w:rPr>
          <w:rFonts w:ascii="Calibri" w:hAnsi="Calibri" w:cs="Calibri"/>
        </w:rPr>
        <w:t>000 millió Ft összegű faktoring keret a 2018. év során folyamatosan rendelkezésre áll</w:t>
      </w:r>
      <w:r>
        <w:rPr>
          <w:rFonts w:ascii="Calibri" w:hAnsi="Calibri" w:cs="Calibri"/>
        </w:rPr>
        <w:t>, de</w:t>
      </w:r>
      <w:r w:rsidRPr="00802EAE">
        <w:rPr>
          <w:rFonts w:ascii="Calibri" w:hAnsi="Calibri" w:cs="Calibri"/>
        </w:rPr>
        <w:t xml:space="preserve"> </w:t>
      </w:r>
      <w:r>
        <w:rPr>
          <w:rFonts w:ascii="Calibri" w:hAnsi="Calibri" w:cs="Calibri"/>
        </w:rPr>
        <w:t>faktorált szállítói állományból eredő adósságot a terv nem feltételez</w:t>
      </w:r>
      <w:r w:rsidRPr="00802EAE">
        <w:rPr>
          <w:rFonts w:ascii="Calibri" w:hAnsi="Calibri" w:cs="Calibri"/>
        </w:rPr>
        <w:t xml:space="preserve">. </w:t>
      </w:r>
    </w:p>
    <w:p w14:paraId="61597C22" w14:textId="77777777" w:rsidR="00447E01" w:rsidRDefault="00447E01" w:rsidP="00447E01">
      <w:pPr>
        <w:numPr>
          <w:ilvl w:val="0"/>
          <w:numId w:val="16"/>
        </w:numPr>
        <w:tabs>
          <w:tab w:val="clear" w:pos="720"/>
          <w:tab w:val="num" w:pos="400"/>
        </w:tabs>
        <w:spacing w:before="120" w:after="120"/>
        <w:ind w:left="403" w:hanging="403"/>
        <w:jc w:val="both"/>
        <w:rPr>
          <w:rFonts w:ascii="Calibri" w:hAnsi="Calibri" w:cs="Calibri"/>
        </w:rPr>
      </w:pPr>
      <w:r w:rsidRPr="00D66541">
        <w:rPr>
          <w:rFonts w:ascii="Calibri" w:hAnsi="Calibri" w:cs="Calibri"/>
        </w:rPr>
        <w:t xml:space="preserve">A </w:t>
      </w:r>
      <w:r>
        <w:rPr>
          <w:rFonts w:ascii="Calibri" w:hAnsi="Calibri" w:cs="Calibri"/>
        </w:rPr>
        <w:t xml:space="preserve">BKV Zrt. által </w:t>
      </w:r>
      <w:r w:rsidRPr="00D66541">
        <w:rPr>
          <w:rFonts w:ascii="Calibri" w:hAnsi="Calibri" w:cs="Calibri"/>
        </w:rPr>
        <w:t>nyújtott bankgaranci</w:t>
      </w:r>
      <w:r>
        <w:rPr>
          <w:rFonts w:ascii="Calibri" w:hAnsi="Calibri" w:cs="Calibri"/>
        </w:rPr>
        <w:t xml:space="preserve">a </w:t>
      </w:r>
      <w:r w:rsidRPr="00D66541">
        <w:rPr>
          <w:rFonts w:ascii="Calibri" w:hAnsi="Calibri" w:cs="Calibri"/>
        </w:rPr>
        <w:t>állománya</w:t>
      </w:r>
      <w:r>
        <w:rPr>
          <w:rFonts w:ascii="Calibri" w:hAnsi="Calibri" w:cs="Calibri"/>
        </w:rPr>
        <w:t xml:space="preserve"> egy beruházási projekttel kapcsolatban korábban </w:t>
      </w:r>
      <w:r w:rsidRPr="00D66541">
        <w:rPr>
          <w:rFonts w:ascii="Calibri" w:hAnsi="Calibri" w:cs="Calibri"/>
        </w:rPr>
        <w:t xml:space="preserve">nyújtott bankgarancia </w:t>
      </w:r>
      <w:r>
        <w:rPr>
          <w:rFonts w:ascii="Calibri" w:hAnsi="Calibri" w:cs="Calibri"/>
        </w:rPr>
        <w:t>összege</w:t>
      </w:r>
      <w:r w:rsidRPr="00D66541">
        <w:rPr>
          <w:rFonts w:ascii="Calibri" w:hAnsi="Calibri" w:cs="Calibri"/>
        </w:rPr>
        <w:t xml:space="preserve"> </w:t>
      </w:r>
      <w:r>
        <w:rPr>
          <w:rFonts w:ascii="Calibri" w:hAnsi="Calibri" w:cs="Calibri"/>
        </w:rPr>
        <w:t>és</w:t>
      </w:r>
      <w:r w:rsidRPr="00D66541">
        <w:rPr>
          <w:rFonts w:ascii="Calibri" w:hAnsi="Calibri" w:cs="Calibri"/>
        </w:rPr>
        <w:t xml:space="preserve"> lejárat</w:t>
      </w:r>
      <w:r>
        <w:rPr>
          <w:rFonts w:ascii="Calibri" w:hAnsi="Calibri" w:cs="Calibri"/>
        </w:rPr>
        <w:t>a</w:t>
      </w:r>
      <w:r w:rsidRPr="00D66541">
        <w:rPr>
          <w:rFonts w:ascii="Calibri" w:hAnsi="Calibri" w:cs="Calibri"/>
        </w:rPr>
        <w:t xml:space="preserve"> </w:t>
      </w:r>
      <w:r>
        <w:rPr>
          <w:rFonts w:ascii="Calibri" w:hAnsi="Calibri" w:cs="Calibri"/>
        </w:rPr>
        <w:t>alapján került</w:t>
      </w:r>
      <w:r w:rsidRPr="00D66541">
        <w:rPr>
          <w:rFonts w:ascii="Calibri" w:hAnsi="Calibri" w:cs="Calibri"/>
        </w:rPr>
        <w:t xml:space="preserve"> megtervezésre, új bankgarancia figyelembe vétele nélkül.</w:t>
      </w:r>
    </w:p>
    <w:p w14:paraId="356A9CAA" w14:textId="77777777" w:rsidR="00A94227" w:rsidRPr="003860A9" w:rsidRDefault="00A94227" w:rsidP="00411D9D">
      <w:pPr>
        <w:pStyle w:val="Lista3"/>
        <w:ind w:left="0" w:firstLine="0"/>
        <w:rPr>
          <w:rFonts w:ascii="Calibri" w:hAnsi="Calibri" w:cs="Calibri"/>
        </w:rPr>
      </w:pPr>
    </w:p>
    <w:p w14:paraId="5608F661" w14:textId="77777777" w:rsidR="00E735ED" w:rsidRPr="0056690E" w:rsidRDefault="00E735ED" w:rsidP="001E0F17">
      <w:pPr>
        <w:pStyle w:val="Cmsor2"/>
        <w:rPr>
          <w:rFonts w:ascii="Calibri" w:hAnsi="Calibri" w:cs="Calibri"/>
          <w:highlight w:val="yellow"/>
        </w:rPr>
      </w:pPr>
      <w:bookmarkStart w:id="113" w:name="_Toc450555058"/>
      <w:bookmarkStart w:id="114" w:name="_Toc450555059"/>
      <w:bookmarkStart w:id="115" w:name="_Toc450555060"/>
      <w:bookmarkStart w:id="116" w:name="_Toc450555061"/>
      <w:bookmarkStart w:id="117" w:name="_Toc450555062"/>
      <w:bookmarkStart w:id="118" w:name="_Toc450555063"/>
      <w:bookmarkStart w:id="119" w:name="_Toc450555064"/>
      <w:bookmarkStart w:id="120" w:name="_Toc450555065"/>
      <w:bookmarkStart w:id="121" w:name="_Toc450555066"/>
      <w:bookmarkStart w:id="122" w:name="_Toc450555067"/>
      <w:bookmarkStart w:id="123" w:name="_Toc450555068"/>
      <w:bookmarkStart w:id="124" w:name="_Toc450555069"/>
      <w:bookmarkStart w:id="125" w:name="_Toc450555070"/>
      <w:bookmarkStart w:id="126" w:name="_Toc450555071"/>
      <w:bookmarkStart w:id="127" w:name="_Toc450555072"/>
      <w:bookmarkStart w:id="128" w:name="_Toc450555073"/>
      <w:bookmarkStart w:id="129" w:name="_Toc450555074"/>
      <w:bookmarkStart w:id="130" w:name="_Toc450555075"/>
      <w:bookmarkStart w:id="131" w:name="_Toc443317921"/>
      <w:bookmarkStart w:id="132" w:name="_Toc465246394"/>
      <w:bookmarkStart w:id="133" w:name="_Toc512409643"/>
      <w:bookmarkStart w:id="134" w:name="_Toc38559433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56690E">
        <w:t>Adósságállomány</w:t>
      </w:r>
      <w:bookmarkEnd w:id="131"/>
      <w:bookmarkEnd w:id="132"/>
      <w:bookmarkEnd w:id="133"/>
    </w:p>
    <w:p w14:paraId="30E0D22A" w14:textId="77777777" w:rsidR="00E735ED" w:rsidRPr="003860A9" w:rsidRDefault="00E735ED" w:rsidP="00E735ED">
      <w:pPr>
        <w:jc w:val="both"/>
        <w:rPr>
          <w:rFonts w:ascii="Calibri" w:hAnsi="Calibri" w:cs="Calibri"/>
          <w:highlight w:val="yellow"/>
          <w:lang w:eastAsia="en-US"/>
        </w:rPr>
      </w:pPr>
    </w:p>
    <w:p w14:paraId="09567962" w14:textId="77777777" w:rsidR="00447E01" w:rsidRDefault="00447E01" w:rsidP="00447E01">
      <w:pPr>
        <w:jc w:val="both"/>
        <w:rPr>
          <w:rFonts w:ascii="Calibri" w:hAnsi="Calibri" w:cs="Calibri"/>
        </w:rPr>
      </w:pPr>
      <w:r w:rsidRPr="00102C65">
        <w:rPr>
          <w:rFonts w:ascii="Calibri" w:hAnsi="Calibri" w:cs="Calibri"/>
        </w:rPr>
        <w:t xml:space="preserve">Az </w:t>
      </w:r>
      <w:r>
        <w:rPr>
          <w:rFonts w:ascii="Calibri" w:hAnsi="Calibri" w:cs="Calibri"/>
        </w:rPr>
        <w:t xml:space="preserve">Üzleti Terv 2018-ban új hitel/kölcsön felvételével vagy új pénzügyi lízingszerződés megkötésével nem számol. </w:t>
      </w:r>
      <w:r w:rsidRPr="00051FA6">
        <w:rPr>
          <w:rFonts w:ascii="Calibri" w:hAnsi="Calibri" w:cs="Calibri"/>
        </w:rPr>
        <w:t>A</w:t>
      </w:r>
      <w:r>
        <w:rPr>
          <w:rFonts w:ascii="Calibri" w:hAnsi="Calibri" w:cs="Calibri"/>
        </w:rPr>
        <w:t>z adósságállomány 2018</w:t>
      </w:r>
      <w:r w:rsidRPr="00051FA6">
        <w:rPr>
          <w:rFonts w:ascii="Calibri" w:hAnsi="Calibri" w:cs="Calibri"/>
        </w:rPr>
        <w:t>. </w:t>
      </w:r>
      <w:r>
        <w:rPr>
          <w:rFonts w:ascii="Calibri" w:hAnsi="Calibri" w:cs="Calibri"/>
        </w:rPr>
        <w:t>évi tervezett eleme:</w:t>
      </w:r>
    </w:p>
    <w:p w14:paraId="557B596D" w14:textId="77777777" w:rsidR="00447E01" w:rsidRPr="00403426" w:rsidRDefault="00447E01" w:rsidP="00447E01">
      <w:pPr>
        <w:spacing w:before="120" w:after="120"/>
        <w:jc w:val="both"/>
        <w:rPr>
          <w:rFonts w:ascii="Calibri" w:hAnsi="Calibri"/>
        </w:rPr>
      </w:pPr>
      <w:r w:rsidRPr="00403426">
        <w:rPr>
          <w:rFonts w:ascii="Calibri" w:hAnsi="Calibri" w:cs="Calibri"/>
        </w:rPr>
        <w:t>A nyújtott bankgarancia-állomány esetében a már ismert, 222 millió Ft összegű, a Dunai hivatásforgalmi vízi közlekedés kialakítása Budapesten tárgyú projekthez kapcsolódó,</w:t>
      </w:r>
      <w:r w:rsidRPr="00403426">
        <w:rPr>
          <w:rFonts w:ascii="Calibri" w:hAnsi="Calibri"/>
        </w:rPr>
        <w:t xml:space="preserve"> </w:t>
      </w:r>
      <w:r w:rsidRPr="00403426">
        <w:rPr>
          <w:rFonts w:ascii="Calibri" w:hAnsi="Calibri" w:cs="Calibri"/>
        </w:rPr>
        <w:t>2020.03.31-ei lejáratú</w:t>
      </w:r>
      <w:r w:rsidRPr="00403426">
        <w:rPr>
          <w:rFonts w:ascii="Calibri" w:hAnsi="Calibri"/>
        </w:rPr>
        <w:t xml:space="preserve"> bankgarancia.</w:t>
      </w:r>
    </w:p>
    <w:p w14:paraId="78229D9A" w14:textId="77777777" w:rsidR="00447E01" w:rsidRDefault="00447E01" w:rsidP="00447E01">
      <w:pPr>
        <w:jc w:val="both"/>
        <w:rPr>
          <w:rFonts w:ascii="Calibri" w:hAnsi="Calibri" w:cs="Calibri"/>
        </w:rPr>
      </w:pPr>
      <w:r>
        <w:rPr>
          <w:rFonts w:ascii="Calibri" w:hAnsi="Calibri" w:cs="Calibri"/>
        </w:rPr>
        <w:t>A BKV Zrt. tervezett záró adósságállománya 2018. év végén az alábbi:</w:t>
      </w:r>
    </w:p>
    <w:p w14:paraId="630506E4" w14:textId="77777777" w:rsidR="00447E01" w:rsidRDefault="00447E01" w:rsidP="00447E01">
      <w:pPr>
        <w:jc w:val="both"/>
        <w:rPr>
          <w:rFonts w:ascii="Calibri" w:hAnsi="Calibri" w:cs="Calibri"/>
        </w:rPr>
      </w:pPr>
    </w:p>
    <w:tbl>
      <w:tblPr>
        <w:tblW w:w="5261"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93"/>
        <w:gridCol w:w="2268"/>
      </w:tblGrid>
      <w:tr w:rsidR="00447E01" w:rsidRPr="00897AA9" w14:paraId="23FA288A" w14:textId="77777777" w:rsidTr="004D73BB">
        <w:trPr>
          <w:trHeight w:val="499"/>
          <w:jc w:val="center"/>
        </w:trPr>
        <w:tc>
          <w:tcPr>
            <w:tcW w:w="2993" w:type="dxa"/>
            <w:tcBorders>
              <w:top w:val="double" w:sz="6" w:space="0" w:color="auto"/>
              <w:bottom w:val="single" w:sz="12" w:space="0" w:color="auto"/>
            </w:tcBorders>
            <w:shd w:val="clear" w:color="auto" w:fill="auto"/>
            <w:vAlign w:val="center"/>
          </w:tcPr>
          <w:p w14:paraId="52E65309" w14:textId="77777777" w:rsidR="00447E01" w:rsidRPr="00897AA9" w:rsidRDefault="00447E01" w:rsidP="004D73BB">
            <w:pPr>
              <w:jc w:val="center"/>
              <w:rPr>
                <w:rFonts w:ascii="Calibri" w:hAnsi="Calibri" w:cs="Calibri"/>
                <w:b/>
                <w:bCs/>
                <w:sz w:val="20"/>
              </w:rPr>
            </w:pPr>
            <w:r w:rsidRPr="00897AA9">
              <w:rPr>
                <w:rFonts w:ascii="Calibri" w:hAnsi="Calibri" w:cs="Calibri"/>
                <w:b/>
                <w:bCs/>
                <w:sz w:val="20"/>
              </w:rPr>
              <w:t>Megnevezés</w:t>
            </w:r>
          </w:p>
        </w:tc>
        <w:tc>
          <w:tcPr>
            <w:tcW w:w="2268" w:type="dxa"/>
            <w:tcBorders>
              <w:top w:val="double" w:sz="6" w:space="0" w:color="auto"/>
              <w:bottom w:val="single" w:sz="12" w:space="0" w:color="auto"/>
            </w:tcBorders>
            <w:shd w:val="clear" w:color="auto" w:fill="auto"/>
            <w:vAlign w:val="center"/>
          </w:tcPr>
          <w:p w14:paraId="690C63EC" w14:textId="77777777" w:rsidR="00447E01" w:rsidRPr="00897AA9" w:rsidRDefault="00447E01" w:rsidP="004D73BB">
            <w:pPr>
              <w:jc w:val="center"/>
              <w:rPr>
                <w:rFonts w:ascii="Calibri" w:hAnsi="Calibri" w:cs="Calibri"/>
                <w:b/>
                <w:bCs/>
                <w:sz w:val="20"/>
              </w:rPr>
            </w:pPr>
            <w:r>
              <w:rPr>
                <w:rFonts w:ascii="Calibri" w:hAnsi="Calibri" w:cs="Calibri"/>
                <w:b/>
                <w:bCs/>
                <w:sz w:val="20"/>
              </w:rPr>
              <w:t>2018</w:t>
            </w:r>
            <w:r w:rsidRPr="00897AA9">
              <w:rPr>
                <w:rFonts w:ascii="Calibri" w:hAnsi="Calibri" w:cs="Calibri"/>
                <w:b/>
                <w:bCs/>
                <w:sz w:val="20"/>
              </w:rPr>
              <w:t>.12.31. terv</w:t>
            </w:r>
          </w:p>
          <w:p w14:paraId="1B6244E8" w14:textId="77777777" w:rsidR="00447E01" w:rsidRPr="00897AA9" w:rsidRDefault="00447E01" w:rsidP="004D73BB">
            <w:pPr>
              <w:jc w:val="center"/>
              <w:rPr>
                <w:rFonts w:ascii="Calibri" w:hAnsi="Calibri" w:cs="Calibri"/>
                <w:b/>
                <w:bCs/>
                <w:sz w:val="20"/>
              </w:rPr>
            </w:pPr>
            <w:r w:rsidRPr="00897AA9">
              <w:rPr>
                <w:rFonts w:ascii="Calibri" w:hAnsi="Calibri" w:cs="Calibri"/>
                <w:b/>
                <w:bCs/>
                <w:sz w:val="20"/>
              </w:rPr>
              <w:t>(millió Ft)</w:t>
            </w:r>
          </w:p>
        </w:tc>
      </w:tr>
      <w:tr w:rsidR="00447E01" w:rsidRPr="00897AA9" w14:paraId="17542DAC" w14:textId="77777777" w:rsidTr="004D73BB">
        <w:trPr>
          <w:trHeight w:val="315"/>
          <w:jc w:val="center"/>
        </w:trPr>
        <w:tc>
          <w:tcPr>
            <w:tcW w:w="2993" w:type="dxa"/>
            <w:tcBorders>
              <w:bottom w:val="single" w:sz="12" w:space="0" w:color="auto"/>
            </w:tcBorders>
            <w:shd w:val="clear" w:color="auto" w:fill="auto"/>
            <w:vAlign w:val="center"/>
          </w:tcPr>
          <w:p w14:paraId="4EF1E8B5" w14:textId="77777777" w:rsidR="00447E01" w:rsidRPr="00897AA9" w:rsidRDefault="00447E01" w:rsidP="004D73BB">
            <w:pPr>
              <w:rPr>
                <w:rFonts w:ascii="Calibri" w:hAnsi="Calibri" w:cs="Calibri"/>
                <w:bCs/>
                <w:sz w:val="20"/>
              </w:rPr>
            </w:pPr>
            <w:r w:rsidRPr="00897AA9">
              <w:rPr>
                <w:rFonts w:ascii="Calibri" w:hAnsi="Calibri" w:cs="Calibri"/>
                <w:bCs/>
                <w:sz w:val="20"/>
              </w:rPr>
              <w:t xml:space="preserve">Bankgarancia </w:t>
            </w:r>
          </w:p>
        </w:tc>
        <w:tc>
          <w:tcPr>
            <w:tcW w:w="2268" w:type="dxa"/>
            <w:tcBorders>
              <w:bottom w:val="single" w:sz="12" w:space="0" w:color="auto"/>
            </w:tcBorders>
            <w:shd w:val="clear" w:color="auto" w:fill="auto"/>
            <w:vAlign w:val="center"/>
          </w:tcPr>
          <w:p w14:paraId="317958E6" w14:textId="77777777" w:rsidR="00447E01" w:rsidRPr="00897AA9" w:rsidRDefault="00447E01" w:rsidP="004D73BB">
            <w:pPr>
              <w:jc w:val="center"/>
              <w:rPr>
                <w:rFonts w:ascii="Calibri" w:hAnsi="Calibri" w:cs="Calibri"/>
                <w:bCs/>
                <w:sz w:val="20"/>
              </w:rPr>
            </w:pPr>
            <w:r w:rsidRPr="00897AA9">
              <w:rPr>
                <w:rFonts w:ascii="Calibri" w:hAnsi="Calibri" w:cs="Calibri"/>
                <w:bCs/>
                <w:sz w:val="20"/>
              </w:rPr>
              <w:t xml:space="preserve">   222</w:t>
            </w:r>
          </w:p>
        </w:tc>
      </w:tr>
      <w:tr w:rsidR="00447E01" w:rsidRPr="00897AA9" w14:paraId="1A1CA78D" w14:textId="77777777" w:rsidTr="004D73BB">
        <w:trPr>
          <w:trHeight w:val="315"/>
          <w:jc w:val="center"/>
        </w:trPr>
        <w:tc>
          <w:tcPr>
            <w:tcW w:w="2993" w:type="dxa"/>
            <w:tcBorders>
              <w:top w:val="single" w:sz="12" w:space="0" w:color="auto"/>
              <w:bottom w:val="double" w:sz="6" w:space="0" w:color="auto"/>
            </w:tcBorders>
            <w:shd w:val="clear" w:color="auto" w:fill="auto"/>
            <w:vAlign w:val="center"/>
          </w:tcPr>
          <w:p w14:paraId="1368E938" w14:textId="77777777" w:rsidR="00447E01" w:rsidRPr="00897AA9" w:rsidRDefault="00447E01" w:rsidP="004D73BB">
            <w:pPr>
              <w:rPr>
                <w:rFonts w:ascii="Calibri" w:hAnsi="Calibri" w:cs="Calibri"/>
                <w:b/>
                <w:bCs/>
                <w:sz w:val="20"/>
              </w:rPr>
            </w:pPr>
            <w:r w:rsidRPr="00897AA9">
              <w:rPr>
                <w:rFonts w:ascii="Calibri" w:hAnsi="Calibri" w:cs="Calibri"/>
                <w:b/>
                <w:bCs/>
                <w:sz w:val="20"/>
              </w:rPr>
              <w:t>Összesen</w:t>
            </w:r>
          </w:p>
        </w:tc>
        <w:tc>
          <w:tcPr>
            <w:tcW w:w="2268" w:type="dxa"/>
            <w:tcBorders>
              <w:top w:val="single" w:sz="12" w:space="0" w:color="auto"/>
              <w:bottom w:val="double" w:sz="6" w:space="0" w:color="auto"/>
            </w:tcBorders>
            <w:shd w:val="clear" w:color="auto" w:fill="auto"/>
            <w:noWrap/>
            <w:vAlign w:val="center"/>
          </w:tcPr>
          <w:p w14:paraId="3AC7B2A1" w14:textId="77777777" w:rsidR="00447E01" w:rsidRPr="00897AA9" w:rsidRDefault="00447E01" w:rsidP="004D73BB">
            <w:pPr>
              <w:jc w:val="center"/>
              <w:rPr>
                <w:rFonts w:ascii="Calibri" w:hAnsi="Calibri" w:cs="Calibri"/>
                <w:b/>
                <w:bCs/>
                <w:sz w:val="20"/>
              </w:rPr>
            </w:pPr>
            <w:r>
              <w:rPr>
                <w:rFonts w:ascii="Calibri" w:hAnsi="Calibri" w:cs="Calibri"/>
                <w:b/>
                <w:bCs/>
                <w:sz w:val="20"/>
              </w:rPr>
              <w:t xml:space="preserve">   222</w:t>
            </w:r>
          </w:p>
        </w:tc>
      </w:tr>
    </w:tbl>
    <w:p w14:paraId="585496A0" w14:textId="77777777" w:rsidR="00447E01" w:rsidRDefault="00447E01" w:rsidP="00447E01"/>
    <w:p w14:paraId="40236020" w14:textId="12354809" w:rsidR="00447E01" w:rsidRDefault="00447E01" w:rsidP="00447E01">
      <w:pPr>
        <w:jc w:val="both"/>
      </w:pPr>
      <w:r w:rsidRPr="009F3E11">
        <w:rPr>
          <w:rFonts w:ascii="Calibri" w:hAnsi="Calibri" w:cs="Calibri"/>
        </w:rPr>
        <w:t xml:space="preserve">A </w:t>
      </w:r>
      <w:r>
        <w:rPr>
          <w:rFonts w:ascii="Calibri" w:hAnsi="Calibri" w:cs="Calibri"/>
        </w:rPr>
        <w:t>4</w:t>
      </w:r>
      <w:r w:rsidR="002663D1" w:rsidRPr="002663D1">
        <w:rPr>
          <w:rFonts w:ascii="Calibri" w:hAnsi="Calibri" w:cs="Calibri"/>
        </w:rPr>
        <w:t> </w:t>
      </w:r>
      <w:r>
        <w:rPr>
          <w:rFonts w:ascii="Calibri" w:hAnsi="Calibri" w:cs="Calibri"/>
        </w:rPr>
        <w:t>000 millió Ft összegű szállítói faktoring keret</w:t>
      </w:r>
      <w:r w:rsidRPr="009F3E11">
        <w:rPr>
          <w:rFonts w:ascii="Calibri" w:hAnsi="Calibri" w:cs="Calibri"/>
        </w:rPr>
        <w:t xml:space="preserve"> Társaságunk </w:t>
      </w:r>
      <w:r>
        <w:rPr>
          <w:rFonts w:ascii="Calibri" w:hAnsi="Calibri" w:cs="Calibri"/>
        </w:rPr>
        <w:t xml:space="preserve">részére </w:t>
      </w:r>
      <w:r w:rsidRPr="009F3E11">
        <w:rPr>
          <w:rFonts w:ascii="Calibri" w:hAnsi="Calibri" w:cs="Calibri"/>
        </w:rPr>
        <w:t xml:space="preserve">változatlan összegben és folyamatosan </w:t>
      </w:r>
      <w:r>
        <w:rPr>
          <w:rFonts w:ascii="Calibri" w:hAnsi="Calibri" w:cs="Calibri"/>
        </w:rPr>
        <w:t>rendelkezésre áll</w:t>
      </w:r>
      <w:r>
        <w:rPr>
          <w:rFonts w:ascii="Calibri" w:hAnsi="Calibri"/>
        </w:rPr>
        <w:t>, de</w:t>
      </w:r>
      <w:r w:rsidRPr="009F3E11">
        <w:rPr>
          <w:rFonts w:ascii="Calibri" w:hAnsi="Calibri"/>
        </w:rPr>
        <w:t xml:space="preserve"> </w:t>
      </w:r>
      <w:r>
        <w:rPr>
          <w:rFonts w:ascii="Calibri" w:hAnsi="Calibri"/>
        </w:rPr>
        <w:t>a</w:t>
      </w:r>
      <w:r w:rsidRPr="009F3E11">
        <w:rPr>
          <w:rFonts w:ascii="Calibri" w:hAnsi="Calibri" w:cs="Calibri"/>
        </w:rPr>
        <w:t xml:space="preserve"> terv nem számol faktorált szállítói állomány</w:t>
      </w:r>
      <w:r>
        <w:rPr>
          <w:rFonts w:ascii="Calibri" w:hAnsi="Calibri" w:cs="Calibri"/>
        </w:rPr>
        <w:t>ból eredő adóssággal</w:t>
      </w:r>
      <w:r w:rsidRPr="009F3E11">
        <w:rPr>
          <w:rFonts w:ascii="Calibri" w:hAnsi="Calibri" w:cs="Calibri"/>
        </w:rPr>
        <w:t xml:space="preserve">. </w:t>
      </w:r>
      <w:r w:rsidRPr="009F3E11">
        <w:rPr>
          <w:rFonts w:ascii="Calibri" w:hAnsi="Calibri"/>
        </w:rPr>
        <w:t xml:space="preserve">Amennyiben a BKV Zrt. likviditási helyzete szükségessé teszi, a fizetőképesség fenntartása érdekében a szállítói faktoring keret felhasználásra kerülhet, ennek következtében a BKV Zrt. adósságállománya </w:t>
      </w:r>
      <w:r>
        <w:rPr>
          <w:rFonts w:ascii="Calibri" w:hAnsi="Calibri"/>
        </w:rPr>
        <w:t xml:space="preserve">is </w:t>
      </w:r>
      <w:r w:rsidRPr="009F3E11">
        <w:rPr>
          <w:rFonts w:ascii="Calibri" w:hAnsi="Calibri" w:cs="Calibri"/>
        </w:rPr>
        <w:t>növekedhet</w:t>
      </w:r>
      <w:r>
        <w:rPr>
          <w:rFonts w:ascii="Calibri" w:hAnsi="Calibri" w:cs="Calibri"/>
        </w:rPr>
        <w:t xml:space="preserve"> a faktorálásba bevont számlák összegével</w:t>
      </w:r>
      <w:r w:rsidRPr="009F3E11">
        <w:rPr>
          <w:rFonts w:ascii="Calibri" w:hAnsi="Calibri" w:cs="Calibri"/>
        </w:rPr>
        <w:t>,</w:t>
      </w:r>
      <w:r>
        <w:rPr>
          <w:rFonts w:ascii="Calibri" w:hAnsi="Calibri" w:cs="Calibri"/>
        </w:rPr>
        <w:t xml:space="preserve"> de</w:t>
      </w:r>
      <w:r w:rsidRPr="009F3E11">
        <w:rPr>
          <w:rFonts w:ascii="Calibri" w:hAnsi="Calibri" w:cs="Calibri"/>
        </w:rPr>
        <w:t xml:space="preserve"> legfeljebb a </w:t>
      </w:r>
      <w:r>
        <w:rPr>
          <w:rFonts w:ascii="Calibri" w:hAnsi="Calibri" w:cs="Calibri"/>
        </w:rPr>
        <w:t>rendelkezésre álló 4</w:t>
      </w:r>
      <w:r w:rsidR="00446CBF" w:rsidRPr="00403426">
        <w:rPr>
          <w:rFonts w:ascii="Calibri" w:hAnsi="Calibri" w:cs="Calibri"/>
        </w:rPr>
        <w:t> </w:t>
      </w:r>
      <w:r>
        <w:rPr>
          <w:rFonts w:ascii="Calibri" w:hAnsi="Calibri" w:cs="Calibri"/>
        </w:rPr>
        <w:t xml:space="preserve">000 millió Ft </w:t>
      </w:r>
      <w:r w:rsidRPr="009F3E11">
        <w:rPr>
          <w:rFonts w:ascii="Calibri" w:hAnsi="Calibri" w:cs="Calibri"/>
        </w:rPr>
        <w:t>szállítói faktoringkeret összegéig</w:t>
      </w:r>
      <w:r>
        <w:rPr>
          <w:rFonts w:ascii="Calibri" w:hAnsi="Calibri" w:cs="Calibri"/>
        </w:rPr>
        <w:t>.</w:t>
      </w:r>
    </w:p>
    <w:p w14:paraId="0F50740C" w14:textId="77777777" w:rsidR="00673B85" w:rsidRPr="003860A9" w:rsidRDefault="00673B85" w:rsidP="001E0F17">
      <w:pPr>
        <w:pStyle w:val="Cmsor2"/>
      </w:pPr>
      <w:bookmarkStart w:id="135" w:name="_Toc512409644"/>
      <w:r w:rsidRPr="003860A9">
        <w:t>Cash-flow kimutatás</w:t>
      </w:r>
      <w:bookmarkEnd w:id="135"/>
    </w:p>
    <w:p w14:paraId="1C80A171" w14:textId="77777777" w:rsidR="005B7882" w:rsidRPr="003860A9" w:rsidRDefault="005B7882" w:rsidP="005B7882">
      <w:pPr>
        <w:jc w:val="both"/>
        <w:rPr>
          <w:rFonts w:asciiTheme="minorHAnsi" w:hAnsiTheme="minorHAnsi" w:cstheme="minorHAnsi"/>
          <w:highlight w:val="yellow"/>
        </w:rPr>
      </w:pPr>
    </w:p>
    <w:p w14:paraId="51A6F165" w14:textId="3CBE56DA" w:rsidR="00673B85" w:rsidRPr="003860A9" w:rsidRDefault="003860A9" w:rsidP="003860A9">
      <w:pPr>
        <w:jc w:val="both"/>
      </w:pPr>
      <w:r w:rsidRPr="003860A9">
        <w:rPr>
          <w:rFonts w:asciiTheme="minorHAnsi" w:hAnsiTheme="minorHAnsi" w:cstheme="minorHAnsi"/>
        </w:rPr>
        <w:t>A pénzeszközök záró állománya 4 413 millió Ft-tal csökken a 2017. évi tényadatokhoz képest.</w:t>
      </w:r>
      <w:r w:rsidRPr="003860A9">
        <w:rPr>
          <w:rFonts w:asciiTheme="minorHAnsi" w:hAnsiTheme="minorHAnsi" w:cstheme="minorHAnsi"/>
        </w:rPr>
        <w:br/>
        <w:t xml:space="preserve">A működési cash flow összege 1 861 millió Ft, a befektetési tevékenység cash flow-ja </w:t>
      </w:r>
      <w:r w:rsidRPr="003860A9">
        <w:rPr>
          <w:rFonts w:asciiTheme="minorHAnsi" w:hAnsiTheme="minorHAnsi" w:cstheme="minorHAnsi"/>
        </w:rPr>
        <w:br/>
        <w:t>-101 767 millió Ft és a pénzügyi műveletekből származó cash flow összege 95 492 millió Ft.</w:t>
      </w:r>
    </w:p>
    <w:p w14:paraId="0C87984B" w14:textId="77777777" w:rsidR="00DA4CF8" w:rsidRPr="00787AB7" w:rsidRDefault="009A1A77" w:rsidP="00106B84">
      <w:pPr>
        <w:pStyle w:val="Cmsor1"/>
        <w:pageBreakBefore/>
        <w:numPr>
          <w:ilvl w:val="0"/>
          <w:numId w:val="17"/>
        </w:numPr>
        <w:spacing w:before="360" w:after="360"/>
        <w:jc w:val="left"/>
        <w:rPr>
          <w:rStyle w:val="Stlus14ptFlkvrAlhzs"/>
          <w:rFonts w:asciiTheme="minorHAnsi" w:hAnsiTheme="minorHAnsi" w:cstheme="minorHAnsi"/>
          <w:bCs/>
          <w:i w:val="0"/>
          <w:u w:val="none"/>
        </w:rPr>
      </w:pPr>
      <w:bookmarkStart w:id="136" w:name="_Toc450555077"/>
      <w:bookmarkStart w:id="137" w:name="_Toc450555078"/>
      <w:bookmarkStart w:id="138" w:name="_Toc450555079"/>
      <w:bookmarkStart w:id="139" w:name="_Toc450555080"/>
      <w:bookmarkStart w:id="140" w:name="_Toc450555081"/>
      <w:bookmarkStart w:id="141" w:name="_Toc450555082"/>
      <w:bookmarkStart w:id="142" w:name="_Toc512409645"/>
      <w:bookmarkEnd w:id="134"/>
      <w:bookmarkEnd w:id="136"/>
      <w:bookmarkEnd w:id="137"/>
      <w:bookmarkEnd w:id="138"/>
      <w:bookmarkEnd w:id="139"/>
      <w:bookmarkEnd w:id="140"/>
      <w:bookmarkEnd w:id="141"/>
      <w:r w:rsidRPr="00787AB7">
        <w:rPr>
          <w:rStyle w:val="Stlus14ptFlkvrAlhzs"/>
          <w:rFonts w:asciiTheme="minorHAnsi" w:hAnsiTheme="minorHAnsi" w:cstheme="minorHAnsi"/>
          <w:bCs/>
          <w:i w:val="0"/>
          <w:u w:val="none"/>
        </w:rPr>
        <w:lastRenderedPageBreak/>
        <w:t>Fejlesztési, beruházási célkitűzések</w:t>
      </w:r>
      <w:bookmarkEnd w:id="142"/>
    </w:p>
    <w:p w14:paraId="48EA3E9A" w14:textId="77777777" w:rsidR="008716FD" w:rsidRPr="0056690E" w:rsidRDefault="008716FD" w:rsidP="001E0F17">
      <w:pPr>
        <w:pStyle w:val="Cmsor2"/>
      </w:pPr>
      <w:bookmarkStart w:id="143" w:name="_Toc443317892"/>
      <w:bookmarkStart w:id="144" w:name="_Toc465246354"/>
      <w:bookmarkStart w:id="145" w:name="_Toc512409646"/>
      <w:r w:rsidRPr="0056690E">
        <w:t>Műszaki állapotok</w:t>
      </w:r>
      <w:bookmarkEnd w:id="143"/>
      <w:bookmarkEnd w:id="144"/>
      <w:bookmarkEnd w:id="145"/>
    </w:p>
    <w:p w14:paraId="5D706D1D" w14:textId="77777777" w:rsidR="008716FD" w:rsidRPr="00C51ED7" w:rsidRDefault="008716FD" w:rsidP="008716FD">
      <w:pPr>
        <w:pStyle w:val="Lista3"/>
        <w:rPr>
          <w:rFonts w:asciiTheme="minorHAnsi" w:hAnsiTheme="minorHAnsi" w:cstheme="minorHAnsi"/>
        </w:rPr>
      </w:pPr>
    </w:p>
    <w:p w14:paraId="3D16E334" w14:textId="77777777" w:rsidR="005F6F52" w:rsidRPr="00787AB7" w:rsidRDefault="009A1A77" w:rsidP="005F6F52">
      <w:pPr>
        <w:jc w:val="both"/>
        <w:rPr>
          <w:rFonts w:asciiTheme="minorHAnsi" w:hAnsiTheme="minorHAnsi" w:cs="Calibri"/>
        </w:rPr>
      </w:pPr>
      <w:r w:rsidRPr="00787AB7">
        <w:rPr>
          <w:rFonts w:asciiTheme="minorHAnsi" w:hAnsiTheme="minorHAnsi" w:cs="Calibri"/>
        </w:rPr>
        <w:t>Társaságunk alapfeladata Budapest területén a közösségi közlekedési közszolgáltatás nyújtása. Ennek maradéktalan megvalósítása érdekében el kell látnia az utazóközönség szállítását biztosító járműállomány, az e járművek közlekedésének felté</w:t>
      </w:r>
      <w:r w:rsidRPr="00787AB7">
        <w:rPr>
          <w:rFonts w:asciiTheme="minorHAnsi" w:hAnsiTheme="minorHAnsi" w:cs="Calibri"/>
        </w:rPr>
        <w:softHyphen/>
        <w:t>teleit biztosító infrastruktúra eszközök, valamint az eszközrendszer fenntartásához, karbantartásához közvetlenül és közvetetten kapcsolódó épületek, építmények, gépek, berendezések és kiszolgáló létesítmények, járművek üzemeltetését.</w:t>
      </w:r>
    </w:p>
    <w:p w14:paraId="32170A6C" w14:textId="77777777" w:rsidR="008716FD" w:rsidRPr="00787AB7" w:rsidRDefault="009A1A77" w:rsidP="005F6F52">
      <w:pPr>
        <w:jc w:val="both"/>
        <w:rPr>
          <w:rFonts w:asciiTheme="minorHAnsi" w:hAnsiTheme="minorHAnsi" w:cs="Calibri"/>
        </w:rPr>
      </w:pPr>
      <w:r w:rsidRPr="00787AB7">
        <w:rPr>
          <w:rFonts w:asciiTheme="minorHAnsi" w:hAnsiTheme="minorHAnsi" w:cs="Calibri"/>
        </w:rPr>
        <w:t xml:space="preserve"> </w:t>
      </w:r>
    </w:p>
    <w:p w14:paraId="38F7A47B" w14:textId="77777777" w:rsidR="0047689D" w:rsidRPr="00787AB7" w:rsidRDefault="009A1A77" w:rsidP="0047689D">
      <w:pPr>
        <w:jc w:val="both"/>
        <w:rPr>
          <w:rFonts w:ascii="Calibri" w:hAnsi="Calibri" w:cs="Calibri"/>
          <w:lang w:eastAsia="ru-RU"/>
        </w:rPr>
      </w:pPr>
      <w:r w:rsidRPr="00787AB7">
        <w:rPr>
          <w:rFonts w:ascii="Calibri" w:hAnsi="Calibri" w:cs="Calibri"/>
          <w:lang w:eastAsia="ru-RU"/>
        </w:rPr>
        <w:t xml:space="preserve">A </w:t>
      </w:r>
      <w:r w:rsidRPr="00787AB7">
        <w:rPr>
          <w:rFonts w:ascii="Calibri" w:hAnsi="Calibri" w:cs="Calibri"/>
          <w:b/>
          <w:lang w:eastAsia="ru-RU"/>
        </w:rPr>
        <w:t>BKV Zrt. vasúti ágazatai üzemeltetnek újonnan beszerzett, kifogástalan, közel 100%-os műszaki állapotú eszközöket</w:t>
      </w:r>
      <w:r w:rsidRPr="00787AB7">
        <w:rPr>
          <w:rFonts w:ascii="Calibri" w:hAnsi="Calibri" w:cs="Calibri"/>
          <w:lang w:eastAsia="ru-RU"/>
        </w:rPr>
        <w:t xml:space="preserve"> (pl. Alstom metró járművek, M4 metróvonal, 1-es és</w:t>
      </w:r>
      <w:r w:rsidRPr="00787AB7">
        <w:rPr>
          <w:rFonts w:ascii="Calibri" w:hAnsi="Calibri" w:cs="Calibri"/>
          <w:lang w:eastAsia="ru-RU"/>
        </w:rPr>
        <w:br/>
        <w:t xml:space="preserve">3-as-, budai fonódó villamos vonal eszközrendszere), </w:t>
      </w:r>
      <w:r w:rsidRPr="00787AB7">
        <w:rPr>
          <w:rFonts w:ascii="Calibri" w:hAnsi="Calibri" w:cs="Calibri"/>
          <w:b/>
          <w:lang w:eastAsia="ru-RU"/>
        </w:rPr>
        <w:t xml:space="preserve">de üzemeltetnek a hasznos élettartamukat már meghaladó járműveket </w:t>
      </w:r>
      <w:r w:rsidRPr="00787AB7">
        <w:rPr>
          <w:rFonts w:ascii="Calibri" w:hAnsi="Calibri" w:cs="Calibri"/>
          <w:lang w:eastAsia="ru-RU"/>
        </w:rPr>
        <w:t xml:space="preserve">(pl. MFAV személyszállító járművek) és </w:t>
      </w:r>
      <w:r w:rsidRPr="00787AB7">
        <w:rPr>
          <w:rFonts w:ascii="Calibri" w:hAnsi="Calibri" w:cs="Calibri"/>
          <w:b/>
          <w:lang w:eastAsia="ru-RU"/>
        </w:rPr>
        <w:t>igen rossz műszaki állapotú infrastruktúra eszközöket is</w:t>
      </w:r>
      <w:r w:rsidRPr="00787AB7">
        <w:rPr>
          <w:rFonts w:ascii="Calibri" w:hAnsi="Calibri" w:cs="Calibri"/>
          <w:lang w:eastAsia="ru-RU"/>
        </w:rPr>
        <w:t xml:space="preserve"> (pl. villamos pályák esetében). Az elmúlt időszakban végrehajtott, illetőleg előkészítés alatt álló nagyprojektek (új jármű beszerzések: CAF villamos, M4 vonal megindítása, 1-es és 3-as villamos vonal felújítása, bővítése,</w:t>
      </w:r>
      <w:r w:rsidRPr="00787AB7">
        <w:rPr>
          <w:rFonts w:ascii="Calibri" w:hAnsi="Calibri" w:cs="Calibri"/>
          <w:lang w:eastAsia="ru-RU"/>
        </w:rPr>
        <w:br/>
        <w:t>M3 jármű felújítás, M3 rekonstrukció) ugyan jelentős pozitív hatást gyakorolnak az eszközrendszer fejlesztések által érintett elemekre, ez azonban nem tekinthető teljes körűnek. A projektek és társasági beruházás által nem érintett eszközök műszaki színvonala nem került javításra.</w:t>
      </w:r>
    </w:p>
    <w:p w14:paraId="0F6DD4F5" w14:textId="77777777" w:rsidR="0047689D" w:rsidRPr="00787AB7" w:rsidRDefault="0047689D" w:rsidP="0047689D">
      <w:pPr>
        <w:jc w:val="both"/>
        <w:rPr>
          <w:rFonts w:ascii="Calibri" w:hAnsi="Calibri" w:cs="Calibri"/>
          <w:lang w:eastAsia="ru-RU"/>
        </w:rPr>
      </w:pPr>
    </w:p>
    <w:p w14:paraId="038F7F6B" w14:textId="77777777" w:rsidR="0047689D" w:rsidRPr="00787AB7" w:rsidRDefault="009A1A77" w:rsidP="0047689D">
      <w:pPr>
        <w:jc w:val="both"/>
        <w:rPr>
          <w:rFonts w:ascii="Calibri" w:hAnsi="Calibri" w:cs="Calibri"/>
          <w:lang w:eastAsia="ru-RU"/>
        </w:rPr>
      </w:pPr>
      <w:r w:rsidRPr="00787AB7">
        <w:rPr>
          <w:rFonts w:ascii="Calibri" w:hAnsi="Calibri" w:cs="Calibri"/>
          <w:lang w:eastAsia="ru-RU"/>
        </w:rPr>
        <w:t>Az üzemeltetett eszközrendszer műszaki állapotának elvárt szintje nem biztosítható maradéktalanul a halaszott bevétellel csökkentett értékcsökkenés szintjét el nem érő beruházási gyakorlat eredményeként, melyből adódóan bizonyos esetekben nehezen végezhetők el az üzemeltetési feladatok. Ennek elkerülése érdekében a beruházási, fejlesztési források jelenlegi, az indokoltnál alacsonyabb szintje a jövőben nem tartható fenn.</w:t>
      </w:r>
    </w:p>
    <w:p w14:paraId="3317D921" w14:textId="77777777" w:rsidR="005F6F52" w:rsidRPr="00787AB7" w:rsidRDefault="005F6F52" w:rsidP="005F6F52">
      <w:pPr>
        <w:jc w:val="both"/>
        <w:rPr>
          <w:rFonts w:ascii="Calibri" w:hAnsi="Calibri" w:cs="Calibri"/>
          <w:lang w:eastAsia="ru-RU"/>
        </w:rPr>
      </w:pPr>
    </w:p>
    <w:p w14:paraId="34F195BD" w14:textId="1E26312D" w:rsidR="00B96040" w:rsidRPr="00787AB7" w:rsidRDefault="009A1A77" w:rsidP="005F6F52">
      <w:pPr>
        <w:jc w:val="both"/>
        <w:rPr>
          <w:rFonts w:ascii="Calibri" w:hAnsi="Calibri" w:cs="Calibri"/>
          <w:b/>
          <w:lang w:eastAsia="ru-RU"/>
        </w:rPr>
      </w:pPr>
      <w:r w:rsidRPr="00787AB7">
        <w:rPr>
          <w:rFonts w:ascii="Calibri" w:hAnsi="Calibri" w:cs="Calibri"/>
          <w:lang w:eastAsia="ru-RU"/>
        </w:rPr>
        <w:t xml:space="preserve">A karbantartási tevékenységek végrehajtásához szükséges fedezet az elmúlt években ugyan jelentős mértékű pozitív változáson esett át, azonban </w:t>
      </w:r>
      <w:r w:rsidRPr="00787AB7">
        <w:rPr>
          <w:rFonts w:ascii="Calibri" w:hAnsi="Calibri" w:cs="Calibri"/>
          <w:b/>
          <w:lang w:eastAsia="ru-RU"/>
        </w:rPr>
        <w:t>az elmaradó beruházási tevékenységek teljeskörűen a karbantartás során elvégzett feladatokkal még abban az esetben sem válthatóak ki, ha e tevékenységek fedezete rendelkezésre áll.</w:t>
      </w:r>
    </w:p>
    <w:p w14:paraId="330A49D4" w14:textId="77777777" w:rsidR="005F6F52" w:rsidRPr="00787AB7" w:rsidRDefault="005F6F52" w:rsidP="005F6F52">
      <w:pPr>
        <w:jc w:val="both"/>
        <w:rPr>
          <w:rFonts w:ascii="Calibri" w:hAnsi="Calibri" w:cs="Calibri"/>
          <w:b/>
          <w:lang w:eastAsia="ru-RU"/>
        </w:rPr>
      </w:pPr>
    </w:p>
    <w:p w14:paraId="0B04649A" w14:textId="46E7102A" w:rsidR="0061003F" w:rsidRPr="0061003F" w:rsidRDefault="0061003F" w:rsidP="0061003F">
      <w:pPr>
        <w:jc w:val="both"/>
        <w:rPr>
          <w:rFonts w:ascii="Calibri" w:hAnsi="Calibri" w:cs="Calibri"/>
          <w:lang w:eastAsia="ru-RU"/>
        </w:rPr>
      </w:pPr>
      <w:r w:rsidRPr="0061003F">
        <w:rPr>
          <w:rFonts w:ascii="Calibri" w:hAnsi="Calibri" w:cs="Calibri"/>
          <w:lang w:eastAsia="ru-RU"/>
        </w:rPr>
        <w:t xml:space="preserve">A vasúti járműveknél az új, Társaságunk által üzemeltetett CAF járműpark üzembe helyezése kis mértékben javított a műszaki színvonalon, a </w:t>
      </w:r>
      <w:r w:rsidRPr="0061003F">
        <w:rPr>
          <w:rFonts w:ascii="Calibri" w:hAnsi="Calibri" w:cs="Calibri"/>
          <w:b/>
          <w:lang w:eastAsia="ru-RU"/>
        </w:rPr>
        <w:t>villamos személyszállító járművek</w:t>
      </w:r>
      <w:r w:rsidRPr="0061003F">
        <w:rPr>
          <w:rFonts w:ascii="Calibri" w:hAnsi="Calibri" w:cs="Calibri"/>
          <w:lang w:eastAsia="ru-RU"/>
        </w:rPr>
        <w:t xml:space="preserve"> átlagos életkora </w:t>
      </w:r>
      <w:r w:rsidRPr="0061003F">
        <w:rPr>
          <w:rFonts w:ascii="Calibri" w:hAnsi="Calibri" w:cs="Calibri"/>
          <w:b/>
          <w:lang w:eastAsia="ru-RU"/>
        </w:rPr>
        <w:t>33,79 év</w:t>
      </w:r>
      <w:r w:rsidRPr="0061003F">
        <w:rPr>
          <w:rFonts w:ascii="Calibri" w:hAnsi="Calibri" w:cs="Calibri"/>
          <w:lang w:eastAsia="ru-RU"/>
        </w:rPr>
        <w:t>, mely érték – a pozitív változások ellenére is – még mindig 3,79 évvel meghaladja a tervezett élettartamot.</w:t>
      </w:r>
      <w:r>
        <w:rPr>
          <w:rFonts w:ascii="Calibri" w:hAnsi="Calibri" w:cs="Calibri"/>
          <w:lang w:eastAsia="ru-RU"/>
        </w:rPr>
        <w:t xml:space="preserve"> </w:t>
      </w:r>
    </w:p>
    <w:p w14:paraId="2CBF1F83" w14:textId="66CF24F8" w:rsidR="004E03A2" w:rsidRPr="00787AB7" w:rsidRDefault="009A1A77" w:rsidP="005F6F52">
      <w:pPr>
        <w:jc w:val="both"/>
        <w:rPr>
          <w:rFonts w:ascii="Calibri" w:hAnsi="Calibri" w:cs="Calibri"/>
          <w:lang w:eastAsia="ru-RU"/>
        </w:rPr>
      </w:pPr>
      <w:r w:rsidRPr="00787AB7">
        <w:rPr>
          <w:rFonts w:ascii="Calibri" w:hAnsi="Calibri" w:cs="Calibri"/>
          <w:lang w:eastAsia="ru-RU"/>
        </w:rPr>
        <w:t>Tekintettel arra, hogy a CAF járművek a</w:t>
      </w:r>
      <w:r w:rsidR="00B2136D">
        <w:rPr>
          <w:rFonts w:ascii="Calibri" w:hAnsi="Calibri" w:cs="Calibri"/>
          <w:lang w:eastAsia="ru-RU"/>
        </w:rPr>
        <w:t xml:space="preserve"> </w:t>
      </w:r>
      <w:r w:rsidRPr="00787AB7">
        <w:rPr>
          <w:rFonts w:ascii="Calibri" w:hAnsi="Calibri" w:cs="Calibri"/>
          <w:lang w:eastAsia="ru-RU"/>
        </w:rPr>
        <w:t xml:space="preserve">BKK Zrt. tulajdonában vannak ez a járműcsere a BKV tulajdonú eszközrendszerében nem okozott jelentős változást, kiszűrve a CAF hatását </w:t>
      </w:r>
      <w:r w:rsidRPr="00787AB7">
        <w:rPr>
          <w:rFonts w:ascii="Calibri" w:hAnsi="Calibri" w:cs="Calibri"/>
          <w:b/>
          <w:lang w:eastAsia="ru-RU"/>
        </w:rPr>
        <w:t xml:space="preserve">a BKV Zrt. eszközrendszerébe tartozó villamos járművek átlagos életkora </w:t>
      </w:r>
      <w:r w:rsidR="0061003F">
        <w:rPr>
          <w:rFonts w:ascii="Calibri" w:hAnsi="Calibri" w:cs="Calibri"/>
          <w:b/>
          <w:lang w:eastAsia="ru-RU"/>
        </w:rPr>
        <w:t>36,1</w:t>
      </w:r>
      <w:r w:rsidRPr="00787AB7">
        <w:rPr>
          <w:rFonts w:ascii="Calibri" w:hAnsi="Calibri" w:cs="Calibri"/>
          <w:b/>
          <w:lang w:eastAsia="ru-RU"/>
        </w:rPr>
        <w:t xml:space="preserve"> év, mely </w:t>
      </w:r>
      <w:r w:rsidR="0061003F">
        <w:rPr>
          <w:rFonts w:ascii="Calibri" w:hAnsi="Calibri" w:cs="Calibri"/>
          <w:b/>
          <w:lang w:eastAsia="ru-RU"/>
        </w:rPr>
        <w:t>6,1</w:t>
      </w:r>
      <w:r w:rsidRPr="00787AB7">
        <w:rPr>
          <w:rFonts w:ascii="Calibri" w:hAnsi="Calibri" w:cs="Calibri"/>
          <w:b/>
          <w:lang w:eastAsia="ru-RU"/>
        </w:rPr>
        <w:t xml:space="preserve"> évvel haladja meg a hasznos élettartamot.</w:t>
      </w:r>
    </w:p>
    <w:p w14:paraId="3B28A1BB" w14:textId="77777777" w:rsidR="005F6F52" w:rsidRPr="00787AB7" w:rsidRDefault="005F6F52" w:rsidP="005F6F52">
      <w:pPr>
        <w:jc w:val="both"/>
        <w:rPr>
          <w:rFonts w:ascii="Calibri" w:hAnsi="Calibri" w:cs="Calibri"/>
          <w:lang w:eastAsia="ru-RU"/>
        </w:rPr>
      </w:pPr>
    </w:p>
    <w:p w14:paraId="5AC5AE58" w14:textId="77777777" w:rsidR="0061003F" w:rsidRPr="0061003F" w:rsidRDefault="0061003F" w:rsidP="0061003F">
      <w:pPr>
        <w:jc w:val="both"/>
        <w:rPr>
          <w:rFonts w:ascii="Calibri" w:hAnsi="Calibri" w:cs="Calibri"/>
          <w:lang w:eastAsia="ru-RU"/>
        </w:rPr>
      </w:pPr>
      <w:r w:rsidRPr="0061003F">
        <w:rPr>
          <w:rFonts w:ascii="Calibri" w:hAnsi="Calibri" w:cs="Calibri"/>
          <w:lang w:eastAsia="ru-RU"/>
        </w:rPr>
        <w:t xml:space="preserve">A </w:t>
      </w:r>
      <w:r w:rsidRPr="0061003F">
        <w:rPr>
          <w:rFonts w:ascii="Calibri" w:hAnsi="Calibri" w:cs="Calibri"/>
          <w:b/>
          <w:lang w:eastAsia="ru-RU"/>
        </w:rPr>
        <w:t>metró személyszállító járművek</w:t>
      </w:r>
      <w:r w:rsidRPr="0061003F">
        <w:rPr>
          <w:rFonts w:ascii="Calibri" w:hAnsi="Calibri" w:cs="Calibri"/>
          <w:lang w:eastAsia="ru-RU"/>
        </w:rPr>
        <w:t xml:space="preserve"> átlagos életkora </w:t>
      </w:r>
      <w:r w:rsidRPr="0061003F">
        <w:rPr>
          <w:rFonts w:ascii="Calibri" w:hAnsi="Calibri" w:cs="Calibri"/>
          <w:b/>
          <w:lang w:eastAsia="ru-RU"/>
        </w:rPr>
        <w:t>19,79 év</w:t>
      </w:r>
      <w:r w:rsidRPr="0061003F">
        <w:rPr>
          <w:rFonts w:ascii="Calibri" w:hAnsi="Calibri" w:cs="Calibri"/>
          <w:lang w:eastAsia="ru-RU"/>
        </w:rPr>
        <w:t xml:space="preserve">, mely összességében az M4 beindítása és a K-Ny-i vonalon a közelmúltban végrehajtott járműcsere, és az orosz járművek </w:t>
      </w:r>
      <w:r w:rsidRPr="0061003F">
        <w:rPr>
          <w:rFonts w:ascii="Calibri" w:hAnsi="Calibri" w:cs="Calibri"/>
          <w:lang w:eastAsia="ru-RU"/>
        </w:rPr>
        <w:lastRenderedPageBreak/>
        <w:t xml:space="preserve">jelenleg is folyamatban lévő korszerűsítésének eredményeként lényegesen kedvezőbb képet mutat az előző évek adataihoz viszonyítva. </w:t>
      </w:r>
    </w:p>
    <w:p w14:paraId="6CBE42CD" w14:textId="66055564" w:rsidR="0061003F" w:rsidRPr="0061003F" w:rsidRDefault="0061003F" w:rsidP="0061003F">
      <w:pPr>
        <w:jc w:val="both"/>
        <w:rPr>
          <w:rFonts w:ascii="Calibri" w:hAnsi="Calibri" w:cs="Calibri"/>
          <w:lang w:eastAsia="ru-RU"/>
        </w:rPr>
      </w:pPr>
      <w:r w:rsidRPr="0061003F">
        <w:rPr>
          <w:rFonts w:ascii="Calibri" w:hAnsi="Calibri" w:cs="Calibri"/>
          <w:lang w:eastAsia="ru-RU"/>
        </w:rPr>
        <w:t>A metró személyszállító járművek esetében – kiszűrve az új ALSTOM járművek alacsony életkorának kedvező irányú hatását – megállapítható, hogy az (2017. december 31-én) állományban lévő orosz gyártmányú járműveink 35,19 éves átlagos életkor</w:t>
      </w:r>
      <w:r>
        <w:rPr>
          <w:rFonts w:ascii="Calibri" w:hAnsi="Calibri" w:cs="Calibri"/>
          <w:lang w:eastAsia="ru-RU"/>
        </w:rPr>
        <w:t>ukk</w:t>
      </w:r>
      <w:r w:rsidRPr="0061003F">
        <w:rPr>
          <w:rFonts w:ascii="Calibri" w:hAnsi="Calibri" w:cs="Calibri"/>
          <w:lang w:eastAsia="ru-RU"/>
        </w:rPr>
        <w:t>al a tervezett élettartamot már túlha</w:t>
      </w:r>
      <w:r>
        <w:rPr>
          <w:rFonts w:ascii="Calibri" w:hAnsi="Calibri" w:cs="Calibri"/>
          <w:lang w:eastAsia="ru-RU"/>
        </w:rPr>
        <w:t>ladták</w:t>
      </w:r>
      <w:r w:rsidRPr="0061003F">
        <w:rPr>
          <w:rFonts w:ascii="Calibri" w:hAnsi="Calibri" w:cs="Calibri"/>
          <w:lang w:eastAsia="ru-RU"/>
        </w:rPr>
        <w:t xml:space="preserve">. E járművek esetében a folyamatban lévő korszerűsítéssel egybekötött felújítás eredményeként jelentős mértékű műszaki színvonal emelkedés várható a közeljövőben, 2018. évben teljes mértékben, véglegesen kivezetésre kerülnek. Az </w:t>
      </w:r>
      <w:r w:rsidRPr="0061003F">
        <w:rPr>
          <w:rFonts w:ascii="Calibri" w:hAnsi="Calibri" w:cs="Calibri"/>
          <w:b/>
          <w:lang w:eastAsia="ru-RU"/>
        </w:rPr>
        <w:t>MFAV</w:t>
      </w:r>
      <w:r w:rsidRPr="0061003F">
        <w:rPr>
          <w:rFonts w:ascii="Calibri" w:hAnsi="Calibri" w:cs="Calibri"/>
          <w:lang w:eastAsia="ru-RU"/>
        </w:rPr>
        <w:t xml:space="preserve"> járművek jelentős mértékben túllépték már a tervezett élettartamukat, jelenlegi átlagos életkoruk </w:t>
      </w:r>
      <w:r w:rsidRPr="0061003F">
        <w:rPr>
          <w:rFonts w:ascii="Calibri" w:hAnsi="Calibri" w:cs="Calibri"/>
          <w:b/>
          <w:lang w:eastAsia="ru-RU"/>
        </w:rPr>
        <w:t>43,69 év</w:t>
      </w:r>
      <w:r w:rsidRPr="0061003F">
        <w:rPr>
          <w:rFonts w:ascii="Calibri" w:hAnsi="Calibri" w:cs="Calibri"/>
          <w:lang w:eastAsia="ru-RU"/>
        </w:rPr>
        <w:t>.</w:t>
      </w:r>
    </w:p>
    <w:p w14:paraId="1C22DB1F" w14:textId="77777777" w:rsidR="005F6F52" w:rsidRPr="00787AB7" w:rsidRDefault="005F6F52" w:rsidP="005F6F52">
      <w:pPr>
        <w:jc w:val="both"/>
        <w:rPr>
          <w:rFonts w:ascii="Calibri" w:hAnsi="Calibri" w:cs="Calibri"/>
          <w:lang w:eastAsia="ru-RU"/>
        </w:rPr>
      </w:pPr>
    </w:p>
    <w:p w14:paraId="003CE618" w14:textId="77777777" w:rsidR="00B96040" w:rsidRPr="00787AB7" w:rsidRDefault="009A1A77" w:rsidP="00B96040">
      <w:pPr>
        <w:keepNext/>
        <w:spacing w:after="240"/>
        <w:jc w:val="center"/>
        <w:rPr>
          <w:rFonts w:ascii="Calibri" w:hAnsi="Calibri" w:cs="Calibri"/>
          <w:sz w:val="22"/>
          <w:szCs w:val="22"/>
          <w:lang w:eastAsia="ru-RU"/>
        </w:rPr>
      </w:pPr>
      <w:r w:rsidRPr="00787AB7">
        <w:rPr>
          <w:rFonts w:ascii="Calibri" w:hAnsi="Calibri" w:cs="Calibri"/>
          <w:sz w:val="22"/>
          <w:szCs w:val="22"/>
          <w:lang w:eastAsia="ru-RU"/>
        </w:rPr>
        <w:t>Vasúti járművek átlagos életkora (év) *</w:t>
      </w:r>
    </w:p>
    <w:p w14:paraId="3B53D22E" w14:textId="6E7B283E" w:rsidR="00B96040" w:rsidRPr="00787AB7" w:rsidRDefault="0061003F" w:rsidP="00B96040">
      <w:pPr>
        <w:jc w:val="center"/>
        <w:rPr>
          <w:rFonts w:ascii="Calibri" w:hAnsi="Calibri" w:cs="Calibri"/>
          <w:lang w:eastAsia="ru-RU"/>
        </w:rPr>
      </w:pPr>
      <w:r>
        <w:rPr>
          <w:rFonts w:ascii="Calibri" w:hAnsi="Calibri" w:cs="Calibri"/>
          <w:noProof/>
        </w:rPr>
        <w:drawing>
          <wp:inline distT="0" distB="0" distL="0" distR="0" wp14:anchorId="4AE8F112" wp14:editId="587B9FB7">
            <wp:extent cx="4753416" cy="3098042"/>
            <wp:effectExtent l="0" t="0" r="0" b="762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1380" cy="3096715"/>
                    </a:xfrm>
                    <a:prstGeom prst="rect">
                      <a:avLst/>
                    </a:prstGeom>
                    <a:noFill/>
                  </pic:spPr>
                </pic:pic>
              </a:graphicData>
            </a:graphic>
          </wp:inline>
        </w:drawing>
      </w:r>
    </w:p>
    <w:p w14:paraId="19B2EFAE" w14:textId="05C3B954" w:rsidR="00B96040" w:rsidRPr="00787AB7" w:rsidRDefault="009A1A77" w:rsidP="00B96040">
      <w:pPr>
        <w:spacing w:after="240"/>
        <w:ind w:left="567"/>
        <w:rPr>
          <w:rFonts w:ascii="Calibri" w:hAnsi="Calibri" w:cs="Calibri"/>
          <w:sz w:val="20"/>
          <w:szCs w:val="20"/>
          <w:lang w:eastAsia="ru-RU"/>
        </w:rPr>
      </w:pPr>
      <w:r w:rsidRPr="00787AB7">
        <w:rPr>
          <w:rFonts w:ascii="Calibri" w:hAnsi="Calibri" w:cs="Calibri"/>
          <w:sz w:val="20"/>
          <w:szCs w:val="20"/>
          <w:lang w:eastAsia="ru-RU"/>
        </w:rPr>
        <w:t xml:space="preserve">* 2017. </w:t>
      </w:r>
      <w:r w:rsidR="0061003F">
        <w:rPr>
          <w:rFonts w:ascii="Calibri" w:hAnsi="Calibri" w:cs="Calibri"/>
          <w:sz w:val="20"/>
          <w:szCs w:val="20"/>
          <w:lang w:eastAsia="ru-RU"/>
        </w:rPr>
        <w:t>december</w:t>
      </w:r>
      <w:r w:rsidR="0061003F" w:rsidRPr="00787AB7">
        <w:rPr>
          <w:rFonts w:ascii="Calibri" w:hAnsi="Calibri" w:cs="Calibri"/>
          <w:sz w:val="20"/>
          <w:szCs w:val="20"/>
          <w:lang w:eastAsia="ru-RU"/>
        </w:rPr>
        <w:t xml:space="preserve"> </w:t>
      </w:r>
      <w:r w:rsidRPr="00787AB7">
        <w:rPr>
          <w:rFonts w:ascii="Calibri" w:hAnsi="Calibri" w:cs="Calibri"/>
          <w:sz w:val="20"/>
          <w:szCs w:val="20"/>
          <w:lang w:eastAsia="ru-RU"/>
        </w:rPr>
        <w:t>31-i állapot szerint</w:t>
      </w:r>
    </w:p>
    <w:p w14:paraId="00A19439" w14:textId="77777777" w:rsidR="00B96040" w:rsidRPr="00787AB7" w:rsidRDefault="009A1A77" w:rsidP="005F6F52">
      <w:pPr>
        <w:jc w:val="both"/>
        <w:rPr>
          <w:rFonts w:ascii="Calibri" w:hAnsi="Calibri" w:cs="Calibri"/>
          <w:lang w:eastAsia="ru-RU"/>
        </w:rPr>
      </w:pPr>
      <w:r w:rsidRPr="00787AB7">
        <w:rPr>
          <w:rFonts w:ascii="Calibri" w:hAnsi="Calibri" w:cs="Calibri"/>
          <w:lang w:eastAsia="ru-RU"/>
        </w:rPr>
        <w:t>A tervezett élettartamon túli üzemeltetés az üzemeltetési kockázatokat növeli, többlet ráfordítás igénnyel jár, elavult technikai színvonalat, rossz energiahatékonyságot, alacsony utas-kiszolgálási színvonalat eredményez.</w:t>
      </w:r>
    </w:p>
    <w:p w14:paraId="51BFF00D" w14:textId="77777777" w:rsidR="005F6F52" w:rsidRDefault="005F6F52" w:rsidP="005F6F52">
      <w:pPr>
        <w:jc w:val="both"/>
        <w:rPr>
          <w:rFonts w:ascii="Calibri" w:hAnsi="Calibri" w:cs="Calibri"/>
          <w:lang w:eastAsia="ru-RU"/>
        </w:rPr>
      </w:pPr>
    </w:p>
    <w:p w14:paraId="773BA8AC" w14:textId="77777777" w:rsidR="001A50C2" w:rsidRDefault="001A50C2" w:rsidP="001A50C2">
      <w:pPr>
        <w:spacing w:after="240"/>
        <w:jc w:val="both"/>
        <w:rPr>
          <w:rFonts w:ascii="Calibri" w:hAnsi="Calibri" w:cs="Calibri"/>
          <w:lang w:eastAsia="ru-RU"/>
        </w:rPr>
      </w:pPr>
      <w:r>
        <w:rPr>
          <w:rFonts w:ascii="Calibri" w:hAnsi="Calibri" w:cs="Calibri"/>
          <w:lang w:eastAsia="ru-RU"/>
        </w:rPr>
        <w:t xml:space="preserve">A </w:t>
      </w:r>
      <w:r w:rsidRPr="00115199">
        <w:rPr>
          <w:rFonts w:ascii="Calibri" w:hAnsi="Calibri" w:cs="Calibri"/>
          <w:b/>
          <w:lang w:eastAsia="ru-RU"/>
        </w:rPr>
        <w:t>napi vasúti forgalom</w:t>
      </w:r>
      <w:r>
        <w:rPr>
          <w:rFonts w:ascii="Calibri" w:hAnsi="Calibri" w:cs="Calibri"/>
          <w:lang w:eastAsia="ru-RU"/>
        </w:rPr>
        <w:t xml:space="preserve"> – 2017</w:t>
      </w:r>
      <w:r w:rsidRPr="004E233D">
        <w:rPr>
          <w:rFonts w:ascii="Calibri" w:hAnsi="Calibri" w:cs="Calibri"/>
          <w:lang w:eastAsia="ru-RU"/>
        </w:rPr>
        <w:t xml:space="preserve">. december 31-i adatok szerint – összesen </w:t>
      </w:r>
      <w:r w:rsidRPr="00114657">
        <w:rPr>
          <w:rFonts w:ascii="Calibri" w:hAnsi="Calibri" w:cs="Calibri"/>
          <w:b/>
          <w:lang w:eastAsia="ru-RU"/>
        </w:rPr>
        <w:t xml:space="preserve">475,2 km hosszú vágányhálózatból </w:t>
      </w:r>
      <w:r w:rsidRPr="004E233D">
        <w:rPr>
          <w:rFonts w:ascii="Calibri" w:hAnsi="Calibri" w:cs="Calibri"/>
          <w:lang w:eastAsia="ru-RU"/>
        </w:rPr>
        <w:t xml:space="preserve">épített pályán keresztül kerül lebonyolításra, a járművek közlekedését biztosító energia-ellátást </w:t>
      </w:r>
      <w:r w:rsidRPr="00114657">
        <w:rPr>
          <w:rFonts w:ascii="Calibri" w:hAnsi="Calibri" w:cs="Calibri"/>
          <w:b/>
          <w:lang w:eastAsia="ru-RU"/>
        </w:rPr>
        <w:t>85 db áramátalakító</w:t>
      </w:r>
      <w:r w:rsidRPr="004E233D">
        <w:rPr>
          <w:rFonts w:ascii="Calibri" w:hAnsi="Calibri" w:cs="Calibri"/>
          <w:lang w:eastAsia="ru-RU"/>
        </w:rPr>
        <w:t xml:space="preserve"> segíti. A járművek a mozgatáshoz szükséges áramhoz </w:t>
      </w:r>
      <w:r w:rsidRPr="00114657">
        <w:rPr>
          <w:rFonts w:ascii="Calibri" w:hAnsi="Calibri" w:cs="Calibri"/>
          <w:b/>
          <w:lang w:eastAsia="ru-RU"/>
        </w:rPr>
        <w:t xml:space="preserve">652,5 ezer fm hosszúságú felsővezeték-, és 1 115,5 ezer fm hosszúságú vontatási kábelhálózat </w:t>
      </w:r>
      <w:r w:rsidRPr="004E233D">
        <w:rPr>
          <w:rFonts w:ascii="Calibri" w:hAnsi="Calibri" w:cs="Calibri"/>
          <w:lang w:eastAsia="ru-RU"/>
        </w:rPr>
        <w:t>útján jutnak hozzá. Természetesen a biztonságos üzemeltetést a felsorolt infrastruktúra elemeken túlmenően további elemek (jelzőberendezések, vonali világítási eszközök, gépészeti berendezések, mozgólépcsők, szellőztető rendszerek stb.) is segítik, biztosítják, melyek száma összességében meghaladja a több százezer darabot.</w:t>
      </w:r>
    </w:p>
    <w:p w14:paraId="46C2C7DE" w14:textId="77777777" w:rsidR="001A50C2" w:rsidRPr="00774554" w:rsidRDefault="001A50C2" w:rsidP="001A50C2">
      <w:pPr>
        <w:spacing w:after="240"/>
        <w:jc w:val="both"/>
        <w:rPr>
          <w:rFonts w:ascii="Calibri" w:hAnsi="Calibri" w:cs="Calibri"/>
          <w:lang w:eastAsia="ru-RU"/>
        </w:rPr>
      </w:pPr>
      <w:r w:rsidRPr="00774554">
        <w:rPr>
          <w:rFonts w:ascii="Calibri" w:hAnsi="Calibri" w:cs="Calibri"/>
          <w:lang w:eastAsia="ru-RU"/>
        </w:rPr>
        <w:t>Az infrastrukturális berendezések, eszközök egy része olyan állapotban van, hogy a jelentkező meg</w:t>
      </w:r>
      <w:r w:rsidRPr="00774554">
        <w:rPr>
          <w:rFonts w:ascii="Calibri" w:hAnsi="Calibri" w:cs="Calibri"/>
          <w:lang w:eastAsia="ru-RU"/>
        </w:rPr>
        <w:softHyphen/>
        <w:t>hibásodások miatti korlátozások állandósultak, azok elhárítása fenntartási mód</w:t>
      </w:r>
      <w:r w:rsidRPr="00774554">
        <w:rPr>
          <w:rFonts w:ascii="Calibri" w:hAnsi="Calibri" w:cs="Calibri"/>
          <w:lang w:eastAsia="ru-RU"/>
        </w:rPr>
        <w:softHyphen/>
        <w:t>sze</w:t>
      </w:r>
      <w:r w:rsidRPr="00774554">
        <w:rPr>
          <w:rFonts w:ascii="Calibri" w:hAnsi="Calibri" w:cs="Calibri"/>
          <w:lang w:eastAsia="ru-RU"/>
        </w:rPr>
        <w:softHyphen/>
        <w:t>rek</w:t>
      </w:r>
      <w:r w:rsidRPr="00774554">
        <w:rPr>
          <w:rFonts w:ascii="Calibri" w:hAnsi="Calibri" w:cs="Calibri"/>
          <w:lang w:eastAsia="ru-RU"/>
        </w:rPr>
        <w:softHyphen/>
        <w:t xml:space="preserve">kel nehezen oldható meg. Az infrastrukturális berendezések, eszközök összesített műszaki állapota a villamos ágazat esetében az 1-es és 3-as villamos vonalakon elvégzett </w:t>
      </w:r>
      <w:r w:rsidRPr="00774554">
        <w:rPr>
          <w:rFonts w:ascii="Calibri" w:hAnsi="Calibri" w:cs="Calibri"/>
          <w:lang w:eastAsia="ru-RU"/>
        </w:rPr>
        <w:lastRenderedPageBreak/>
        <w:t>felújítási munkálatok hatására javult</w:t>
      </w:r>
      <w:r w:rsidRPr="00E8269C">
        <w:rPr>
          <w:rFonts w:ascii="Calibri" w:hAnsi="Calibri" w:cs="Calibri"/>
          <w:lang w:eastAsia="ru-RU"/>
        </w:rPr>
        <w:t xml:space="preserve"> </w:t>
      </w:r>
      <w:r w:rsidRPr="00774554">
        <w:rPr>
          <w:rFonts w:ascii="Calibri" w:hAnsi="Calibri" w:cs="Calibri"/>
          <w:lang w:eastAsia="ru-RU"/>
        </w:rPr>
        <w:t xml:space="preserve">az előző évekhez viszonyítva. Tovább javították e mutató értékét a „budai fonódó” villamosközlekedés megteremtése kapcsán elvégzett felújítások, melyek hatására az </w:t>
      </w:r>
      <w:r w:rsidRPr="00E8269C">
        <w:rPr>
          <w:rFonts w:ascii="Calibri" w:hAnsi="Calibri" w:cs="Calibri"/>
          <w:lang w:eastAsia="ru-RU"/>
        </w:rPr>
        <w:t>infrastrukturális berendezések, eszközök összesített műszaki állapota a villamos ágazat eset</w:t>
      </w:r>
      <w:r>
        <w:rPr>
          <w:rFonts w:ascii="Calibri" w:hAnsi="Calibri" w:cs="Calibri"/>
          <w:lang w:eastAsia="ru-RU"/>
        </w:rPr>
        <w:t>ében jelenleg 45,2%-os.</w:t>
      </w:r>
    </w:p>
    <w:p w14:paraId="397A7361" w14:textId="77777777" w:rsidR="001A50C2" w:rsidRPr="00125AD8" w:rsidRDefault="001A50C2" w:rsidP="001A50C2">
      <w:pPr>
        <w:keepNext/>
        <w:spacing w:after="120"/>
        <w:jc w:val="both"/>
        <w:rPr>
          <w:rFonts w:ascii="Calibri" w:hAnsi="Calibri" w:cs="Calibri"/>
          <w:lang w:eastAsia="ru-RU"/>
        </w:rPr>
      </w:pPr>
      <w:r w:rsidRPr="00125AD8">
        <w:rPr>
          <w:rFonts w:ascii="Calibri" w:hAnsi="Calibri" w:cs="Calibri"/>
          <w:lang w:eastAsia="ru-RU"/>
        </w:rPr>
        <w:t xml:space="preserve">A vonalankénti műszaki állapot értékelés elvégzését követően a </w:t>
      </w:r>
      <w:r w:rsidRPr="00E8269C">
        <w:rPr>
          <w:rFonts w:ascii="Calibri" w:hAnsi="Calibri" w:cs="Calibri"/>
          <w:lang w:eastAsia="ru-RU"/>
        </w:rPr>
        <w:t>metró ágazat</w:t>
      </w:r>
      <w:r w:rsidRPr="00125AD8">
        <w:rPr>
          <w:rFonts w:ascii="Calibri" w:hAnsi="Calibri" w:cs="Calibri"/>
          <w:lang w:eastAsia="ru-RU"/>
        </w:rPr>
        <w:t xml:space="preserve"> esetében további összegzés a vonalak specialitása és eltérései miatt nem javasolt, így a metró esetében a műszaki állapotok értékel</w:t>
      </w:r>
      <w:r w:rsidRPr="00774554">
        <w:rPr>
          <w:rFonts w:ascii="Calibri" w:hAnsi="Calibri" w:cs="Calibri"/>
          <w:lang w:eastAsia="ru-RU"/>
        </w:rPr>
        <w:t>ése vonalankénti bemutatással</w:t>
      </w:r>
      <w:r w:rsidRPr="00125AD8">
        <w:rPr>
          <w:rFonts w:ascii="Calibri" w:hAnsi="Calibri" w:cs="Calibri"/>
          <w:lang w:eastAsia="ru-RU"/>
        </w:rPr>
        <w:t xml:space="preserve"> </w:t>
      </w:r>
      <w:r w:rsidRPr="00774554">
        <w:rPr>
          <w:rFonts w:ascii="Calibri" w:hAnsi="Calibri" w:cs="Calibri"/>
          <w:lang w:eastAsia="ru-RU"/>
        </w:rPr>
        <w:t>törté</w:t>
      </w:r>
      <w:r w:rsidRPr="00125AD8">
        <w:rPr>
          <w:rFonts w:ascii="Calibri" w:hAnsi="Calibri" w:cs="Calibri"/>
          <w:lang w:eastAsia="ru-RU"/>
        </w:rPr>
        <w:t>ni</w:t>
      </w:r>
      <w:r w:rsidRPr="00774554">
        <w:rPr>
          <w:rFonts w:ascii="Calibri" w:hAnsi="Calibri" w:cs="Calibri"/>
          <w:lang w:eastAsia="ru-RU"/>
        </w:rPr>
        <w:t>k</w:t>
      </w:r>
      <w:r w:rsidRPr="00125AD8">
        <w:rPr>
          <w:rFonts w:ascii="Calibri" w:hAnsi="Calibri" w:cs="Calibri"/>
          <w:lang w:eastAsia="ru-RU"/>
        </w:rPr>
        <w:t xml:space="preserve">. </w:t>
      </w:r>
    </w:p>
    <w:p w14:paraId="29A92103" w14:textId="77777777" w:rsidR="001A50C2" w:rsidRPr="004E233D" w:rsidRDefault="001A50C2" w:rsidP="001A50C2">
      <w:pPr>
        <w:keepNext/>
        <w:spacing w:after="120"/>
        <w:ind w:left="357"/>
        <w:jc w:val="center"/>
        <w:rPr>
          <w:rFonts w:ascii="Calibri" w:hAnsi="Calibri" w:cs="Calibri"/>
        </w:rPr>
      </w:pPr>
      <w:r w:rsidRPr="004E233D">
        <w:rPr>
          <w:rFonts w:ascii="Calibri" w:hAnsi="Calibri" w:cs="Calibri"/>
        </w:rPr>
        <w:t>Infrastrukturális berendezések, eszközök átlagos műszaki állapota *</w:t>
      </w:r>
    </w:p>
    <w:p w14:paraId="58644296" w14:textId="77777777" w:rsidR="001A50C2" w:rsidRDefault="001A50C2" w:rsidP="001A50C2">
      <w:pPr>
        <w:jc w:val="center"/>
        <w:rPr>
          <w:rFonts w:ascii="Calibri" w:hAnsi="Calibri" w:cs="Calibri"/>
          <w:color w:val="FF0000"/>
          <w:lang w:eastAsia="ru-RU"/>
        </w:rPr>
      </w:pPr>
      <w:r>
        <w:rPr>
          <w:rFonts w:ascii="Calibri" w:hAnsi="Calibri" w:cs="Calibri"/>
          <w:noProof/>
          <w:color w:val="FF0000"/>
        </w:rPr>
        <w:drawing>
          <wp:inline distT="0" distB="0" distL="0" distR="0" wp14:anchorId="5EC4C574" wp14:editId="4CC50E98">
            <wp:extent cx="4189863" cy="2731985"/>
            <wp:effectExtent l="0" t="0" r="127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2241" cy="2733535"/>
                    </a:xfrm>
                    <a:prstGeom prst="rect">
                      <a:avLst/>
                    </a:prstGeom>
                    <a:noFill/>
                  </pic:spPr>
                </pic:pic>
              </a:graphicData>
            </a:graphic>
          </wp:inline>
        </w:drawing>
      </w:r>
    </w:p>
    <w:p w14:paraId="195B4DCF" w14:textId="77777777" w:rsidR="001A50C2" w:rsidRPr="004852AC" w:rsidRDefault="001A50C2" w:rsidP="001A50C2">
      <w:pPr>
        <w:widowControl w:val="0"/>
        <w:autoSpaceDE w:val="0"/>
        <w:autoSpaceDN w:val="0"/>
        <w:adjustRightInd w:val="0"/>
        <w:spacing w:after="240"/>
        <w:ind w:left="1276" w:right="249"/>
        <w:rPr>
          <w:rFonts w:ascii="Calibri" w:hAnsi="Calibri" w:cs="Calibri"/>
          <w:sz w:val="20"/>
        </w:rPr>
      </w:pPr>
      <w:r w:rsidRPr="004852AC">
        <w:rPr>
          <w:b/>
          <w:noProof/>
          <w:sz w:val="16"/>
          <w:szCs w:val="20"/>
        </w:rPr>
        <mc:AlternateContent>
          <mc:Choice Requires="wps">
            <w:drawing>
              <wp:anchor distT="4294967290" distB="4294967290" distL="114300" distR="114300" simplePos="0" relativeHeight="251659776" behindDoc="0" locked="0" layoutInCell="1" allowOverlap="1" wp14:anchorId="1F20F9D8" wp14:editId="4F1D9182">
                <wp:simplePos x="0" y="0"/>
                <wp:positionH relativeFrom="column">
                  <wp:posOffset>2772410</wp:posOffset>
                </wp:positionH>
                <wp:positionV relativeFrom="paragraph">
                  <wp:posOffset>97789</wp:posOffset>
                </wp:positionV>
                <wp:extent cx="410845" cy="0"/>
                <wp:effectExtent l="0" t="0" r="27305" b="19050"/>
                <wp:wrapNone/>
                <wp:docPr id="318" name="Egyenes összekötő 3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10845" cy="0"/>
                        </a:xfrm>
                        <a:prstGeom prst="line">
                          <a:avLst/>
                        </a:prstGeom>
                        <a:noFill/>
                        <a:ln w="25400">
                          <a:solidFill>
                            <a:srgbClr val="3366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0233B" id="Egyenes összekötő 318"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18.3pt,7.7pt" to="250.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" strokecolor="#36f" strokeweight="2pt">
                <v:stroke dashstyle="dash"/>
                <o:lock v:ext="edit" aspectratio="t"/>
              </v:line>
            </w:pict>
          </mc:Fallback>
        </mc:AlternateContent>
      </w:r>
      <w:r w:rsidRPr="004852AC">
        <w:rPr>
          <w:rFonts w:ascii="Calibri" w:hAnsi="Calibri" w:cs="Calibri"/>
          <w:sz w:val="20"/>
        </w:rPr>
        <w:t>* 2017. december 31-i állapot szerint,               (a normál műszaki állapot szintje)</w:t>
      </w:r>
    </w:p>
    <w:p w14:paraId="009B2E2F" w14:textId="77777777" w:rsidR="00B96040" w:rsidRPr="00787AB7" w:rsidRDefault="00B96040" w:rsidP="008716FD">
      <w:pPr>
        <w:spacing w:after="120"/>
        <w:jc w:val="both"/>
        <w:rPr>
          <w:rFonts w:asciiTheme="minorHAnsi" w:hAnsiTheme="minorHAnsi" w:cs="Calibri"/>
        </w:rPr>
      </w:pPr>
    </w:p>
    <w:p w14:paraId="5C4780E9" w14:textId="005F10AE" w:rsidR="00B96040" w:rsidRPr="00787AB7" w:rsidRDefault="009A1A77" w:rsidP="005F6F52">
      <w:pPr>
        <w:jc w:val="both"/>
        <w:rPr>
          <w:rFonts w:ascii="Calibri" w:hAnsi="Calibri" w:cs="Calibri"/>
          <w:szCs w:val="22"/>
          <w:lang w:eastAsia="ru-RU"/>
        </w:rPr>
      </w:pPr>
      <w:r w:rsidRPr="00787AB7">
        <w:rPr>
          <w:rFonts w:ascii="Calibri" w:hAnsi="Calibri" w:cs="Calibri"/>
          <w:b/>
          <w:szCs w:val="22"/>
          <w:lang w:eastAsia="ru-RU"/>
        </w:rPr>
        <w:t>A közúti forgalmi járműállomány tekintetében a műszaki beavatkozásokat a bekövetkezett meghibásodások helyreállítási kényszere határozza meg</w:t>
      </w:r>
      <w:r w:rsidRPr="00787AB7">
        <w:rPr>
          <w:rFonts w:ascii="Calibri" w:hAnsi="Calibri" w:cs="Calibri"/>
          <w:szCs w:val="22"/>
          <w:lang w:eastAsia="ru-RU"/>
        </w:rPr>
        <w:t xml:space="preserve">. Az üzemeltetésre rendelkezésre álló források nagyságrendje nem nyújtott </w:t>
      </w:r>
      <w:r w:rsidR="00F850EA">
        <w:rPr>
          <w:rFonts w:ascii="Calibri" w:hAnsi="Calibri" w:cs="Calibri"/>
          <w:szCs w:val="22"/>
          <w:lang w:eastAsia="ru-RU"/>
        </w:rPr>
        <w:t xml:space="preserve">teljeskörűen elegendő </w:t>
      </w:r>
      <w:r w:rsidRPr="00787AB7">
        <w:rPr>
          <w:rFonts w:ascii="Calibri" w:hAnsi="Calibri" w:cs="Calibri"/>
          <w:szCs w:val="22"/>
          <w:lang w:eastAsia="ru-RU"/>
        </w:rPr>
        <w:t xml:space="preserve">fedezetet a </w:t>
      </w:r>
      <w:r w:rsidR="00F850EA">
        <w:rPr>
          <w:rFonts w:ascii="Calibri" w:hAnsi="Calibri" w:cs="Calibri"/>
          <w:szCs w:val="22"/>
          <w:lang w:eastAsia="ru-RU"/>
        </w:rPr>
        <w:t>felújításokra</w:t>
      </w:r>
      <w:r w:rsidRPr="00787AB7">
        <w:rPr>
          <w:rFonts w:ascii="Calibri" w:hAnsi="Calibri" w:cs="Calibri"/>
          <w:szCs w:val="22"/>
          <w:lang w:eastAsia="ru-RU"/>
        </w:rPr>
        <w:t xml:space="preserve">, azonban a forgalombiztonság szempontjából szükséges feladatok minden esetben maradéktalanul elvégzésre kerültek. </w:t>
      </w:r>
    </w:p>
    <w:p w14:paraId="3E29618F" w14:textId="77777777" w:rsidR="00B96040" w:rsidRDefault="00B96040" w:rsidP="00AE2608">
      <w:pPr>
        <w:jc w:val="both"/>
        <w:rPr>
          <w:rFonts w:ascii="Calibri" w:hAnsi="Calibri" w:cs="Calibri"/>
          <w:sz w:val="28"/>
          <w:lang w:eastAsia="ru-RU"/>
        </w:rPr>
      </w:pPr>
    </w:p>
    <w:p w14:paraId="0A4F47DD" w14:textId="64B75778" w:rsidR="00D44771" w:rsidRDefault="00D44771" w:rsidP="00AE2608">
      <w:pPr>
        <w:jc w:val="center"/>
        <w:rPr>
          <w:rFonts w:ascii="Calibri" w:hAnsi="Calibri" w:cs="Calibri"/>
          <w:sz w:val="28"/>
          <w:lang w:eastAsia="ru-RU"/>
        </w:rPr>
      </w:pPr>
      <w:r>
        <w:rPr>
          <w:rFonts w:ascii="Calibri" w:hAnsi="Calibri" w:cs="Calibri"/>
          <w:noProof/>
          <w:sz w:val="28"/>
        </w:rPr>
        <w:drawing>
          <wp:inline distT="0" distB="0" distL="0" distR="0" wp14:anchorId="3FF0F725" wp14:editId="4CCABDC7">
            <wp:extent cx="4350541" cy="2634017"/>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6818" cy="2631763"/>
                    </a:xfrm>
                    <a:prstGeom prst="rect">
                      <a:avLst/>
                    </a:prstGeom>
                    <a:noFill/>
                  </pic:spPr>
                </pic:pic>
              </a:graphicData>
            </a:graphic>
          </wp:inline>
        </w:drawing>
      </w:r>
    </w:p>
    <w:p w14:paraId="44BF2806" w14:textId="77777777" w:rsidR="00B96040" w:rsidRPr="00787AB7" w:rsidRDefault="00B96040" w:rsidP="00AE2608">
      <w:pPr>
        <w:spacing w:after="120"/>
        <w:rPr>
          <w:rFonts w:ascii="Calibri" w:hAnsi="Calibri" w:cs="Calibri"/>
          <w:lang w:eastAsia="ru-RU"/>
        </w:rPr>
      </w:pPr>
    </w:p>
    <w:p w14:paraId="746F49F7" w14:textId="129861F6" w:rsidR="001A6AFC" w:rsidRPr="00787AB7" w:rsidRDefault="009A1A77" w:rsidP="001A6AFC">
      <w:pPr>
        <w:jc w:val="both"/>
        <w:rPr>
          <w:rFonts w:ascii="Calibri" w:hAnsi="Calibri" w:cs="Calibri"/>
          <w:lang w:eastAsia="ru-RU"/>
        </w:rPr>
      </w:pPr>
      <w:r w:rsidRPr="00787AB7">
        <w:rPr>
          <w:rFonts w:ascii="Calibri" w:hAnsi="Calibri" w:cs="Calibri"/>
          <w:lang w:eastAsia="ru-RU"/>
        </w:rPr>
        <w:t>A közúti járműágazatban szokásos standardok szerint a tervezett optimális életkor autóbuszok esetén 7, trolibuszoknál 10 év, mely után felújítást végeznek, vagy bekövetkezik a járműcsere. Az autóbusz állomány a jelenlegi (2017.</w:t>
      </w:r>
      <w:r w:rsidR="00D44771">
        <w:rPr>
          <w:rFonts w:ascii="Calibri" w:hAnsi="Calibri" w:cs="Calibri"/>
          <w:lang w:eastAsia="ru-RU"/>
        </w:rPr>
        <w:t>12</w:t>
      </w:r>
      <w:r w:rsidRPr="00787AB7">
        <w:rPr>
          <w:rFonts w:ascii="Calibri" w:hAnsi="Calibri" w:cs="Calibri"/>
          <w:lang w:eastAsia="ru-RU"/>
        </w:rPr>
        <w:t>.3</w:t>
      </w:r>
      <w:r w:rsidR="00F850EA">
        <w:rPr>
          <w:rFonts w:ascii="Calibri" w:hAnsi="Calibri" w:cs="Calibri"/>
          <w:lang w:eastAsia="ru-RU"/>
        </w:rPr>
        <w:t>1</w:t>
      </w:r>
      <w:r w:rsidRPr="00787AB7">
        <w:rPr>
          <w:rFonts w:ascii="Calibri" w:hAnsi="Calibri" w:cs="Calibri"/>
          <w:lang w:eastAsia="ru-RU"/>
        </w:rPr>
        <w:t>-i)</w:t>
      </w:r>
      <w:r w:rsidRPr="00787AB7">
        <w:rPr>
          <w:rFonts w:ascii="Calibri" w:hAnsi="Calibri" w:cs="Arial"/>
          <w:szCs w:val="22"/>
          <w:lang w:eastAsia="ru-RU"/>
        </w:rPr>
        <w:t xml:space="preserve"> állapot szerinti</w:t>
      </w:r>
      <w:r w:rsidRPr="00787AB7">
        <w:rPr>
          <w:rFonts w:ascii="Calibri" w:hAnsi="Calibri" w:cs="Calibri"/>
          <w:lang w:eastAsia="ru-RU"/>
        </w:rPr>
        <w:t xml:space="preserve"> 13,</w:t>
      </w:r>
      <w:r w:rsidR="00D44771">
        <w:rPr>
          <w:rFonts w:ascii="Calibri" w:hAnsi="Calibri" w:cs="Calibri"/>
          <w:lang w:eastAsia="ru-RU"/>
        </w:rPr>
        <w:t>65</w:t>
      </w:r>
      <w:r w:rsidR="00D44771" w:rsidRPr="00787AB7">
        <w:rPr>
          <w:rFonts w:ascii="Calibri" w:hAnsi="Calibri" w:cs="Calibri"/>
          <w:lang w:eastAsia="ru-RU"/>
        </w:rPr>
        <w:t xml:space="preserve"> </w:t>
      </w:r>
      <w:r w:rsidRPr="00787AB7">
        <w:rPr>
          <w:rFonts w:ascii="Calibri" w:hAnsi="Calibri" w:cs="Calibri"/>
          <w:lang w:eastAsia="ru-RU"/>
        </w:rPr>
        <w:t>éves átlagéletkorával túlhaladta ezt az értéket, annak ellenére, hogy a 2017. évben bővült a rendelkezésre tartás keretében üzemeltett Mercedes-Benz Conecto G állomány, illetve új beszerzésű szóló Mercedes-Benz Conecto, valamint használt, környezetkímélő hibrid üzemű VOLVO autóbuszok érkeztek a Társasághoz.</w:t>
      </w:r>
    </w:p>
    <w:p w14:paraId="6C757620" w14:textId="77777777" w:rsidR="00B96040" w:rsidRPr="00787AB7" w:rsidRDefault="009A1A77" w:rsidP="005F6F52">
      <w:pPr>
        <w:jc w:val="both"/>
        <w:rPr>
          <w:rFonts w:ascii="Calibri" w:hAnsi="Calibri" w:cs="Calibri"/>
          <w:lang w:eastAsia="ru-RU"/>
        </w:rPr>
      </w:pPr>
      <w:r w:rsidRPr="00787AB7">
        <w:rPr>
          <w:rFonts w:ascii="Calibri" w:hAnsi="Calibri" w:cs="Calibri"/>
          <w:lang w:eastAsia="ru-RU"/>
        </w:rPr>
        <w:t xml:space="preserve"> </w:t>
      </w:r>
    </w:p>
    <w:p w14:paraId="71418AF4" w14:textId="25A1394D" w:rsidR="00B96040" w:rsidRPr="00787AB7" w:rsidRDefault="009A1A77" w:rsidP="00B96040">
      <w:pPr>
        <w:spacing w:after="120"/>
        <w:jc w:val="both"/>
        <w:rPr>
          <w:rFonts w:ascii="Calibri" w:hAnsi="Calibri" w:cs="Calibri"/>
          <w:lang w:eastAsia="ru-RU"/>
        </w:rPr>
      </w:pPr>
      <w:r w:rsidRPr="00787AB7">
        <w:rPr>
          <w:rFonts w:ascii="Calibri" w:hAnsi="Calibri" w:cs="Calibri"/>
          <w:lang w:eastAsia="ru-RU"/>
        </w:rPr>
        <w:t>A trolibusz ágazat esetében a 17,3</w:t>
      </w:r>
      <w:r w:rsidR="00D44771">
        <w:rPr>
          <w:rFonts w:ascii="Calibri" w:hAnsi="Calibri" w:cs="Calibri"/>
          <w:lang w:eastAsia="ru-RU"/>
        </w:rPr>
        <w:t>3</w:t>
      </w:r>
      <w:r w:rsidRPr="00787AB7">
        <w:rPr>
          <w:rFonts w:ascii="Calibri" w:hAnsi="Calibri" w:cs="Calibri"/>
          <w:lang w:eastAsia="ru-RU"/>
        </w:rPr>
        <w:t xml:space="preserve"> éves átlagéletkor továbbra is nagyon magasnak számít.</w:t>
      </w:r>
    </w:p>
    <w:p w14:paraId="7A7CB10B" w14:textId="77777777" w:rsidR="00B96040" w:rsidRPr="00787AB7" w:rsidRDefault="009A1A77" w:rsidP="005F6F52">
      <w:pPr>
        <w:jc w:val="both"/>
        <w:rPr>
          <w:rFonts w:ascii="Calibri" w:hAnsi="Calibri" w:cs="Calibri"/>
          <w:b/>
          <w:lang w:eastAsia="ru-RU"/>
        </w:rPr>
      </w:pPr>
      <w:r w:rsidRPr="00787AB7">
        <w:rPr>
          <w:rFonts w:ascii="Calibri" w:hAnsi="Calibri" w:cs="Calibri"/>
          <w:b/>
          <w:lang w:eastAsia="ru-RU"/>
        </w:rPr>
        <w:t xml:space="preserve">Az aktuális számviteli politika 20 évben jelöli meg az újonnan beszerzett trolibuszok </w:t>
      </w:r>
      <w:r w:rsidRPr="00787AB7">
        <w:rPr>
          <w:rFonts w:ascii="Calibri" w:hAnsi="Calibri" w:cs="Calibri"/>
          <w:b/>
          <w:lang w:eastAsia="ru-RU"/>
        </w:rPr>
        <w:br/>
        <w:t>és 10 évben az újonnan beszerzett autóbuszok hasznos élettartamát.</w:t>
      </w:r>
    </w:p>
    <w:p w14:paraId="1CA0DD52" w14:textId="77777777" w:rsidR="005F6F52" w:rsidRPr="00787AB7" w:rsidRDefault="005F6F52" w:rsidP="005F6F52">
      <w:pPr>
        <w:jc w:val="both"/>
        <w:rPr>
          <w:rFonts w:ascii="Calibri" w:hAnsi="Calibri" w:cs="Calibri"/>
          <w:b/>
          <w:lang w:eastAsia="ru-RU"/>
        </w:rPr>
      </w:pPr>
    </w:p>
    <w:p w14:paraId="62576309" w14:textId="77777777" w:rsidR="001A6AFC" w:rsidRPr="00787AB7" w:rsidRDefault="009A1A77" w:rsidP="001A6AFC">
      <w:pPr>
        <w:jc w:val="both"/>
      </w:pPr>
      <w:bookmarkStart w:id="146" w:name="_Toc443317923"/>
      <w:bookmarkStart w:id="147" w:name="_Toc465246396"/>
      <w:r w:rsidRPr="00787AB7">
        <w:rPr>
          <w:rFonts w:ascii="Calibri" w:hAnsi="Calibri" w:cs="Calibri"/>
        </w:rPr>
        <w:t>Az autóbusz járműállományról általánosságban elmondható, hogy a teljesítmény kiszervezés miatti járműállomány csökkenés, illetve a lezárult és folyamatban lévő használt járműbeszerzések, valamint új autóbuszok állományba vétele lehetővé tette a leginkább elhasznált autóbuszok kivonását hozzájárulva ahhoz, hogy a 2016. december 31-i 13,9 évről összességében ne emelkedjen az autóbusz járműpark átlagéletkora. Fontos kiemelni, hogy az állománynak már csak mintegy negyedét (22%-át) teszik ki a túlfuttatott, selejtérett, korszerűtlen magaspadlós Ikarus 200 és Ikarus 400-as járműcsalád egyedei, melyek mindennapos forgalomba adása és karbantartása komoly kihívás a műszaki terület számára.</w:t>
      </w:r>
    </w:p>
    <w:p w14:paraId="4D7F3EB7" w14:textId="77777777" w:rsidR="001A6AFC" w:rsidRPr="00787AB7" w:rsidRDefault="009A1A77" w:rsidP="001A6AFC">
      <w:pPr>
        <w:jc w:val="both"/>
        <w:rPr>
          <w:rFonts w:ascii="Calibri" w:hAnsi="Calibri" w:cs="Calibri"/>
          <w:lang w:eastAsia="ru-RU"/>
        </w:rPr>
      </w:pPr>
      <w:r w:rsidRPr="00787AB7">
        <w:rPr>
          <w:rFonts w:ascii="Calibri" w:hAnsi="Calibri" w:cs="Calibri"/>
          <w:lang w:eastAsia="ru-RU"/>
        </w:rPr>
        <w:t>A megrendelői elvárások teljesítése érdekében nagy hangsúlyt fektetünk a tárgyi járművek szakszerű karbantartására, szükség szerinti nagyjavítására.</w:t>
      </w:r>
    </w:p>
    <w:p w14:paraId="2595C248" w14:textId="77777777" w:rsidR="001A6AFC" w:rsidRPr="00787AB7" w:rsidRDefault="009A1A77" w:rsidP="001A6AFC">
      <w:pPr>
        <w:jc w:val="both"/>
        <w:rPr>
          <w:rFonts w:ascii="Calibri" w:hAnsi="Calibri" w:cs="Calibri"/>
          <w:lang w:eastAsia="ru-RU"/>
        </w:rPr>
      </w:pPr>
      <w:r w:rsidRPr="00787AB7">
        <w:rPr>
          <w:rFonts w:ascii="Calibri" w:hAnsi="Calibri" w:cs="Calibri"/>
          <w:lang w:eastAsia="ru-RU"/>
        </w:rPr>
        <w:t xml:space="preserve"> </w:t>
      </w:r>
    </w:p>
    <w:p w14:paraId="7D4B08CA" w14:textId="77777777" w:rsidR="001A6AFC" w:rsidRPr="00787AB7" w:rsidRDefault="009A1A77" w:rsidP="001A6AFC">
      <w:pPr>
        <w:jc w:val="both"/>
        <w:rPr>
          <w:rFonts w:ascii="Calibri" w:hAnsi="Calibri" w:cs="Calibri"/>
        </w:rPr>
      </w:pPr>
      <w:r w:rsidRPr="00787AB7">
        <w:rPr>
          <w:rFonts w:ascii="Calibri" w:hAnsi="Calibri" w:cs="Calibri"/>
        </w:rPr>
        <w:t>A trolibusz járműflotta esetében</w:t>
      </w:r>
      <w:r w:rsidRPr="00787AB7">
        <w:rPr>
          <w:rFonts w:ascii="Calibri" w:hAnsi="Calibri" w:cs="Calibri"/>
          <w:b/>
        </w:rPr>
        <w:t xml:space="preserve"> </w:t>
      </w:r>
      <w:r w:rsidRPr="00787AB7">
        <w:rPr>
          <w:rFonts w:ascii="Calibri" w:hAnsi="Calibri" w:cs="Calibri"/>
        </w:rPr>
        <w:t>szükséges megjegyezni, hogy a trolibusz állomány közel 43%-át továbbra is az Ikarus 280 T és Ikarus 435 T magas padlós járművek adják, melyek között 30 évnél idősebb járművek is vannak. A kiöregedett járművek selejtezése, lecserélése továbbra is sürgető feladat.</w:t>
      </w:r>
    </w:p>
    <w:p w14:paraId="429D15E8" w14:textId="77777777" w:rsidR="001A6AFC" w:rsidRPr="00787AB7" w:rsidRDefault="001A6AFC" w:rsidP="001A6AFC">
      <w:pPr>
        <w:jc w:val="both"/>
        <w:rPr>
          <w:rFonts w:ascii="Calibri" w:hAnsi="Calibri" w:cs="Calibri"/>
        </w:rPr>
      </w:pPr>
    </w:p>
    <w:p w14:paraId="1F5E4E1C" w14:textId="77777777" w:rsidR="001A6AFC" w:rsidRPr="00787AB7" w:rsidRDefault="009A1A77" w:rsidP="001A6AFC">
      <w:pPr>
        <w:jc w:val="both"/>
        <w:rPr>
          <w:rFonts w:ascii="Calibri" w:hAnsi="Calibri" w:cs="Calibri"/>
          <w:lang w:eastAsia="ru-RU"/>
        </w:rPr>
      </w:pPr>
      <w:r w:rsidRPr="00787AB7">
        <w:rPr>
          <w:rFonts w:ascii="Calibri" w:hAnsi="Calibri" w:cs="Calibri"/>
          <w:lang w:eastAsia="ru-RU"/>
        </w:rPr>
        <w:t xml:space="preserve">A folyamatos járműbeszerzések ellenére az autóbusz ágazatban az állomány átlagéletkora jelentősen meghaladja, a trolibusznál pedig az újonnan forgalomba állított Škoda-Solaris járművek ellenére megközelíti a hasznos élettartamot, ezért további járműbeszerzések szükségesek az állomány frissítése, az optimális járműéletpálya megteremtése, egyúttal Társaságunk versenyképességének fokozása, piaci potenciáljának javítása érdekében. </w:t>
      </w:r>
    </w:p>
    <w:p w14:paraId="7FE74011" w14:textId="77777777" w:rsidR="005250E0" w:rsidRPr="0056690E" w:rsidRDefault="005250E0" w:rsidP="001E0F17">
      <w:pPr>
        <w:pStyle w:val="Cmsor2"/>
      </w:pPr>
      <w:bookmarkStart w:id="148" w:name="_Toc512409647"/>
      <w:r w:rsidRPr="0056690E">
        <w:t>Beruházás</w:t>
      </w:r>
      <w:bookmarkEnd w:id="146"/>
      <w:bookmarkEnd w:id="147"/>
      <w:bookmarkEnd w:id="148"/>
    </w:p>
    <w:p w14:paraId="6591B958" w14:textId="77777777" w:rsidR="005250E0" w:rsidRPr="002663D1" w:rsidRDefault="005250E0" w:rsidP="005250E0">
      <w:pPr>
        <w:jc w:val="both"/>
        <w:rPr>
          <w:rFonts w:asciiTheme="minorHAnsi" w:hAnsiTheme="minorHAnsi" w:cstheme="minorHAnsi"/>
        </w:rPr>
      </w:pPr>
    </w:p>
    <w:p w14:paraId="0E4B745F" w14:textId="77777777" w:rsidR="00BA7B3F" w:rsidRPr="002773D0" w:rsidRDefault="00BA7B3F" w:rsidP="00BA7B3F">
      <w:pPr>
        <w:jc w:val="both"/>
        <w:rPr>
          <w:rFonts w:asciiTheme="minorHAnsi" w:hAnsiTheme="minorHAnsi" w:cs="Calibri"/>
          <w:b/>
        </w:rPr>
      </w:pPr>
      <w:r w:rsidRPr="002773D0">
        <w:rPr>
          <w:rFonts w:asciiTheme="minorHAnsi" w:hAnsiTheme="minorHAnsi" w:cs="Calibri"/>
          <w:b/>
        </w:rPr>
        <w:t>A BKV Zrt. 2018. évi közszolgáltatási Beruházási Terve</w:t>
      </w:r>
    </w:p>
    <w:p w14:paraId="7FBC29B7" w14:textId="77777777" w:rsidR="00BA7B3F" w:rsidRPr="002773D0" w:rsidRDefault="00BA7B3F" w:rsidP="00BA7B3F">
      <w:pPr>
        <w:pStyle w:val="zletitervszveg0"/>
        <w:spacing w:before="0"/>
        <w:ind w:left="0"/>
        <w:rPr>
          <w:rFonts w:ascii="Calibri" w:hAnsi="Calibri" w:cs="Calibri"/>
          <w:sz w:val="24"/>
          <w:szCs w:val="24"/>
        </w:rPr>
      </w:pPr>
    </w:p>
    <w:p w14:paraId="70993D13" w14:textId="77777777" w:rsidR="00BA7B3F" w:rsidRPr="002773D0" w:rsidRDefault="00BA7B3F" w:rsidP="00BA7B3F">
      <w:pPr>
        <w:jc w:val="both"/>
        <w:rPr>
          <w:rFonts w:ascii="Calibri" w:hAnsi="Calibri" w:cs="Calibri"/>
          <w:lang w:eastAsia="ru-RU"/>
        </w:rPr>
      </w:pPr>
      <w:r w:rsidRPr="002773D0">
        <w:rPr>
          <w:rFonts w:ascii="Calibri" w:hAnsi="Calibri" w:cs="Calibri"/>
          <w:lang w:eastAsia="ru-RU"/>
        </w:rPr>
        <w:t>A BKV Zrt. 2018. évi közszolgáltatási Beruházási Terve, a Budapesti Közlekedési Központ Zrt. által előírt tervezési irányelvek szerint, a halasztott bevételekkel csökkentett amortizáció értékének megfelelően, 16,0</w:t>
      </w:r>
      <w:r>
        <w:rPr>
          <w:rFonts w:ascii="Calibri" w:hAnsi="Calibri" w:cs="Calibri"/>
          <w:lang w:eastAsia="ru-RU"/>
        </w:rPr>
        <w:t>34</w:t>
      </w:r>
      <w:r w:rsidRPr="002773D0">
        <w:rPr>
          <w:rFonts w:ascii="Calibri" w:hAnsi="Calibri" w:cs="Calibri"/>
          <w:lang w:eastAsia="ru-RU"/>
        </w:rPr>
        <w:t xml:space="preserve"> Mrd Ft forrással készült. A tervben szereplő feladatok költségének a 2018. évben beruházásokra ténylegesen rendelkezésre álló forráson felüli része 2019. évben, a 2019. évi beruházási forrás terhére kerül kiegyenlítésre.</w:t>
      </w:r>
    </w:p>
    <w:p w14:paraId="41C8FBD0" w14:textId="77777777" w:rsidR="00BA7B3F" w:rsidRPr="002773D0" w:rsidRDefault="00BA7B3F" w:rsidP="00BA7B3F">
      <w:pPr>
        <w:jc w:val="both"/>
        <w:rPr>
          <w:rFonts w:ascii="Calibri" w:hAnsi="Calibri" w:cs="Calibri"/>
          <w:lang w:eastAsia="en-US"/>
        </w:rPr>
      </w:pPr>
    </w:p>
    <w:p w14:paraId="5671226B" w14:textId="77777777" w:rsidR="00BA7B3F" w:rsidRPr="002773D0" w:rsidRDefault="00BA7B3F" w:rsidP="00BA7B3F">
      <w:pPr>
        <w:jc w:val="both"/>
        <w:rPr>
          <w:rFonts w:ascii="Calibri" w:hAnsi="Calibri" w:cs="Calibri"/>
          <w:lang w:eastAsia="ru-RU"/>
        </w:rPr>
      </w:pPr>
      <w:r w:rsidRPr="002773D0">
        <w:rPr>
          <w:rFonts w:ascii="Calibri" w:hAnsi="Calibri" w:cs="Calibri"/>
          <w:lang w:eastAsia="ru-RU"/>
        </w:rPr>
        <w:t>A te</w:t>
      </w:r>
      <w:r>
        <w:rPr>
          <w:rFonts w:ascii="Calibri" w:hAnsi="Calibri" w:cs="Calibri"/>
          <w:lang w:eastAsia="ru-RU"/>
        </w:rPr>
        <w:t xml:space="preserve">rv, elegendő forrás </w:t>
      </w:r>
      <w:r w:rsidRPr="002773D0">
        <w:rPr>
          <w:rFonts w:ascii="Calibri" w:hAnsi="Calibri" w:cs="Calibri"/>
          <w:lang w:eastAsia="ru-RU"/>
        </w:rPr>
        <w:t>rendelkezésre állásának hiányában, csak a legkritikusabb területeken eredményezhet az utazóközönség számára is érezhetően pozitív változást.</w:t>
      </w:r>
    </w:p>
    <w:p w14:paraId="4D424421" w14:textId="77777777" w:rsidR="00BA7B3F" w:rsidRPr="002773D0" w:rsidRDefault="00BA7B3F" w:rsidP="00BA7B3F">
      <w:pPr>
        <w:jc w:val="both"/>
        <w:rPr>
          <w:rFonts w:ascii="Calibri" w:hAnsi="Calibri" w:cs="Calibri"/>
          <w:lang w:eastAsia="ru-RU"/>
        </w:rPr>
      </w:pPr>
    </w:p>
    <w:p w14:paraId="023C76FD" w14:textId="77777777" w:rsidR="00BA7B3F" w:rsidRPr="002773D0" w:rsidRDefault="00BA7B3F" w:rsidP="00BA7B3F">
      <w:pPr>
        <w:jc w:val="both"/>
        <w:rPr>
          <w:rFonts w:asciiTheme="minorHAnsi" w:hAnsiTheme="minorHAnsi" w:cs="Calibri"/>
        </w:rPr>
      </w:pPr>
    </w:p>
    <w:p w14:paraId="64AD88F2" w14:textId="77777777" w:rsidR="00BA7B3F" w:rsidRPr="002773D0" w:rsidRDefault="00BA7B3F" w:rsidP="00BA7B3F">
      <w:pPr>
        <w:widowControl w:val="0"/>
        <w:numPr>
          <w:ilvl w:val="0"/>
          <w:numId w:val="4"/>
        </w:numPr>
        <w:tabs>
          <w:tab w:val="clear" w:pos="1058"/>
          <w:tab w:val="num" w:pos="720"/>
        </w:tabs>
        <w:autoSpaceDE w:val="0"/>
        <w:autoSpaceDN w:val="0"/>
        <w:adjustRightInd w:val="0"/>
        <w:ind w:left="720"/>
        <w:jc w:val="both"/>
        <w:rPr>
          <w:rFonts w:ascii="Calibri" w:hAnsi="Calibri" w:cs="Calibri"/>
          <w:lang w:eastAsia="en-US"/>
        </w:rPr>
      </w:pPr>
      <w:r w:rsidRPr="002773D0">
        <w:rPr>
          <w:rFonts w:ascii="Calibri" w:hAnsi="Calibri" w:cs="Calibri"/>
          <w:lang w:eastAsia="en-US"/>
        </w:rPr>
        <w:t>Jármű beszerzés, felújítás és korszerűsítés:</w:t>
      </w:r>
    </w:p>
    <w:p w14:paraId="706B9F3A" w14:textId="77777777" w:rsidR="00BA7B3F" w:rsidRPr="002773D0" w:rsidRDefault="00BA7B3F" w:rsidP="00BA7B3F">
      <w:pPr>
        <w:ind w:left="720"/>
        <w:jc w:val="both"/>
        <w:rPr>
          <w:rFonts w:ascii="Calibri" w:hAnsi="Calibri" w:cs="Calibri"/>
          <w:lang w:eastAsia="en-US"/>
        </w:rPr>
      </w:pPr>
      <w:r w:rsidRPr="002773D0">
        <w:rPr>
          <w:rFonts w:ascii="Calibri" w:hAnsi="Calibri" w:cs="Calibri"/>
          <w:lang w:eastAsia="en-US"/>
        </w:rPr>
        <w:t xml:space="preserve">Folytatódik az új/használt– jellemzően csuklós – autóbuszok beszerzése és a T5C5 valamint a KCSV7 villamosok hajtáskorszerűsítése. </w:t>
      </w:r>
    </w:p>
    <w:p w14:paraId="6BC879D1" w14:textId="77777777" w:rsidR="00BA7B3F" w:rsidRPr="002773D0" w:rsidRDefault="00BA7B3F" w:rsidP="00BA7B3F">
      <w:pPr>
        <w:ind w:left="720"/>
        <w:jc w:val="both"/>
        <w:rPr>
          <w:rFonts w:ascii="Calibri" w:hAnsi="Calibri" w:cs="Calibri"/>
          <w:lang w:eastAsia="en-US"/>
        </w:rPr>
      </w:pPr>
      <w:r w:rsidRPr="002773D0">
        <w:rPr>
          <w:rFonts w:ascii="Calibri" w:hAnsi="Calibri" w:cs="Calibri"/>
          <w:lang w:eastAsia="en-US"/>
        </w:rPr>
        <w:t>TW6000-es villamosok élettartam növelő felújítására, vagy a piaci lehetőségek függvényében TW6100-as járművek beszerzésére és honosítására kerül sor. Befejeződik a 2017-ben beszerzésre kerülő TW6100-as villamosok honosítása.</w:t>
      </w:r>
    </w:p>
    <w:p w14:paraId="7C79D022" w14:textId="77777777" w:rsidR="002C18B1" w:rsidRPr="002773D0" w:rsidRDefault="002C18B1" w:rsidP="002C18B1">
      <w:pPr>
        <w:ind w:left="720"/>
        <w:jc w:val="both"/>
        <w:rPr>
          <w:rFonts w:ascii="Calibri" w:hAnsi="Calibri" w:cs="Calibri"/>
          <w:lang w:eastAsia="en-US"/>
        </w:rPr>
      </w:pPr>
      <w:r w:rsidRPr="002773D0">
        <w:rPr>
          <w:rFonts w:ascii="Calibri" w:hAnsi="Calibri" w:cs="Calibri"/>
          <w:lang w:eastAsia="en-US"/>
        </w:rPr>
        <w:t>A terv</w:t>
      </w:r>
      <w:r>
        <w:rPr>
          <w:rFonts w:ascii="Calibri" w:hAnsi="Calibri" w:cs="Calibri"/>
          <w:lang w:eastAsia="en-US"/>
        </w:rPr>
        <w:t xml:space="preserve"> </w:t>
      </w:r>
      <w:r w:rsidRPr="002773D0">
        <w:rPr>
          <w:rFonts w:ascii="Calibri" w:hAnsi="Calibri" w:cs="Calibri"/>
          <w:lang w:eastAsia="en-US"/>
        </w:rPr>
        <w:t>forrást biztosít hajók korszerűsítésére, illetve üzemeltetési feladatok ellátásához és a megrendelt szolgáltatások biztosításához szükséges egyéb járművek felújítására, korszerűsítésére és cseréjére is.</w:t>
      </w:r>
    </w:p>
    <w:p w14:paraId="72A701B0" w14:textId="77777777" w:rsidR="00BA7B3F" w:rsidRPr="002773D0" w:rsidRDefault="00BA7B3F" w:rsidP="00BA7B3F">
      <w:pPr>
        <w:ind w:left="720"/>
        <w:jc w:val="both"/>
        <w:rPr>
          <w:rFonts w:ascii="Calibri" w:hAnsi="Calibri" w:cs="Calibri"/>
          <w:highlight w:val="yellow"/>
          <w:lang w:eastAsia="en-US"/>
        </w:rPr>
      </w:pPr>
    </w:p>
    <w:p w14:paraId="0BF8A9BD" w14:textId="77777777" w:rsidR="00BA7B3F" w:rsidRPr="002773D0" w:rsidRDefault="00BA7B3F" w:rsidP="00BA7B3F">
      <w:pPr>
        <w:widowControl w:val="0"/>
        <w:numPr>
          <w:ilvl w:val="0"/>
          <w:numId w:val="4"/>
        </w:numPr>
        <w:tabs>
          <w:tab w:val="clear" w:pos="1058"/>
          <w:tab w:val="num" w:pos="720"/>
        </w:tabs>
        <w:autoSpaceDE w:val="0"/>
        <w:autoSpaceDN w:val="0"/>
        <w:adjustRightInd w:val="0"/>
        <w:ind w:left="720"/>
        <w:jc w:val="both"/>
        <w:rPr>
          <w:rFonts w:ascii="Calibri" w:hAnsi="Calibri" w:cs="Calibri"/>
          <w:lang w:eastAsia="en-US"/>
        </w:rPr>
      </w:pPr>
      <w:r w:rsidRPr="002773D0">
        <w:rPr>
          <w:rFonts w:ascii="Calibri" w:hAnsi="Calibri" w:cs="Calibri"/>
          <w:lang w:eastAsia="en-US"/>
        </w:rPr>
        <w:t>Progresszív költségmegtakarítást eredményező beruházások:</w:t>
      </w:r>
    </w:p>
    <w:p w14:paraId="5D94613E" w14:textId="77777777" w:rsidR="00BA7B3F" w:rsidRPr="002773D0" w:rsidRDefault="00BA7B3F" w:rsidP="00BA7B3F">
      <w:pPr>
        <w:ind w:left="720"/>
        <w:jc w:val="both"/>
        <w:rPr>
          <w:rFonts w:ascii="Calibri" w:hAnsi="Calibri" w:cs="Calibri"/>
        </w:rPr>
      </w:pPr>
      <w:r w:rsidRPr="002773D0">
        <w:rPr>
          <w:rFonts w:ascii="Calibri" w:hAnsi="Calibri" w:cs="Calibri"/>
        </w:rPr>
        <w:t>Az energiafelhasználási költségek csökkentése érdekében 2018. évb</w:t>
      </w:r>
      <w:r>
        <w:rPr>
          <w:rFonts w:ascii="Calibri" w:hAnsi="Calibri" w:cs="Calibri"/>
        </w:rPr>
        <w:t xml:space="preserve">en is folytatódnak a világítási rendszer </w:t>
      </w:r>
      <w:r w:rsidRPr="002773D0">
        <w:rPr>
          <w:rFonts w:ascii="Calibri" w:hAnsi="Calibri" w:cs="Calibri"/>
        </w:rPr>
        <w:t>korszerűsítések, napkollektor telepítések.</w:t>
      </w:r>
    </w:p>
    <w:p w14:paraId="20638076" w14:textId="77777777" w:rsidR="00BA7B3F" w:rsidRPr="002773D0" w:rsidRDefault="00BA7B3F" w:rsidP="00BA7B3F">
      <w:pPr>
        <w:ind w:left="720"/>
        <w:jc w:val="both"/>
        <w:rPr>
          <w:rFonts w:ascii="Calibri" w:hAnsi="Calibri" w:cs="Calibri"/>
          <w:highlight w:val="yellow"/>
          <w:lang w:eastAsia="en-US"/>
        </w:rPr>
      </w:pPr>
    </w:p>
    <w:p w14:paraId="2443E8CA" w14:textId="77777777" w:rsidR="00BA7B3F" w:rsidRPr="002773D0" w:rsidRDefault="00BA7B3F" w:rsidP="00BA7B3F">
      <w:pPr>
        <w:widowControl w:val="0"/>
        <w:numPr>
          <w:ilvl w:val="0"/>
          <w:numId w:val="4"/>
        </w:numPr>
        <w:tabs>
          <w:tab w:val="clear" w:pos="1058"/>
          <w:tab w:val="num" w:pos="720"/>
        </w:tabs>
        <w:autoSpaceDE w:val="0"/>
        <w:autoSpaceDN w:val="0"/>
        <w:adjustRightInd w:val="0"/>
        <w:ind w:left="720"/>
        <w:jc w:val="both"/>
        <w:rPr>
          <w:rFonts w:ascii="Calibri" w:hAnsi="Calibri" w:cs="Calibri"/>
          <w:lang w:eastAsia="en-US"/>
        </w:rPr>
      </w:pPr>
      <w:r w:rsidRPr="002773D0">
        <w:rPr>
          <w:rFonts w:ascii="Calibri" w:hAnsi="Calibri" w:cs="Calibri"/>
          <w:lang w:eastAsia="en-US"/>
        </w:rPr>
        <w:t>Mozgólépcső felújítás:</w:t>
      </w:r>
    </w:p>
    <w:p w14:paraId="5C465084" w14:textId="77777777" w:rsidR="00BA7B3F" w:rsidRPr="002773D0" w:rsidRDefault="00BA7B3F" w:rsidP="00BA7B3F">
      <w:pPr>
        <w:ind w:left="720"/>
        <w:jc w:val="both"/>
        <w:rPr>
          <w:rFonts w:ascii="Calibri" w:hAnsi="Calibri" w:cs="Calibri"/>
        </w:rPr>
      </w:pPr>
      <w:r>
        <w:rPr>
          <w:rFonts w:ascii="Calibri" w:hAnsi="Calibri" w:cs="Calibri"/>
        </w:rPr>
        <w:t xml:space="preserve">A </w:t>
      </w:r>
      <w:r w:rsidRPr="002773D0">
        <w:rPr>
          <w:rFonts w:ascii="Calibri" w:hAnsi="Calibri" w:cs="Calibri"/>
        </w:rPr>
        <w:t xml:space="preserve">metróvonalakon a kis emelőmagasságú mozgólépcsőkhöz nehézkes és csak nagy költséggel valósítható meg az alkatrész beszerzés, így az üzemeltetés gazdaságosabbá tehető a mai szabványoknak megfelelő, új, költséghatékony mozgólépcsők beszerzésével, beépítésével. </w:t>
      </w:r>
      <w:r>
        <w:rPr>
          <w:rFonts w:ascii="Calibri" w:hAnsi="Calibri" w:cs="Calibri"/>
        </w:rPr>
        <w:t xml:space="preserve">Az </w:t>
      </w:r>
      <w:r w:rsidRPr="002773D0">
        <w:rPr>
          <w:rFonts w:ascii="Calibri" w:hAnsi="Calibri" w:cs="Calibri"/>
        </w:rPr>
        <w:t>Árpád híd</w:t>
      </w:r>
      <w:r>
        <w:rPr>
          <w:rFonts w:ascii="Calibri" w:hAnsi="Calibri" w:cs="Calibri"/>
        </w:rPr>
        <w:t>nál</w:t>
      </w:r>
      <w:r w:rsidRPr="002773D0">
        <w:rPr>
          <w:rFonts w:ascii="Calibri" w:hAnsi="Calibri" w:cs="Calibri"/>
        </w:rPr>
        <w:t xml:space="preserve"> </w:t>
      </w:r>
      <w:r>
        <w:rPr>
          <w:rFonts w:ascii="Calibri" w:hAnsi="Calibri" w:cs="Calibri"/>
        </w:rPr>
        <w:t>4 db kis emelőmagasságú m</w:t>
      </w:r>
      <w:r w:rsidRPr="002773D0">
        <w:rPr>
          <w:rFonts w:ascii="Calibri" w:hAnsi="Calibri" w:cs="Calibri"/>
        </w:rPr>
        <w:t>ozgólépcső cseré</w:t>
      </w:r>
      <w:r>
        <w:rPr>
          <w:rFonts w:ascii="Calibri" w:hAnsi="Calibri" w:cs="Calibri"/>
        </w:rPr>
        <w:t>jére kerül sor.</w:t>
      </w:r>
    </w:p>
    <w:p w14:paraId="108BCE91" w14:textId="77777777" w:rsidR="00BA7B3F" w:rsidRPr="002773D0" w:rsidRDefault="00BA7B3F" w:rsidP="00BA7B3F">
      <w:pPr>
        <w:ind w:left="720"/>
        <w:jc w:val="both"/>
        <w:rPr>
          <w:rFonts w:ascii="Calibri" w:hAnsi="Calibri" w:cs="Calibri"/>
          <w:highlight w:val="yellow"/>
          <w:lang w:eastAsia="en-US"/>
        </w:rPr>
      </w:pPr>
    </w:p>
    <w:p w14:paraId="5E8058C1" w14:textId="77777777" w:rsidR="00BA7B3F" w:rsidRPr="002773D0" w:rsidRDefault="00BA7B3F" w:rsidP="00BA7B3F">
      <w:pPr>
        <w:widowControl w:val="0"/>
        <w:numPr>
          <w:ilvl w:val="0"/>
          <w:numId w:val="4"/>
        </w:numPr>
        <w:tabs>
          <w:tab w:val="clear" w:pos="1058"/>
          <w:tab w:val="num" w:pos="720"/>
        </w:tabs>
        <w:autoSpaceDE w:val="0"/>
        <w:autoSpaceDN w:val="0"/>
        <w:adjustRightInd w:val="0"/>
        <w:ind w:left="720"/>
        <w:jc w:val="both"/>
        <w:rPr>
          <w:rFonts w:ascii="Calibri" w:hAnsi="Calibri" w:cs="Calibri"/>
          <w:lang w:eastAsia="en-US"/>
        </w:rPr>
      </w:pPr>
      <w:r w:rsidRPr="002773D0">
        <w:rPr>
          <w:rFonts w:ascii="Calibri" w:hAnsi="Calibri" w:cs="Calibri"/>
          <w:lang w:eastAsia="en-US"/>
        </w:rPr>
        <w:t>Pályafelújítás:</w:t>
      </w:r>
    </w:p>
    <w:p w14:paraId="7CD9DA46" w14:textId="77777777" w:rsidR="00BA7B3F" w:rsidRPr="002773D0" w:rsidRDefault="00BA7B3F" w:rsidP="00BA7B3F">
      <w:pPr>
        <w:ind w:left="720"/>
        <w:jc w:val="both"/>
        <w:rPr>
          <w:rFonts w:ascii="Calibri" w:hAnsi="Calibri" w:cs="Calibri"/>
          <w:lang w:eastAsia="en-US"/>
        </w:rPr>
      </w:pPr>
      <w:r w:rsidRPr="002773D0">
        <w:rPr>
          <w:rFonts w:ascii="Calibri" w:hAnsi="Calibri" w:cs="Calibri"/>
          <w:lang w:eastAsia="en-US"/>
        </w:rPr>
        <w:t xml:space="preserve">A kötöttpályás közlekedés színvonala nagymértékben függ a mindenkori pályaállapotoktól, ezért elsőrendű feladat a műszaki állapotok javítása. </w:t>
      </w:r>
      <w:r w:rsidRPr="002773D0">
        <w:rPr>
          <w:rFonts w:ascii="Calibri" w:hAnsi="Calibri" w:cs="Calibri"/>
        </w:rPr>
        <w:t xml:space="preserve">Folytatjuk a nagykörúti (4/6-os vonal) felépítményváltást és jelentős pályafelújítást tervezünk az Orczy tér körzetében (24/28/37-es vonal). Munkálatokra kerül sor a Hungária körút - Hős utca kereszteződésében (1-es vonal), </w:t>
      </w:r>
      <w:r>
        <w:rPr>
          <w:rFonts w:ascii="Calibri" w:hAnsi="Calibri" w:cs="Calibri"/>
        </w:rPr>
        <w:t xml:space="preserve">és </w:t>
      </w:r>
      <w:r w:rsidRPr="002773D0">
        <w:rPr>
          <w:rFonts w:ascii="Calibri" w:hAnsi="Calibri" w:cs="Calibri"/>
        </w:rPr>
        <w:t>a Bosnyák téren (3/62/62A-s vonal)</w:t>
      </w:r>
      <w:r>
        <w:rPr>
          <w:rFonts w:ascii="Calibri" w:hAnsi="Calibri" w:cs="Calibri"/>
        </w:rPr>
        <w:t>.</w:t>
      </w:r>
      <w:r w:rsidRPr="002773D0">
        <w:rPr>
          <w:rFonts w:ascii="Calibri" w:hAnsi="Calibri" w:cs="Calibri"/>
        </w:rPr>
        <w:t xml:space="preserve"> </w:t>
      </w:r>
    </w:p>
    <w:p w14:paraId="4C979A6D" w14:textId="77777777" w:rsidR="00BA7B3F" w:rsidRPr="002773D0" w:rsidRDefault="00BA7B3F" w:rsidP="00BA7B3F">
      <w:pPr>
        <w:ind w:left="900"/>
        <w:jc w:val="both"/>
        <w:rPr>
          <w:rFonts w:ascii="Calibri" w:hAnsi="Calibri" w:cs="Calibri"/>
          <w:sz w:val="20"/>
          <w:szCs w:val="20"/>
          <w:highlight w:val="yellow"/>
        </w:rPr>
      </w:pPr>
    </w:p>
    <w:p w14:paraId="6F0C301F" w14:textId="77777777" w:rsidR="00BA7B3F" w:rsidRPr="002773D0" w:rsidRDefault="00BA7B3F" w:rsidP="00BA7B3F">
      <w:pPr>
        <w:widowControl w:val="0"/>
        <w:numPr>
          <w:ilvl w:val="0"/>
          <w:numId w:val="4"/>
        </w:numPr>
        <w:tabs>
          <w:tab w:val="clear" w:pos="1058"/>
          <w:tab w:val="num" w:pos="720"/>
        </w:tabs>
        <w:autoSpaceDE w:val="0"/>
        <w:autoSpaceDN w:val="0"/>
        <w:adjustRightInd w:val="0"/>
        <w:ind w:left="720"/>
        <w:jc w:val="both"/>
        <w:rPr>
          <w:rFonts w:ascii="Calibri" w:hAnsi="Calibri" w:cs="Calibri"/>
          <w:lang w:eastAsia="en-US"/>
        </w:rPr>
      </w:pPr>
      <w:r w:rsidRPr="002773D0">
        <w:rPr>
          <w:rFonts w:ascii="Calibri" w:hAnsi="Calibri" w:cs="Calibri"/>
          <w:lang w:eastAsia="en-US"/>
        </w:rPr>
        <w:t>Áramellátás:</w:t>
      </w:r>
    </w:p>
    <w:p w14:paraId="419EFE03" w14:textId="77777777" w:rsidR="00BA7B3F" w:rsidRDefault="00BA7B3F" w:rsidP="00BA7B3F">
      <w:pPr>
        <w:ind w:left="720"/>
        <w:jc w:val="both"/>
        <w:rPr>
          <w:rFonts w:ascii="Calibri" w:hAnsi="Calibri" w:cs="Calibri"/>
        </w:rPr>
      </w:pPr>
      <w:r w:rsidRPr="002773D0">
        <w:rPr>
          <w:rFonts w:ascii="Calibri" w:hAnsi="Calibri" w:cs="Calibri"/>
        </w:rPr>
        <w:t>Felújításra kerül a Vécsey és a Villányi áramátalakító.</w:t>
      </w:r>
    </w:p>
    <w:p w14:paraId="0B839089" w14:textId="77777777" w:rsidR="00BA7B3F" w:rsidRPr="002773D0" w:rsidRDefault="00BA7B3F" w:rsidP="00BA7B3F">
      <w:pPr>
        <w:ind w:left="720"/>
        <w:jc w:val="both"/>
        <w:rPr>
          <w:rFonts w:ascii="Calibri" w:hAnsi="Calibri" w:cs="Calibri"/>
        </w:rPr>
      </w:pPr>
    </w:p>
    <w:p w14:paraId="514C8A45" w14:textId="77777777" w:rsidR="00BA7B3F" w:rsidRPr="002773D0" w:rsidRDefault="00BA7B3F" w:rsidP="00BA7B3F">
      <w:pPr>
        <w:ind w:left="900"/>
        <w:jc w:val="both"/>
        <w:rPr>
          <w:rFonts w:ascii="Calibri" w:hAnsi="Calibri" w:cs="Calibri"/>
          <w:sz w:val="20"/>
          <w:szCs w:val="20"/>
          <w:highlight w:val="yellow"/>
        </w:rPr>
      </w:pPr>
    </w:p>
    <w:p w14:paraId="0061633E" w14:textId="77777777" w:rsidR="00BA7B3F" w:rsidRPr="002773D0" w:rsidRDefault="00BA7B3F" w:rsidP="00BA7B3F">
      <w:pPr>
        <w:widowControl w:val="0"/>
        <w:numPr>
          <w:ilvl w:val="0"/>
          <w:numId w:val="4"/>
        </w:numPr>
        <w:tabs>
          <w:tab w:val="clear" w:pos="1058"/>
          <w:tab w:val="num" w:pos="720"/>
        </w:tabs>
        <w:autoSpaceDE w:val="0"/>
        <w:autoSpaceDN w:val="0"/>
        <w:adjustRightInd w:val="0"/>
        <w:ind w:left="720"/>
        <w:jc w:val="both"/>
        <w:rPr>
          <w:rFonts w:ascii="Calibri" w:hAnsi="Calibri" w:cs="Calibri"/>
          <w:lang w:eastAsia="en-US"/>
        </w:rPr>
      </w:pPr>
      <w:r w:rsidRPr="002773D0">
        <w:rPr>
          <w:rFonts w:ascii="Calibri" w:hAnsi="Calibri" w:cs="Calibri"/>
          <w:lang w:eastAsia="en-US"/>
        </w:rPr>
        <w:t>Távközlési és biztosítóberendezés:</w:t>
      </w:r>
    </w:p>
    <w:p w14:paraId="332903C3" w14:textId="77777777" w:rsidR="00BA7B3F" w:rsidRPr="002773D0" w:rsidRDefault="00BA7B3F" w:rsidP="00BA7B3F">
      <w:pPr>
        <w:ind w:left="720"/>
        <w:jc w:val="both"/>
        <w:rPr>
          <w:rFonts w:ascii="Calibri" w:hAnsi="Calibri" w:cs="Calibri"/>
        </w:rPr>
      </w:pPr>
      <w:r w:rsidRPr="002773D0">
        <w:rPr>
          <w:rFonts w:ascii="Calibri" w:hAnsi="Calibri" w:cs="Calibri"/>
        </w:rPr>
        <w:t xml:space="preserve">2018. évben folytatódik az M3 vonalon a SEL-700 váltóhajtóművek és autóstop berendezések felújítása, mely feladatok nem képezik az </w:t>
      </w:r>
      <w:r>
        <w:rPr>
          <w:rFonts w:ascii="Calibri" w:hAnsi="Calibri" w:cs="Calibri"/>
        </w:rPr>
        <w:t>i</w:t>
      </w:r>
      <w:r w:rsidRPr="002773D0">
        <w:rPr>
          <w:rFonts w:ascii="Calibri" w:hAnsi="Calibri" w:cs="Calibri"/>
        </w:rPr>
        <w:t>nfrastruktúra rekonstrukció részét.</w:t>
      </w:r>
    </w:p>
    <w:p w14:paraId="47821932" w14:textId="77777777" w:rsidR="00BA7B3F" w:rsidRPr="002773D0" w:rsidRDefault="00BA7B3F" w:rsidP="00BA7B3F">
      <w:pPr>
        <w:ind w:left="720"/>
        <w:jc w:val="both"/>
        <w:rPr>
          <w:rFonts w:ascii="Calibri" w:hAnsi="Calibri" w:cs="Calibri"/>
          <w:highlight w:val="yellow"/>
        </w:rPr>
      </w:pPr>
    </w:p>
    <w:p w14:paraId="650D74B8" w14:textId="77777777" w:rsidR="00BA7B3F" w:rsidRPr="002773D0" w:rsidRDefault="00BA7B3F" w:rsidP="00BA7B3F">
      <w:pPr>
        <w:widowControl w:val="0"/>
        <w:numPr>
          <w:ilvl w:val="0"/>
          <w:numId w:val="4"/>
        </w:numPr>
        <w:tabs>
          <w:tab w:val="clear" w:pos="1058"/>
          <w:tab w:val="num" w:pos="720"/>
        </w:tabs>
        <w:autoSpaceDE w:val="0"/>
        <w:autoSpaceDN w:val="0"/>
        <w:adjustRightInd w:val="0"/>
        <w:ind w:left="720"/>
        <w:jc w:val="both"/>
        <w:rPr>
          <w:rFonts w:ascii="Calibri" w:hAnsi="Calibri" w:cs="Calibri"/>
          <w:lang w:eastAsia="en-US"/>
        </w:rPr>
      </w:pPr>
      <w:r w:rsidRPr="002773D0">
        <w:rPr>
          <w:rFonts w:ascii="Calibri" w:hAnsi="Calibri" w:cs="Calibri"/>
          <w:lang w:eastAsia="en-US"/>
        </w:rPr>
        <w:t>Egyéb infrastruktúra felújítás:</w:t>
      </w:r>
    </w:p>
    <w:p w14:paraId="3DB81A37" w14:textId="5BBC0D37" w:rsidR="002C18B1" w:rsidRPr="002773D0" w:rsidRDefault="002C18B1" w:rsidP="002C18B1">
      <w:pPr>
        <w:ind w:left="720"/>
        <w:jc w:val="both"/>
        <w:rPr>
          <w:rFonts w:ascii="Calibri" w:hAnsi="Calibri" w:cs="Calibri"/>
        </w:rPr>
      </w:pPr>
      <w:r w:rsidRPr="002773D0">
        <w:rPr>
          <w:rFonts w:ascii="Calibri" w:hAnsi="Calibri" w:cs="Calibri"/>
        </w:rPr>
        <w:t>Folytatódik a projektek tervezése és előkészítése, a gépek és berendezések beszerzése, az épületek és építmények felújítása, a telephelyek fűtésrekonstrukciója stb. Alvázmosó álláshely kerül kialakításra az M2-es járműtelepen. Sor kerül a Margitsziget Szállodák és a Jászai Mari tér 10-es hajókikötők rekonstrukciójára</w:t>
      </w:r>
      <w:r>
        <w:rPr>
          <w:rFonts w:ascii="Calibri" w:hAnsi="Calibri" w:cs="Calibri"/>
        </w:rPr>
        <w:t>, valamint a Budafok hajókikötő létesítésére</w:t>
      </w:r>
      <w:r w:rsidRPr="002773D0">
        <w:rPr>
          <w:rFonts w:ascii="Calibri" w:hAnsi="Calibri" w:cs="Calibri"/>
        </w:rPr>
        <w:t>. A terv</w:t>
      </w:r>
      <w:r>
        <w:rPr>
          <w:rFonts w:ascii="Calibri" w:hAnsi="Calibri" w:cs="Calibri"/>
        </w:rPr>
        <w:t xml:space="preserve"> </w:t>
      </w:r>
      <w:r w:rsidRPr="002773D0">
        <w:rPr>
          <w:rFonts w:ascii="Calibri" w:hAnsi="Calibri" w:cs="Calibri"/>
        </w:rPr>
        <w:t>forrást biztosít környezetvédelmi és ingatlanhasznosításhoz kapcsolódó beruházásokra is.</w:t>
      </w:r>
    </w:p>
    <w:p w14:paraId="3D14E086" w14:textId="1B5F9A88" w:rsidR="002C18B1" w:rsidRPr="002773D0" w:rsidRDefault="002C18B1" w:rsidP="002C18B1">
      <w:pPr>
        <w:ind w:left="720"/>
        <w:jc w:val="both"/>
        <w:rPr>
          <w:rFonts w:asciiTheme="minorHAnsi" w:hAnsiTheme="minorHAnsi" w:cs="Calibri"/>
        </w:rPr>
      </w:pPr>
    </w:p>
    <w:p w14:paraId="4DEC7A66" w14:textId="4FEE1562" w:rsidR="00BA7B3F" w:rsidRPr="002773D0" w:rsidRDefault="00BA7B3F" w:rsidP="002C18B1">
      <w:pPr>
        <w:ind w:left="720"/>
        <w:jc w:val="both"/>
        <w:rPr>
          <w:rFonts w:asciiTheme="minorHAnsi" w:hAnsiTheme="minorHAnsi" w:cs="Calibri"/>
        </w:rPr>
      </w:pPr>
    </w:p>
    <w:p w14:paraId="04206982" w14:textId="77777777" w:rsidR="00BA7B3F" w:rsidRPr="002773D0" w:rsidRDefault="00BA7B3F" w:rsidP="00BA7B3F">
      <w:pPr>
        <w:jc w:val="both"/>
        <w:rPr>
          <w:rFonts w:asciiTheme="minorHAnsi" w:hAnsiTheme="minorHAnsi" w:cs="Calibri"/>
        </w:rPr>
      </w:pPr>
    </w:p>
    <w:p w14:paraId="6A7C5A85" w14:textId="77777777" w:rsidR="00BA7B3F" w:rsidRPr="002773D0" w:rsidRDefault="00BA7B3F" w:rsidP="00BA7B3F">
      <w:pPr>
        <w:jc w:val="both"/>
        <w:rPr>
          <w:rFonts w:asciiTheme="minorHAnsi" w:hAnsiTheme="minorHAnsi" w:cs="Calibri"/>
        </w:rPr>
      </w:pPr>
    </w:p>
    <w:p w14:paraId="3FA9864B" w14:textId="77777777" w:rsidR="00BA7B3F" w:rsidRPr="002773D0" w:rsidRDefault="00BA7B3F" w:rsidP="00BA7B3F">
      <w:pPr>
        <w:jc w:val="both"/>
        <w:rPr>
          <w:rFonts w:asciiTheme="minorHAnsi" w:hAnsiTheme="minorHAnsi" w:cs="Calibri"/>
          <w:b/>
        </w:rPr>
      </w:pPr>
      <w:r w:rsidRPr="002773D0">
        <w:rPr>
          <w:rFonts w:asciiTheme="minorHAnsi" w:hAnsiTheme="minorHAnsi" w:cs="Calibri"/>
          <w:b/>
        </w:rPr>
        <w:t>Pótlólagos Beruházási Terv</w:t>
      </w:r>
    </w:p>
    <w:p w14:paraId="6591CD40" w14:textId="77777777" w:rsidR="00BA7B3F" w:rsidRPr="002773D0" w:rsidRDefault="00BA7B3F" w:rsidP="00BA7B3F">
      <w:pPr>
        <w:jc w:val="both"/>
        <w:rPr>
          <w:rFonts w:ascii="Calibri" w:hAnsi="Calibri" w:cs="Calibri"/>
        </w:rPr>
      </w:pPr>
    </w:p>
    <w:p w14:paraId="257C0092" w14:textId="77777777" w:rsidR="00BA7B3F" w:rsidRPr="002773D0" w:rsidRDefault="00BA7B3F" w:rsidP="00BA7B3F">
      <w:pPr>
        <w:jc w:val="both"/>
        <w:rPr>
          <w:rFonts w:ascii="Calibri" w:hAnsi="Calibri" w:cs="Calibri"/>
          <w:lang w:eastAsia="ru-RU"/>
        </w:rPr>
      </w:pPr>
      <w:r w:rsidRPr="002773D0">
        <w:rPr>
          <w:rFonts w:ascii="Calibri" w:hAnsi="Calibri" w:cs="Calibri"/>
          <w:lang w:eastAsia="ru-RU"/>
        </w:rPr>
        <w:t>A Társaság előző évek alulkompenzáltságának és elmarad</w:t>
      </w:r>
      <w:r>
        <w:rPr>
          <w:rFonts w:ascii="Calibri" w:hAnsi="Calibri" w:cs="Calibri"/>
          <w:lang w:eastAsia="ru-RU"/>
        </w:rPr>
        <w:t xml:space="preserve">t </w:t>
      </w:r>
      <w:r w:rsidRPr="002773D0">
        <w:rPr>
          <w:rFonts w:ascii="Calibri" w:hAnsi="Calibri" w:cs="Calibri"/>
          <w:lang w:eastAsia="ru-RU"/>
        </w:rPr>
        <w:t>ésszerű nyereségének pótlásaként a BKK Zrt. pótlólagos beruházási forrást biztosított a BKV Zrt. részére, a forrás felhasználási határidejének korlátozása nélkül, ami lehetővé teszi olyan kiemelt, hosszú átfutási idejű feladatok tervesítését, amelyek közbeszerzési eljárására, tervezésére, engedélyezésére egy naptári év nem elegendő.</w:t>
      </w:r>
    </w:p>
    <w:p w14:paraId="795D5B9F" w14:textId="77777777" w:rsidR="0051568B" w:rsidRPr="006A4953" w:rsidRDefault="0051568B" w:rsidP="0051568B">
      <w:pPr>
        <w:jc w:val="both"/>
        <w:rPr>
          <w:rFonts w:asciiTheme="minorHAnsi" w:hAnsiTheme="minorHAnsi" w:cs="Calibri"/>
        </w:rPr>
      </w:pPr>
    </w:p>
    <w:p w14:paraId="0D90CE10" w14:textId="77777777" w:rsidR="0051568B" w:rsidRPr="006A4953" w:rsidRDefault="0051568B" w:rsidP="0051568B">
      <w:pPr>
        <w:jc w:val="both"/>
        <w:rPr>
          <w:rFonts w:asciiTheme="minorHAnsi" w:hAnsiTheme="minorHAnsi" w:cs="Calibri"/>
        </w:rPr>
      </w:pPr>
    </w:p>
    <w:p w14:paraId="073DF37D" w14:textId="77777777" w:rsidR="00DA4CF8" w:rsidRPr="00787AB7" w:rsidRDefault="009A1A77" w:rsidP="00106B84">
      <w:pPr>
        <w:pStyle w:val="Cmsor1"/>
        <w:pageBreakBefore/>
        <w:numPr>
          <w:ilvl w:val="0"/>
          <w:numId w:val="17"/>
        </w:numPr>
        <w:spacing w:before="360" w:after="360"/>
        <w:jc w:val="left"/>
        <w:rPr>
          <w:rStyle w:val="Stlus14ptFlkvrAlhzs"/>
          <w:rFonts w:asciiTheme="minorHAnsi" w:hAnsiTheme="minorHAnsi" w:cstheme="minorHAnsi"/>
          <w:bCs/>
          <w:i w:val="0"/>
          <w:u w:val="none"/>
        </w:rPr>
      </w:pPr>
      <w:bookmarkStart w:id="149" w:name="_Toc512409648"/>
      <w:r w:rsidRPr="00787AB7">
        <w:rPr>
          <w:rStyle w:val="Stlus14ptFlkvrAlhzs"/>
          <w:rFonts w:asciiTheme="minorHAnsi" w:hAnsiTheme="minorHAnsi" w:cstheme="minorHAnsi"/>
          <w:bCs/>
          <w:i w:val="0"/>
          <w:u w:val="none"/>
        </w:rPr>
        <w:lastRenderedPageBreak/>
        <w:t>További információk</w:t>
      </w:r>
      <w:bookmarkEnd w:id="149"/>
    </w:p>
    <w:p w14:paraId="6EB2B44F" w14:textId="77777777" w:rsidR="00DA4CF8" w:rsidRPr="006A4953" w:rsidRDefault="00DA4CF8" w:rsidP="00DA4CF8"/>
    <w:p w14:paraId="58BC39DA" w14:textId="77777777" w:rsidR="00420D85" w:rsidRPr="006A4953" w:rsidRDefault="009A1A77" w:rsidP="00420D85">
      <w:pPr>
        <w:jc w:val="both"/>
        <w:rPr>
          <w:rFonts w:asciiTheme="minorHAnsi" w:hAnsiTheme="minorHAnsi" w:cs="Calibri"/>
          <w:b/>
        </w:rPr>
      </w:pPr>
      <w:r w:rsidRPr="006A4953">
        <w:rPr>
          <w:rFonts w:asciiTheme="minorHAnsi" w:hAnsiTheme="minorHAnsi" w:cs="Calibri"/>
          <w:b/>
        </w:rPr>
        <w:t>50 éves a BKV Zrt.</w:t>
      </w:r>
    </w:p>
    <w:p w14:paraId="4804437A" w14:textId="77777777" w:rsidR="00420D85" w:rsidRPr="006A4953" w:rsidRDefault="00420D85" w:rsidP="009149E7">
      <w:pPr>
        <w:jc w:val="both"/>
        <w:rPr>
          <w:rFonts w:ascii="Calibri" w:eastAsia="Calibri" w:hAnsi="Calibri"/>
          <w:lang w:eastAsia="en-US"/>
        </w:rPr>
      </w:pPr>
    </w:p>
    <w:p w14:paraId="669D6CA5" w14:textId="77777777" w:rsidR="00420D85" w:rsidRPr="006A4953" w:rsidRDefault="009A1A77" w:rsidP="00AC2CA5">
      <w:pPr>
        <w:jc w:val="both"/>
        <w:rPr>
          <w:rFonts w:ascii="Calibri" w:eastAsia="Calibri" w:hAnsi="Calibri"/>
          <w:lang w:eastAsia="en-US"/>
        </w:rPr>
      </w:pPr>
      <w:r w:rsidRPr="006A4953">
        <w:rPr>
          <w:rFonts w:ascii="Calibri" w:eastAsia="Calibri" w:hAnsi="Calibri"/>
          <w:lang w:eastAsia="en-US"/>
        </w:rPr>
        <w:t>A BKV Zrt. egy jeles, történelme szempontjából is kitüntetett évnek néz elébe, mivel</w:t>
      </w:r>
      <w:r w:rsidRPr="006A4953">
        <w:rPr>
          <w:rFonts w:ascii="Calibri" w:eastAsia="Calibri" w:hAnsi="Calibri"/>
          <w:lang w:eastAsia="en-US"/>
        </w:rPr>
        <w:br/>
        <w:t>2018-ban ünnepeli megalakulásának 50. évfordulóját.</w:t>
      </w:r>
    </w:p>
    <w:p w14:paraId="405DE12A" w14:textId="77777777" w:rsidR="00AC2CA5" w:rsidRPr="006A4953" w:rsidRDefault="00AC2CA5">
      <w:pPr>
        <w:jc w:val="both"/>
        <w:rPr>
          <w:rFonts w:ascii="Calibri" w:eastAsia="Calibri" w:hAnsi="Calibri"/>
          <w:lang w:eastAsia="en-US"/>
        </w:rPr>
      </w:pPr>
    </w:p>
    <w:p w14:paraId="6C93DF52" w14:textId="77777777" w:rsidR="009149E7" w:rsidRPr="006A4953" w:rsidRDefault="009A1A77">
      <w:pPr>
        <w:jc w:val="both"/>
        <w:rPr>
          <w:rFonts w:ascii="Calibri" w:eastAsia="Calibri" w:hAnsi="Calibri"/>
          <w:lang w:eastAsia="en-US"/>
        </w:rPr>
      </w:pPr>
      <w:r w:rsidRPr="006A4953">
        <w:rPr>
          <w:rFonts w:ascii="Calibri" w:eastAsia="Calibri" w:hAnsi="Calibri"/>
          <w:lang w:eastAsia="en-US"/>
        </w:rPr>
        <w:t xml:space="preserve">A jubileumi év tervezett ünnepség sorozatának további két jelentős célja is van. Egyrészt a mai munkaerőpiaci helyzetet tekintve, a hiányszakmák feltöltési nehézségeivel találja magát szembe a vállalat szinte minden szakterülete. Ilyenkor az anyagi ösztönzőkön felül a munkaerő megtartásában és az újonnan belépők, vagy belépni szándékozók esetében az emocionális megközelítésre is komoly hangsúlyt kell fektetni, melyre kiváló alkalmat biztosít az 50. évforduló. </w:t>
      </w:r>
    </w:p>
    <w:p w14:paraId="7FEB4F89" w14:textId="77777777" w:rsidR="00AC2CA5" w:rsidRPr="006A4953" w:rsidRDefault="00AC2CA5">
      <w:pPr>
        <w:jc w:val="both"/>
        <w:rPr>
          <w:rFonts w:ascii="Calibri" w:eastAsia="Calibri" w:hAnsi="Calibri"/>
          <w:lang w:eastAsia="en-US"/>
        </w:rPr>
      </w:pPr>
    </w:p>
    <w:p w14:paraId="015739A1" w14:textId="77777777" w:rsidR="00420D85" w:rsidRPr="006A4953" w:rsidRDefault="009A1A77">
      <w:pPr>
        <w:jc w:val="both"/>
        <w:rPr>
          <w:rFonts w:ascii="Calibri" w:eastAsia="Calibri" w:hAnsi="Calibri"/>
          <w:lang w:eastAsia="en-US"/>
        </w:rPr>
      </w:pPr>
      <w:r w:rsidRPr="006A4953">
        <w:rPr>
          <w:rFonts w:ascii="Calibri" w:eastAsia="Calibri" w:hAnsi="Calibri"/>
          <w:lang w:eastAsia="en-US"/>
        </w:rPr>
        <w:t xml:space="preserve">Másrészt az is cél, hogy az utasközönség közelebbről megismerje a Társaságot. Ne csupán egy eszközt lásson a BKV-ban, mely elviszi őket reggel a munkahelyükre, hanem bele lásson a napi működésbe, abba a hatalmas és felelősségteljes háttérmunkába, amit ez a vállalat, s annak munkavállalói a hét mindennapjaiban tesznek éjjel és nappal egyaránt. A BKV Zrt. az ő emberi arcát is szeretné megmutatni az utasoknak, a budapesti lakosságának, hiszen egymás részét képezik. </w:t>
      </w:r>
    </w:p>
    <w:p w14:paraId="0A4A7689" w14:textId="77777777" w:rsidR="00AC2CA5" w:rsidRPr="006A4953" w:rsidRDefault="00AC2CA5">
      <w:pPr>
        <w:jc w:val="both"/>
        <w:rPr>
          <w:rFonts w:ascii="Calibri" w:eastAsia="Calibri" w:hAnsi="Calibri"/>
          <w:lang w:eastAsia="en-US"/>
        </w:rPr>
      </w:pPr>
    </w:p>
    <w:p w14:paraId="65B21D37" w14:textId="77777777" w:rsidR="00420D85" w:rsidRPr="006A4953" w:rsidRDefault="009A1A77">
      <w:pPr>
        <w:jc w:val="both"/>
        <w:rPr>
          <w:rFonts w:ascii="Calibri" w:eastAsia="Calibri" w:hAnsi="Calibri"/>
          <w:sz w:val="22"/>
          <w:szCs w:val="22"/>
          <w:lang w:eastAsia="en-US"/>
        </w:rPr>
      </w:pPr>
      <w:r w:rsidRPr="006A4953">
        <w:rPr>
          <w:rFonts w:ascii="Calibri" w:eastAsia="Calibri" w:hAnsi="Calibri"/>
          <w:lang w:eastAsia="en-US"/>
        </w:rPr>
        <w:t>A fent említett célok elérése érdekében autóbusz garázsokban és villamos kocsiszínekben tartandó nyílt napok, kiállítások, szakmai konferencia, dallamos villamos, egy különleges fényvillamos stb. várja a BKV Zrt. munkavállalóit és utasait egyaránt.</w:t>
      </w:r>
    </w:p>
    <w:p w14:paraId="7D17BC34" w14:textId="77777777" w:rsidR="008E6F4C" w:rsidRPr="006A4953" w:rsidRDefault="008E6F4C" w:rsidP="00910B53">
      <w:pPr>
        <w:pStyle w:val="Lista3"/>
        <w:rPr>
          <w:rFonts w:asciiTheme="minorHAnsi" w:hAnsiTheme="minorHAnsi" w:cstheme="minorHAnsi"/>
        </w:rPr>
      </w:pPr>
    </w:p>
    <w:p w14:paraId="129C0ABC" w14:textId="77777777" w:rsidR="009149E7" w:rsidRPr="006A4953" w:rsidRDefault="009149E7">
      <w:pPr>
        <w:rPr>
          <w:rStyle w:val="Stlus14ptFlkvrAlhzs"/>
          <w:rFonts w:asciiTheme="minorHAnsi" w:hAnsiTheme="minorHAnsi" w:cstheme="minorHAnsi"/>
          <w:bCs/>
          <w:i w:val="0"/>
          <w:u w:val="none"/>
        </w:rPr>
      </w:pPr>
      <w:bookmarkStart w:id="150" w:name="_Toc259699890"/>
      <w:bookmarkStart w:id="151" w:name="_Toc443317935"/>
      <w:bookmarkStart w:id="152" w:name="_Toc465246408"/>
      <w:r w:rsidRPr="006A4953">
        <w:rPr>
          <w:rStyle w:val="Stlus14ptFlkvrAlhzs"/>
          <w:rFonts w:asciiTheme="minorHAnsi" w:hAnsiTheme="minorHAnsi" w:cstheme="minorHAnsi"/>
          <w:bCs/>
          <w:i w:val="0"/>
          <w:u w:val="none"/>
        </w:rPr>
        <w:br w:type="page"/>
      </w:r>
      <w:bookmarkStart w:id="153" w:name="_GoBack"/>
      <w:bookmarkEnd w:id="153"/>
    </w:p>
    <w:p w14:paraId="07547AE2" w14:textId="77777777" w:rsidR="00F80D0A" w:rsidRPr="00787AB7" w:rsidRDefault="009A1A77" w:rsidP="00A0210F">
      <w:pPr>
        <w:pStyle w:val="Cmsor1"/>
        <w:tabs>
          <w:tab w:val="clear" w:pos="999"/>
        </w:tabs>
        <w:spacing w:after="600"/>
        <w:ind w:left="540" w:firstLine="0"/>
        <w:jc w:val="both"/>
        <w:rPr>
          <w:rFonts w:asciiTheme="minorHAnsi" w:hAnsiTheme="minorHAnsi" w:cstheme="minorHAnsi"/>
          <w:b/>
          <w:bCs/>
          <w:iCs/>
          <w:sz w:val="28"/>
        </w:rPr>
      </w:pPr>
      <w:bookmarkStart w:id="154" w:name="_Toc512409649"/>
      <w:r w:rsidRPr="00787AB7">
        <w:rPr>
          <w:rStyle w:val="Stlus14ptFlkvrAlhzs"/>
          <w:rFonts w:asciiTheme="minorHAnsi" w:hAnsiTheme="minorHAnsi" w:cstheme="minorHAnsi"/>
          <w:bCs/>
          <w:i w:val="0"/>
          <w:u w:val="none"/>
        </w:rPr>
        <w:lastRenderedPageBreak/>
        <w:t>Mellékletek</w:t>
      </w:r>
      <w:bookmarkEnd w:id="150"/>
      <w:bookmarkEnd w:id="151"/>
      <w:bookmarkEnd w:id="152"/>
      <w:bookmarkEnd w:id="154"/>
    </w:p>
    <w:p w14:paraId="4EFAE680"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55" w:name="_Toc443317936"/>
      <w:bookmarkStart w:id="156" w:name="_Toc465246409"/>
      <w:bookmarkStart w:id="157" w:name="_Toc512409650"/>
      <w:r w:rsidRPr="00787AB7">
        <w:rPr>
          <w:rFonts w:asciiTheme="minorHAnsi" w:hAnsiTheme="minorHAnsi" w:cstheme="minorHAnsi"/>
          <w:b w:val="0"/>
        </w:rPr>
        <w:t>1. sz. melléklet</w:t>
      </w:r>
      <w:r w:rsidRPr="00787AB7">
        <w:rPr>
          <w:rFonts w:asciiTheme="minorHAnsi" w:hAnsiTheme="minorHAnsi" w:cstheme="minorHAnsi"/>
          <w:b w:val="0"/>
        </w:rPr>
        <w:tab/>
        <w:t>A BKV Zrt. 2018. évi megrendelt teljesítménye</w:t>
      </w:r>
      <w:bookmarkEnd w:id="155"/>
      <w:bookmarkEnd w:id="156"/>
      <w:bookmarkEnd w:id="157"/>
    </w:p>
    <w:p w14:paraId="0A699166"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58" w:name="_Toc443317937"/>
      <w:bookmarkStart w:id="159" w:name="_Toc465246410"/>
      <w:bookmarkStart w:id="160" w:name="_Toc512409651"/>
      <w:r w:rsidRPr="00787AB7">
        <w:rPr>
          <w:rFonts w:asciiTheme="minorHAnsi" w:hAnsiTheme="minorHAnsi" w:cstheme="minorHAnsi"/>
          <w:b w:val="0"/>
        </w:rPr>
        <w:t>2. sz. melléklet</w:t>
      </w:r>
      <w:r w:rsidRPr="00787AB7">
        <w:rPr>
          <w:rFonts w:asciiTheme="minorHAnsi" w:hAnsiTheme="minorHAnsi" w:cstheme="minorHAnsi"/>
          <w:b w:val="0"/>
        </w:rPr>
        <w:tab/>
        <w:t>A BKV Zrt. 2018. évi eredmény-összefoglalója</w:t>
      </w:r>
      <w:bookmarkEnd w:id="158"/>
      <w:bookmarkEnd w:id="159"/>
      <w:bookmarkEnd w:id="160"/>
    </w:p>
    <w:p w14:paraId="0EFBA1D1"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61" w:name="_Toc443317938"/>
      <w:bookmarkStart w:id="162" w:name="_Toc465246411"/>
      <w:bookmarkStart w:id="163" w:name="_Toc512409652"/>
      <w:r w:rsidRPr="00787AB7">
        <w:rPr>
          <w:rFonts w:asciiTheme="minorHAnsi" w:hAnsiTheme="minorHAnsi" w:cstheme="minorHAnsi"/>
          <w:b w:val="0"/>
        </w:rPr>
        <w:t>2/a. sz. melléklet</w:t>
      </w:r>
      <w:r w:rsidRPr="00787AB7">
        <w:rPr>
          <w:rFonts w:asciiTheme="minorHAnsi" w:hAnsiTheme="minorHAnsi" w:cstheme="minorHAnsi"/>
          <w:b w:val="0"/>
        </w:rPr>
        <w:tab/>
        <w:t>Egyéb tevékenységek bevételei</w:t>
      </w:r>
      <w:bookmarkEnd w:id="161"/>
      <w:bookmarkEnd w:id="162"/>
      <w:r w:rsidRPr="00787AB7">
        <w:rPr>
          <w:rFonts w:asciiTheme="minorHAnsi" w:hAnsiTheme="minorHAnsi" w:cstheme="minorHAnsi"/>
          <w:b w:val="0"/>
        </w:rPr>
        <w:t xml:space="preserve"> a 2018. évben</w:t>
      </w:r>
      <w:bookmarkEnd w:id="163"/>
    </w:p>
    <w:p w14:paraId="667B8566"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64" w:name="_Toc443317939"/>
      <w:bookmarkStart w:id="165" w:name="_Toc465246412"/>
      <w:bookmarkStart w:id="166" w:name="_Toc512409653"/>
      <w:r w:rsidRPr="00787AB7">
        <w:rPr>
          <w:rFonts w:asciiTheme="minorHAnsi" w:hAnsiTheme="minorHAnsi" w:cstheme="minorHAnsi"/>
          <w:b w:val="0"/>
        </w:rPr>
        <w:t>2/b. sz. melléklet</w:t>
      </w:r>
      <w:r w:rsidRPr="00787AB7">
        <w:rPr>
          <w:rFonts w:asciiTheme="minorHAnsi" w:hAnsiTheme="minorHAnsi" w:cstheme="minorHAnsi"/>
          <w:b w:val="0"/>
        </w:rPr>
        <w:tab/>
        <w:t>Egyéb üzemi bevételek és ráfordítások</w:t>
      </w:r>
      <w:bookmarkEnd w:id="164"/>
      <w:bookmarkEnd w:id="165"/>
      <w:r w:rsidRPr="00787AB7">
        <w:rPr>
          <w:rFonts w:asciiTheme="minorHAnsi" w:hAnsiTheme="minorHAnsi" w:cstheme="minorHAnsi"/>
          <w:b w:val="0"/>
        </w:rPr>
        <w:t xml:space="preserve"> a 2018. évben</w:t>
      </w:r>
      <w:bookmarkEnd w:id="166"/>
    </w:p>
    <w:p w14:paraId="2BB975EB"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67" w:name="_Toc443317940"/>
      <w:bookmarkStart w:id="168" w:name="_Toc465246413"/>
      <w:bookmarkStart w:id="169" w:name="_Toc512409654"/>
      <w:r w:rsidRPr="00787AB7">
        <w:rPr>
          <w:rFonts w:asciiTheme="minorHAnsi" w:hAnsiTheme="minorHAnsi" w:cstheme="minorHAnsi"/>
          <w:b w:val="0"/>
        </w:rPr>
        <w:t>2/c. sz. melléklet</w:t>
      </w:r>
      <w:r w:rsidRPr="00787AB7">
        <w:rPr>
          <w:rFonts w:asciiTheme="minorHAnsi" w:hAnsiTheme="minorHAnsi" w:cstheme="minorHAnsi"/>
          <w:b w:val="0"/>
        </w:rPr>
        <w:tab/>
        <w:t>Pénzügyi bevételek és ráfordítások</w:t>
      </w:r>
      <w:bookmarkEnd w:id="167"/>
      <w:bookmarkEnd w:id="168"/>
      <w:r w:rsidRPr="00787AB7">
        <w:rPr>
          <w:rFonts w:asciiTheme="minorHAnsi" w:hAnsiTheme="minorHAnsi" w:cstheme="minorHAnsi"/>
          <w:b w:val="0"/>
        </w:rPr>
        <w:t xml:space="preserve"> a 2018. évben</w:t>
      </w:r>
      <w:bookmarkEnd w:id="169"/>
    </w:p>
    <w:p w14:paraId="04ED8660"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70" w:name="_Toc443317941"/>
      <w:bookmarkStart w:id="171" w:name="_Toc465246414"/>
      <w:bookmarkStart w:id="172" w:name="_Toc512409655"/>
      <w:r w:rsidRPr="00787AB7">
        <w:rPr>
          <w:rFonts w:asciiTheme="minorHAnsi" w:hAnsiTheme="minorHAnsi" w:cstheme="minorHAnsi"/>
          <w:b w:val="0"/>
        </w:rPr>
        <w:t>3. sz. melléklet</w:t>
      </w:r>
      <w:r w:rsidRPr="00787AB7">
        <w:rPr>
          <w:rFonts w:asciiTheme="minorHAnsi" w:hAnsiTheme="minorHAnsi" w:cstheme="minorHAnsi"/>
          <w:b w:val="0"/>
        </w:rPr>
        <w:tab/>
        <w:t>A BKV Zrt. 2018. évi adósságállomány</w:t>
      </w:r>
      <w:bookmarkEnd w:id="170"/>
      <w:bookmarkEnd w:id="171"/>
      <w:r w:rsidRPr="00787AB7">
        <w:rPr>
          <w:rFonts w:asciiTheme="minorHAnsi" w:hAnsiTheme="minorHAnsi" w:cstheme="minorHAnsi"/>
          <w:b w:val="0"/>
        </w:rPr>
        <w:t xml:space="preserve"> terve</w:t>
      </w:r>
      <w:bookmarkEnd w:id="172"/>
    </w:p>
    <w:p w14:paraId="2748C7B9"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73" w:name="_Toc443317942"/>
      <w:bookmarkStart w:id="174" w:name="_Toc465246415"/>
      <w:bookmarkStart w:id="175" w:name="_Toc512409656"/>
      <w:r w:rsidRPr="00787AB7">
        <w:rPr>
          <w:rFonts w:asciiTheme="minorHAnsi" w:hAnsiTheme="minorHAnsi" w:cstheme="minorHAnsi"/>
          <w:b w:val="0"/>
        </w:rPr>
        <w:t>4. sz. melléklet</w:t>
      </w:r>
      <w:r w:rsidRPr="00787AB7">
        <w:rPr>
          <w:rFonts w:asciiTheme="minorHAnsi" w:hAnsiTheme="minorHAnsi" w:cstheme="minorHAnsi"/>
          <w:b w:val="0"/>
        </w:rPr>
        <w:tab/>
        <w:t>A BKV Zrt. 2018. évi mérleg terve</w:t>
      </w:r>
      <w:bookmarkEnd w:id="173"/>
      <w:bookmarkEnd w:id="174"/>
      <w:bookmarkEnd w:id="175"/>
    </w:p>
    <w:p w14:paraId="2E22DC8D"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76" w:name="_Toc443317943"/>
      <w:bookmarkStart w:id="177" w:name="_Toc465246416"/>
      <w:bookmarkStart w:id="178" w:name="_Toc512409657"/>
      <w:r w:rsidRPr="00787AB7">
        <w:rPr>
          <w:rFonts w:asciiTheme="minorHAnsi" w:hAnsiTheme="minorHAnsi" w:cstheme="minorHAnsi"/>
          <w:b w:val="0"/>
        </w:rPr>
        <w:t>5. sz. melléklet</w:t>
      </w:r>
      <w:r w:rsidRPr="00787AB7">
        <w:rPr>
          <w:rFonts w:asciiTheme="minorHAnsi" w:hAnsiTheme="minorHAnsi" w:cstheme="minorHAnsi"/>
          <w:b w:val="0"/>
        </w:rPr>
        <w:tab/>
        <w:t>A BKV Zrt. 2018. évi átlagos állományi létszám terve</w:t>
      </w:r>
      <w:bookmarkEnd w:id="176"/>
      <w:bookmarkEnd w:id="177"/>
      <w:bookmarkEnd w:id="178"/>
    </w:p>
    <w:p w14:paraId="0A73C69F"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79" w:name="_Toc443317944"/>
      <w:bookmarkStart w:id="180" w:name="_Toc465246417"/>
      <w:bookmarkStart w:id="181" w:name="_Toc512409658"/>
      <w:r w:rsidRPr="00787AB7">
        <w:rPr>
          <w:rFonts w:asciiTheme="minorHAnsi" w:hAnsiTheme="minorHAnsi" w:cstheme="minorHAnsi"/>
          <w:b w:val="0"/>
        </w:rPr>
        <w:t>6. sz. melléklet</w:t>
      </w:r>
      <w:r w:rsidRPr="00787AB7">
        <w:rPr>
          <w:rFonts w:asciiTheme="minorHAnsi" w:hAnsiTheme="minorHAnsi" w:cstheme="minorHAnsi"/>
          <w:b w:val="0"/>
        </w:rPr>
        <w:tab/>
        <w:t>A BKV Zrt. 2018. évi likviditási terve</w:t>
      </w:r>
      <w:bookmarkEnd w:id="179"/>
      <w:bookmarkEnd w:id="180"/>
      <w:bookmarkEnd w:id="181"/>
    </w:p>
    <w:p w14:paraId="16977A7C"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82" w:name="_Toc443317946"/>
      <w:bookmarkStart w:id="183" w:name="_Toc465246419"/>
      <w:bookmarkStart w:id="184" w:name="_Toc512409659"/>
      <w:r w:rsidRPr="00787AB7">
        <w:rPr>
          <w:rFonts w:asciiTheme="minorHAnsi" w:hAnsiTheme="minorHAnsi" w:cstheme="minorHAnsi"/>
          <w:b w:val="0"/>
        </w:rPr>
        <w:t>7. sz. melléklet</w:t>
      </w:r>
      <w:r w:rsidRPr="00787AB7">
        <w:rPr>
          <w:rFonts w:asciiTheme="minorHAnsi" w:hAnsiTheme="minorHAnsi" w:cstheme="minorHAnsi"/>
          <w:b w:val="0"/>
        </w:rPr>
        <w:tab/>
        <w:t>A BKV Zrt. 2018. évi cash-flow terve</w:t>
      </w:r>
      <w:bookmarkEnd w:id="182"/>
      <w:bookmarkEnd w:id="183"/>
      <w:bookmarkEnd w:id="184"/>
      <w:r w:rsidRPr="00787AB7">
        <w:rPr>
          <w:rFonts w:asciiTheme="minorHAnsi" w:hAnsiTheme="minorHAnsi" w:cstheme="minorHAnsi"/>
          <w:b w:val="0"/>
        </w:rPr>
        <w:t xml:space="preserve"> </w:t>
      </w:r>
    </w:p>
    <w:p w14:paraId="4C42ADC7" w14:textId="77777777" w:rsidR="00674D5E" w:rsidRPr="00787AB7" w:rsidRDefault="009A1A77" w:rsidP="00831345">
      <w:pPr>
        <w:pStyle w:val="Cmsor3"/>
        <w:tabs>
          <w:tab w:val="clear" w:pos="2007"/>
        </w:tabs>
        <w:ind w:left="0" w:firstLine="0"/>
        <w:rPr>
          <w:rFonts w:asciiTheme="minorHAnsi" w:hAnsiTheme="minorHAnsi" w:cstheme="minorHAnsi"/>
          <w:b w:val="0"/>
        </w:rPr>
      </w:pPr>
      <w:bookmarkStart w:id="185" w:name="_Toc443317947"/>
      <w:bookmarkStart w:id="186" w:name="_Toc465246420"/>
      <w:bookmarkStart w:id="187" w:name="_Toc512409660"/>
      <w:r w:rsidRPr="00787AB7">
        <w:rPr>
          <w:rFonts w:asciiTheme="minorHAnsi" w:hAnsiTheme="minorHAnsi" w:cstheme="minorHAnsi"/>
          <w:b w:val="0"/>
        </w:rPr>
        <w:t>8/a. sz. melléklet</w:t>
      </w:r>
      <w:r w:rsidRPr="00787AB7">
        <w:rPr>
          <w:rFonts w:asciiTheme="minorHAnsi" w:hAnsiTheme="minorHAnsi" w:cstheme="minorHAnsi"/>
          <w:b w:val="0"/>
        </w:rPr>
        <w:tab/>
        <w:t>A BKV Zrt. 2018. évi közszolgáltatási Beruházási Terve</w:t>
      </w:r>
      <w:bookmarkEnd w:id="185"/>
      <w:bookmarkEnd w:id="186"/>
      <w:bookmarkEnd w:id="187"/>
    </w:p>
    <w:p w14:paraId="3511971E" w14:textId="77777777" w:rsidR="00674D5E" w:rsidRPr="00787AB7" w:rsidRDefault="009A1A77" w:rsidP="00831345">
      <w:pPr>
        <w:pStyle w:val="Cmsor3"/>
        <w:tabs>
          <w:tab w:val="clear" w:pos="2007"/>
        </w:tabs>
        <w:ind w:left="0" w:firstLine="0"/>
        <w:rPr>
          <w:rFonts w:asciiTheme="minorHAnsi" w:hAnsiTheme="minorHAnsi" w:cstheme="minorHAnsi"/>
          <w:b w:val="0"/>
        </w:rPr>
      </w:pPr>
      <w:bookmarkStart w:id="188" w:name="_Toc443317948"/>
      <w:bookmarkStart w:id="189" w:name="_Toc465246421"/>
      <w:bookmarkStart w:id="190" w:name="_Toc512409661"/>
      <w:r w:rsidRPr="00787AB7">
        <w:rPr>
          <w:rFonts w:asciiTheme="minorHAnsi" w:hAnsiTheme="minorHAnsi" w:cstheme="minorHAnsi"/>
          <w:b w:val="0"/>
        </w:rPr>
        <w:t>8/b. sz. melléklet</w:t>
      </w:r>
      <w:r w:rsidRPr="00787AB7">
        <w:rPr>
          <w:rFonts w:asciiTheme="minorHAnsi" w:hAnsiTheme="minorHAnsi" w:cstheme="minorHAnsi"/>
          <w:b w:val="0"/>
        </w:rPr>
        <w:tab/>
        <w:t>A BKV Zrt. 2018. évi pótlólagos Beruházási Terve</w:t>
      </w:r>
      <w:bookmarkEnd w:id="188"/>
      <w:bookmarkEnd w:id="189"/>
      <w:bookmarkEnd w:id="190"/>
    </w:p>
    <w:p w14:paraId="7EDF1BFB" w14:textId="77777777" w:rsidR="00F80D0A" w:rsidRPr="00787AB7" w:rsidRDefault="009A1A77" w:rsidP="00831345">
      <w:pPr>
        <w:pStyle w:val="Cmsor3"/>
        <w:tabs>
          <w:tab w:val="clear" w:pos="2007"/>
        </w:tabs>
        <w:ind w:left="0" w:firstLine="0"/>
        <w:rPr>
          <w:rFonts w:asciiTheme="minorHAnsi" w:hAnsiTheme="minorHAnsi" w:cstheme="minorHAnsi"/>
          <w:b w:val="0"/>
        </w:rPr>
      </w:pPr>
      <w:bookmarkStart w:id="191" w:name="_Toc443317949"/>
      <w:bookmarkStart w:id="192" w:name="_Toc465246422"/>
      <w:bookmarkStart w:id="193" w:name="_Toc512409662"/>
      <w:r w:rsidRPr="00787AB7">
        <w:rPr>
          <w:rFonts w:asciiTheme="minorHAnsi" w:hAnsiTheme="minorHAnsi" w:cstheme="minorHAnsi"/>
          <w:b w:val="0"/>
        </w:rPr>
        <w:t>9/a. sz. melléklet</w:t>
      </w:r>
      <w:r w:rsidRPr="00787AB7">
        <w:rPr>
          <w:rFonts w:asciiTheme="minorHAnsi" w:hAnsiTheme="minorHAnsi" w:cstheme="minorHAnsi"/>
          <w:b w:val="0"/>
        </w:rPr>
        <w:tab/>
        <w:t>Indokolt költségek ágazati bontása 2018. évre vonatkozóan</w:t>
      </w:r>
      <w:bookmarkEnd w:id="191"/>
      <w:bookmarkEnd w:id="192"/>
      <w:bookmarkEnd w:id="193"/>
    </w:p>
    <w:p w14:paraId="50417454" w14:textId="77777777" w:rsidR="009C7162" w:rsidRPr="00787AB7" w:rsidRDefault="009A1A77" w:rsidP="009C7162">
      <w:pPr>
        <w:pStyle w:val="Cmsor3"/>
        <w:tabs>
          <w:tab w:val="clear" w:pos="2007"/>
        </w:tabs>
        <w:ind w:left="0" w:firstLine="0"/>
        <w:rPr>
          <w:rFonts w:asciiTheme="minorHAnsi" w:hAnsiTheme="minorHAnsi" w:cstheme="minorHAnsi"/>
          <w:b w:val="0"/>
        </w:rPr>
      </w:pPr>
      <w:bookmarkStart w:id="194" w:name="_Toc512409663"/>
      <w:bookmarkStart w:id="195" w:name="_Toc443317950"/>
      <w:bookmarkStart w:id="196" w:name="_Toc465246423"/>
      <w:r w:rsidRPr="00787AB7">
        <w:rPr>
          <w:rFonts w:asciiTheme="minorHAnsi" w:hAnsiTheme="minorHAnsi" w:cstheme="minorHAnsi"/>
          <w:b w:val="0"/>
        </w:rPr>
        <w:t>9/b. sz. melléklet</w:t>
      </w:r>
      <w:r w:rsidRPr="00787AB7">
        <w:rPr>
          <w:rFonts w:asciiTheme="minorHAnsi" w:hAnsiTheme="minorHAnsi" w:cstheme="minorHAnsi"/>
          <w:b w:val="0"/>
        </w:rPr>
        <w:tab/>
        <w:t>Indokolt költségek havi bontása 2018. évre vonatkozóan</w:t>
      </w:r>
      <w:bookmarkEnd w:id="194"/>
    </w:p>
    <w:p w14:paraId="7A189600" w14:textId="3F2C4183" w:rsidR="00F80D0A" w:rsidRPr="00787AB7" w:rsidRDefault="0056603C" w:rsidP="00831345">
      <w:pPr>
        <w:pStyle w:val="Cmsor3"/>
        <w:tabs>
          <w:tab w:val="clear" w:pos="2007"/>
        </w:tabs>
        <w:ind w:left="0" w:firstLine="0"/>
        <w:rPr>
          <w:rFonts w:asciiTheme="minorHAnsi" w:hAnsiTheme="minorHAnsi" w:cstheme="minorHAnsi"/>
          <w:b w:val="0"/>
        </w:rPr>
      </w:pPr>
      <w:bookmarkStart w:id="197" w:name="_Toc443317951"/>
      <w:bookmarkStart w:id="198" w:name="_Toc465246424"/>
      <w:bookmarkStart w:id="199" w:name="_Toc512409664"/>
      <w:bookmarkEnd w:id="195"/>
      <w:bookmarkEnd w:id="196"/>
      <w:r>
        <w:rPr>
          <w:rFonts w:asciiTheme="minorHAnsi" w:hAnsiTheme="minorHAnsi" w:cstheme="minorHAnsi"/>
          <w:b w:val="0"/>
        </w:rPr>
        <w:t>10/a-c</w:t>
      </w:r>
      <w:r w:rsidR="009A1A77" w:rsidRPr="00787AB7">
        <w:rPr>
          <w:rFonts w:asciiTheme="minorHAnsi" w:hAnsiTheme="minorHAnsi" w:cstheme="minorHAnsi"/>
          <w:b w:val="0"/>
        </w:rPr>
        <w:t>. sz. melléklet</w:t>
      </w:r>
      <w:r>
        <w:rPr>
          <w:rFonts w:asciiTheme="minorHAnsi" w:hAnsiTheme="minorHAnsi" w:cstheme="minorHAnsi"/>
          <w:b w:val="0"/>
        </w:rPr>
        <w:tab/>
      </w:r>
      <w:r w:rsidR="009A1A77" w:rsidRPr="00787AB7">
        <w:rPr>
          <w:rFonts w:asciiTheme="minorHAnsi" w:hAnsiTheme="minorHAnsi" w:cstheme="minorHAnsi"/>
          <w:b w:val="0"/>
        </w:rPr>
        <w:t>Tervezési premisszák a BKV Zrt. 2018. évi Üzleti Tervéhez</w:t>
      </w:r>
      <w:bookmarkEnd w:id="197"/>
      <w:bookmarkEnd w:id="198"/>
      <w:bookmarkEnd w:id="199"/>
    </w:p>
    <w:p w14:paraId="1C3F75E3" w14:textId="77777777" w:rsidR="000A7F45" w:rsidRPr="00787AB7" w:rsidRDefault="009A1A77" w:rsidP="000A7F45">
      <w:pPr>
        <w:pStyle w:val="Cmsor3"/>
        <w:tabs>
          <w:tab w:val="clear" w:pos="2007"/>
        </w:tabs>
        <w:ind w:left="0" w:firstLine="0"/>
        <w:rPr>
          <w:rFonts w:asciiTheme="minorHAnsi" w:hAnsiTheme="minorHAnsi" w:cstheme="minorHAnsi"/>
          <w:b w:val="0"/>
        </w:rPr>
      </w:pPr>
      <w:bookmarkStart w:id="200" w:name="_Toc512409665"/>
      <w:r w:rsidRPr="00787AB7">
        <w:rPr>
          <w:rFonts w:asciiTheme="minorHAnsi" w:hAnsiTheme="minorHAnsi" w:cstheme="minorHAnsi"/>
          <w:b w:val="0"/>
        </w:rPr>
        <w:t>11. sz. melléklet</w:t>
      </w:r>
      <w:r w:rsidRPr="00787AB7">
        <w:rPr>
          <w:rFonts w:asciiTheme="minorHAnsi" w:hAnsiTheme="minorHAnsi" w:cstheme="minorHAnsi"/>
          <w:b w:val="0"/>
        </w:rPr>
        <w:tab/>
        <w:t>A BKV Zrt. Ingatlangazdálkodási terve</w:t>
      </w:r>
      <w:bookmarkEnd w:id="200"/>
    </w:p>
    <w:p w14:paraId="499A50EB" w14:textId="77777777" w:rsidR="00F80D0A" w:rsidRPr="006A4953" w:rsidRDefault="00F80D0A" w:rsidP="009C0D9F">
      <w:pPr>
        <w:jc w:val="both"/>
        <w:rPr>
          <w:rFonts w:asciiTheme="minorHAnsi" w:hAnsiTheme="minorHAnsi" w:cstheme="minorHAnsi"/>
        </w:rPr>
      </w:pPr>
    </w:p>
    <w:sectPr w:rsidR="00F80D0A" w:rsidRPr="006A4953" w:rsidSect="00F81709">
      <w:headerReference w:type="even" r:id="rId22"/>
      <w:headerReference w:type="default" r:id="rId23"/>
      <w:footerReference w:type="default" r:id="rId24"/>
      <w:pgSz w:w="11906" w:h="16838"/>
      <w:pgMar w:top="113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B63E8" w14:textId="77777777" w:rsidR="005A701A" w:rsidRDefault="005A701A">
      <w:r>
        <w:separator/>
      </w:r>
    </w:p>
  </w:endnote>
  <w:endnote w:type="continuationSeparator" w:id="0">
    <w:p w14:paraId="6A65E690" w14:textId="77777777" w:rsidR="005A701A" w:rsidRDefault="005A701A">
      <w:r>
        <w:continuationSeparator/>
      </w:r>
    </w:p>
  </w:endnote>
  <w:endnote w:type="continuationNotice" w:id="1">
    <w:p w14:paraId="7372E1EC" w14:textId="77777777" w:rsidR="005A701A" w:rsidRDefault="005A7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29BD" w14:textId="77777777" w:rsidR="00976F3D" w:rsidRPr="005C7624" w:rsidRDefault="00976F3D" w:rsidP="005145A4">
    <w:pPr>
      <w:pStyle w:val="llb"/>
      <w:pBdr>
        <w:top w:val="single" w:sz="4" w:space="1" w:color="auto"/>
      </w:pBdr>
      <w:tabs>
        <w:tab w:val="left" w:pos="1418"/>
      </w:tabs>
      <w:ind w:left="1400" w:hanging="1400"/>
      <w:rPr>
        <w:sz w:val="16"/>
        <w:szCs w:val="16"/>
      </w:rPr>
    </w:pPr>
    <w:r w:rsidRPr="005C7624">
      <w:rPr>
        <w:sz w:val="16"/>
        <w:szCs w:val="16"/>
      </w:rPr>
      <w:t>Tárgy:</w:t>
    </w:r>
    <w:r w:rsidRPr="005C7624">
      <w:rPr>
        <w:sz w:val="16"/>
        <w:szCs w:val="16"/>
      </w:rPr>
      <w:tab/>
    </w:r>
    <w:r>
      <w:rPr>
        <w:sz w:val="16"/>
        <w:szCs w:val="16"/>
      </w:rPr>
      <w:t>Az IT Pólus Kft. üzletrészének értékesítése</w:t>
    </w:r>
  </w:p>
  <w:p w14:paraId="019A06A4" w14:textId="77777777" w:rsidR="00976F3D" w:rsidRPr="005C7624" w:rsidRDefault="00976F3D" w:rsidP="005145A4">
    <w:pPr>
      <w:pStyle w:val="llb"/>
      <w:tabs>
        <w:tab w:val="left" w:pos="1418"/>
      </w:tabs>
      <w:rPr>
        <w:sz w:val="16"/>
        <w:szCs w:val="16"/>
      </w:rPr>
    </w:pPr>
    <w:r w:rsidRPr="005C7624">
      <w:rPr>
        <w:sz w:val="16"/>
        <w:szCs w:val="16"/>
      </w:rPr>
      <w:t>Készítette:</w:t>
    </w:r>
    <w:r w:rsidRPr="005C7624">
      <w:rPr>
        <w:sz w:val="16"/>
        <w:szCs w:val="16"/>
      </w:rPr>
      <w:tab/>
    </w:r>
    <w:r>
      <w:rPr>
        <w:sz w:val="16"/>
        <w:szCs w:val="16"/>
      </w:rPr>
      <w:t>Csontos Ákos, elemző közgazdász, Gazdasági igazgatóság, Társasági kontrolling osztály</w:t>
    </w:r>
  </w:p>
  <w:p w14:paraId="0CFD5FED" w14:textId="77777777" w:rsidR="00976F3D" w:rsidRPr="00305255" w:rsidRDefault="00976F3D" w:rsidP="005145A4">
    <w:pPr>
      <w:pStyle w:val="llb"/>
      <w:tabs>
        <w:tab w:val="left" w:pos="1418"/>
      </w:tabs>
      <w:rPr>
        <w:color w:val="FF0000"/>
      </w:rPr>
    </w:pPr>
    <w:r w:rsidRPr="005C7624">
      <w:rPr>
        <w:sz w:val="16"/>
        <w:szCs w:val="16"/>
      </w:rPr>
      <w:t>Készítés időpontja:</w:t>
    </w:r>
    <w:r>
      <w:rPr>
        <w:sz w:val="16"/>
        <w:szCs w:val="16"/>
      </w:rPr>
      <w:tab/>
      <w:t>2012. április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3C50" w14:textId="77777777" w:rsidR="00976F3D" w:rsidRPr="005A4732" w:rsidRDefault="00976F3D" w:rsidP="001A3B11">
    <w:pPr>
      <w:pStyle w:val="llb"/>
      <w:pBdr>
        <w:top w:val="single" w:sz="4" w:space="1" w:color="auto"/>
      </w:pBdr>
      <w:tabs>
        <w:tab w:val="left" w:pos="1418"/>
      </w:tabs>
      <w:rPr>
        <w:rFonts w:ascii="Calibri" w:hAnsi="Calibri" w:cs="Calibri"/>
        <w:sz w:val="16"/>
        <w:szCs w:val="16"/>
      </w:rPr>
    </w:pPr>
    <w:r w:rsidRPr="005A4732">
      <w:rPr>
        <w:rFonts w:ascii="Calibri" w:hAnsi="Calibri" w:cs="Calibri"/>
        <w:sz w:val="16"/>
        <w:szCs w:val="16"/>
      </w:rPr>
      <w:t>Tárgy:</w:t>
    </w:r>
    <w:r w:rsidRPr="005A4732">
      <w:rPr>
        <w:rFonts w:ascii="Calibri" w:hAnsi="Calibri" w:cs="Calibri"/>
        <w:sz w:val="16"/>
        <w:szCs w:val="16"/>
      </w:rPr>
      <w:tab/>
    </w:r>
    <w:r>
      <w:rPr>
        <w:rFonts w:ascii="Calibri" w:hAnsi="Calibri" w:cs="Calibri"/>
        <w:sz w:val="16"/>
        <w:szCs w:val="16"/>
      </w:rPr>
      <w:t>A BKV Zrt. 2018. évi Üzleti Terve</w:t>
    </w:r>
  </w:p>
  <w:p w14:paraId="00D7BD95" w14:textId="6C9194A7" w:rsidR="00976F3D" w:rsidRPr="00787AB7" w:rsidRDefault="00976F3D" w:rsidP="00AD64AD">
    <w:pPr>
      <w:pStyle w:val="llb"/>
      <w:pBdr>
        <w:top w:val="single" w:sz="4" w:space="1" w:color="auto"/>
      </w:pBdr>
      <w:tabs>
        <w:tab w:val="left" w:pos="1418"/>
      </w:tabs>
      <w:rPr>
        <w:rFonts w:ascii="Calibri" w:hAnsi="Calibri" w:cs="Calibri"/>
        <w:sz w:val="16"/>
        <w:szCs w:val="16"/>
      </w:rPr>
    </w:pPr>
    <w:r w:rsidRPr="005A4732">
      <w:rPr>
        <w:rFonts w:ascii="Calibri" w:hAnsi="Calibri" w:cs="Calibri"/>
        <w:sz w:val="16"/>
        <w:szCs w:val="16"/>
      </w:rPr>
      <w:t>Készítés időpontja:</w:t>
    </w:r>
    <w:r w:rsidRPr="005A4732">
      <w:rPr>
        <w:rFonts w:ascii="Calibri" w:hAnsi="Calibri" w:cs="Calibri"/>
        <w:sz w:val="16"/>
        <w:szCs w:val="16"/>
      </w:rPr>
      <w:tab/>
      <w:t>201</w:t>
    </w:r>
    <w:r>
      <w:rPr>
        <w:rFonts w:ascii="Calibri" w:hAnsi="Calibri" w:cs="Calibri"/>
        <w:sz w:val="16"/>
        <w:szCs w:val="16"/>
      </w:rPr>
      <w:t>8</w:t>
    </w:r>
    <w:r w:rsidRPr="005A4732">
      <w:rPr>
        <w:rFonts w:ascii="Calibri" w:hAnsi="Calibri" w:cs="Calibri"/>
        <w:sz w:val="16"/>
        <w:szCs w:val="16"/>
      </w:rPr>
      <w:t xml:space="preserve">. év </w:t>
    </w:r>
    <w:r w:rsidR="00B049C8">
      <w:rPr>
        <w:rFonts w:ascii="Calibri" w:hAnsi="Calibri" w:cs="Calibri"/>
        <w:sz w:val="16"/>
        <w:szCs w:val="16"/>
      </w:rPr>
      <w:t>május</w:t>
    </w:r>
    <w:r w:rsidRPr="001C398C">
      <w:rPr>
        <w:rFonts w:ascii="Calibri" w:hAnsi="Calibri" w:cs="Calibri"/>
        <w:sz w:val="16"/>
        <w:szCs w:val="16"/>
      </w:rPr>
      <w:t xml:space="preserve"> hónap </w:t>
    </w:r>
    <w:r w:rsidR="002663D1">
      <w:rPr>
        <w:rFonts w:ascii="Calibri" w:hAnsi="Calibri" w:cs="Calibri"/>
        <w:sz w:val="16"/>
        <w:szCs w:val="16"/>
      </w:rPr>
      <w:t>7</w:t>
    </w:r>
    <w:r w:rsidRPr="001C398C">
      <w:rPr>
        <w:rFonts w:ascii="Calibri" w:hAnsi="Calibri" w:cs="Calibri"/>
        <w:sz w:val="16"/>
        <w:szCs w:val="16"/>
      </w:rPr>
      <w:t>. napja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0F506" w14:textId="77777777" w:rsidR="005A701A" w:rsidRDefault="005A701A">
      <w:r>
        <w:separator/>
      </w:r>
    </w:p>
  </w:footnote>
  <w:footnote w:type="continuationSeparator" w:id="0">
    <w:p w14:paraId="0169893F" w14:textId="77777777" w:rsidR="005A701A" w:rsidRDefault="005A701A">
      <w:r>
        <w:continuationSeparator/>
      </w:r>
    </w:p>
  </w:footnote>
  <w:footnote w:type="continuationNotice" w:id="1">
    <w:p w14:paraId="78CA2318" w14:textId="77777777" w:rsidR="005A701A" w:rsidRDefault="005A70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7623" w14:textId="77777777" w:rsidR="00976F3D" w:rsidRPr="007260F7" w:rsidRDefault="00976F3D" w:rsidP="005145A4">
    <w:pPr>
      <w:pStyle w:val="lfej"/>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3133" w14:textId="77777777" w:rsidR="00976F3D" w:rsidRDefault="00976F3D" w:rsidP="005145A4">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1119" w14:textId="77777777" w:rsidR="00976F3D" w:rsidRDefault="00976F3D" w:rsidP="00EF0F7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2819D4F" w14:textId="77777777" w:rsidR="00976F3D" w:rsidRDefault="00976F3D">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80CD2" w14:textId="10C6D9A0" w:rsidR="00976F3D" w:rsidRPr="00503003" w:rsidRDefault="00976F3D">
    <w:pPr>
      <w:pStyle w:val="lfej"/>
      <w:jc w:val="center"/>
      <w:rPr>
        <w:rFonts w:asciiTheme="minorHAnsi" w:hAnsiTheme="minorHAnsi" w:cstheme="minorHAnsi"/>
      </w:rPr>
    </w:pPr>
    <w:r w:rsidRPr="00503003">
      <w:rPr>
        <w:rFonts w:asciiTheme="minorHAnsi" w:hAnsiTheme="minorHAnsi" w:cstheme="minorHAnsi"/>
        <w:bCs/>
        <w:szCs w:val="24"/>
      </w:rPr>
      <w:fldChar w:fldCharType="begin"/>
    </w:r>
    <w:r w:rsidRPr="00503003">
      <w:rPr>
        <w:rFonts w:asciiTheme="minorHAnsi" w:hAnsiTheme="minorHAnsi" w:cstheme="minorHAnsi"/>
        <w:bCs/>
      </w:rPr>
      <w:instrText>PAGE</w:instrText>
    </w:r>
    <w:r w:rsidRPr="00503003">
      <w:rPr>
        <w:rFonts w:asciiTheme="minorHAnsi" w:hAnsiTheme="minorHAnsi" w:cstheme="minorHAnsi"/>
        <w:bCs/>
        <w:szCs w:val="24"/>
      </w:rPr>
      <w:fldChar w:fldCharType="separate"/>
    </w:r>
    <w:r w:rsidR="00B049C8">
      <w:rPr>
        <w:rFonts w:asciiTheme="minorHAnsi" w:hAnsiTheme="minorHAnsi" w:cstheme="minorHAnsi"/>
        <w:bCs/>
        <w:noProof/>
      </w:rPr>
      <w:t>57</w:t>
    </w:r>
    <w:r w:rsidRPr="00503003">
      <w:rPr>
        <w:rFonts w:asciiTheme="minorHAnsi" w:hAnsiTheme="minorHAnsi" w:cstheme="minorHAnsi"/>
        <w:bCs/>
        <w:szCs w:val="24"/>
      </w:rPr>
      <w:fldChar w:fldCharType="end"/>
    </w:r>
    <w:r w:rsidRPr="00503003">
      <w:rPr>
        <w:rFonts w:asciiTheme="minorHAnsi" w:hAnsiTheme="minorHAnsi" w:cstheme="minorHAnsi"/>
      </w:rPr>
      <w:t xml:space="preserve"> / </w:t>
    </w:r>
    <w:r w:rsidRPr="00503003">
      <w:rPr>
        <w:rFonts w:asciiTheme="minorHAnsi" w:hAnsiTheme="minorHAnsi" w:cstheme="minorHAnsi"/>
        <w:bCs/>
        <w:szCs w:val="24"/>
      </w:rPr>
      <w:fldChar w:fldCharType="begin"/>
    </w:r>
    <w:r w:rsidRPr="00503003">
      <w:rPr>
        <w:rFonts w:asciiTheme="minorHAnsi" w:hAnsiTheme="minorHAnsi" w:cstheme="minorHAnsi"/>
        <w:bCs/>
      </w:rPr>
      <w:instrText>NUMPAGES</w:instrText>
    </w:r>
    <w:r w:rsidRPr="00503003">
      <w:rPr>
        <w:rFonts w:asciiTheme="minorHAnsi" w:hAnsiTheme="minorHAnsi" w:cstheme="minorHAnsi"/>
        <w:bCs/>
        <w:szCs w:val="24"/>
      </w:rPr>
      <w:fldChar w:fldCharType="separate"/>
    </w:r>
    <w:r w:rsidR="00B049C8">
      <w:rPr>
        <w:rFonts w:asciiTheme="minorHAnsi" w:hAnsiTheme="minorHAnsi" w:cstheme="minorHAnsi"/>
        <w:bCs/>
        <w:noProof/>
      </w:rPr>
      <w:t>59</w:t>
    </w:r>
    <w:r w:rsidRPr="00503003">
      <w:rPr>
        <w:rFonts w:asciiTheme="minorHAnsi" w:hAnsiTheme="minorHAnsi" w:cstheme="minorHAnsi"/>
        <w:bCs/>
        <w:szCs w:val="24"/>
      </w:rPr>
      <w:fldChar w:fldCharType="end"/>
    </w:r>
  </w:p>
  <w:p w14:paraId="3D70927B" w14:textId="77777777" w:rsidR="00976F3D" w:rsidRPr="007260F7" w:rsidRDefault="00976F3D" w:rsidP="00DF5272">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AC7"/>
    <w:multiLevelType w:val="hybridMultilevel"/>
    <w:tmpl w:val="61BAA356"/>
    <w:lvl w:ilvl="0" w:tplc="9BEC21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3E21ED"/>
    <w:multiLevelType w:val="hybridMultilevel"/>
    <w:tmpl w:val="5BD214D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15:restartNumberingAfterBreak="0">
    <w:nsid w:val="087A6678"/>
    <w:multiLevelType w:val="hybridMultilevel"/>
    <w:tmpl w:val="D2FA574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C9626E"/>
    <w:multiLevelType w:val="hybridMultilevel"/>
    <w:tmpl w:val="BA02708C"/>
    <w:lvl w:ilvl="0" w:tplc="BA5E2F58">
      <w:start w:val="123"/>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E524FE"/>
    <w:multiLevelType w:val="hybridMultilevel"/>
    <w:tmpl w:val="D6564FAC"/>
    <w:lvl w:ilvl="0" w:tplc="7C2C244E">
      <w:start w:val="1"/>
      <w:numFmt w:val="bullet"/>
      <w:lvlText w:val=""/>
      <w:lvlJc w:val="left"/>
      <w:pPr>
        <w:tabs>
          <w:tab w:val="num" w:pos="1058"/>
        </w:tabs>
        <w:ind w:left="1058" w:hanging="360"/>
      </w:pPr>
      <w:rPr>
        <w:rFonts w:ascii="Symbol" w:hAnsi="Symbol" w:hint="default"/>
        <w:color w:val="auto"/>
      </w:rPr>
    </w:lvl>
    <w:lvl w:ilvl="1" w:tplc="040E0003">
      <w:start w:val="1"/>
      <w:numFmt w:val="bullet"/>
      <w:lvlText w:val="o"/>
      <w:lvlJc w:val="left"/>
      <w:pPr>
        <w:tabs>
          <w:tab w:val="num" w:pos="660"/>
        </w:tabs>
        <w:ind w:left="660" w:hanging="360"/>
      </w:pPr>
      <w:rPr>
        <w:rFonts w:ascii="Courier New" w:hAnsi="Courier New" w:cs="Courier New" w:hint="default"/>
      </w:rPr>
    </w:lvl>
    <w:lvl w:ilvl="2" w:tplc="040E0005">
      <w:start w:val="1"/>
      <w:numFmt w:val="bullet"/>
      <w:lvlText w:val=""/>
      <w:lvlJc w:val="left"/>
      <w:pPr>
        <w:tabs>
          <w:tab w:val="num" w:pos="1380"/>
        </w:tabs>
        <w:ind w:left="1380" w:hanging="360"/>
      </w:pPr>
      <w:rPr>
        <w:rFonts w:ascii="Wingdings" w:hAnsi="Wingdings" w:hint="default"/>
      </w:rPr>
    </w:lvl>
    <w:lvl w:ilvl="3" w:tplc="040E0001" w:tentative="1">
      <w:start w:val="1"/>
      <w:numFmt w:val="bullet"/>
      <w:lvlText w:val=""/>
      <w:lvlJc w:val="left"/>
      <w:pPr>
        <w:tabs>
          <w:tab w:val="num" w:pos="2100"/>
        </w:tabs>
        <w:ind w:left="2100" w:hanging="360"/>
      </w:pPr>
      <w:rPr>
        <w:rFonts w:ascii="Symbol" w:hAnsi="Symbol" w:hint="default"/>
      </w:rPr>
    </w:lvl>
    <w:lvl w:ilvl="4" w:tplc="040E0003" w:tentative="1">
      <w:start w:val="1"/>
      <w:numFmt w:val="bullet"/>
      <w:lvlText w:val="o"/>
      <w:lvlJc w:val="left"/>
      <w:pPr>
        <w:tabs>
          <w:tab w:val="num" w:pos="2820"/>
        </w:tabs>
        <w:ind w:left="2820" w:hanging="360"/>
      </w:pPr>
      <w:rPr>
        <w:rFonts w:ascii="Courier New" w:hAnsi="Courier New" w:cs="Courier New" w:hint="default"/>
      </w:rPr>
    </w:lvl>
    <w:lvl w:ilvl="5" w:tplc="040E0005" w:tentative="1">
      <w:start w:val="1"/>
      <w:numFmt w:val="bullet"/>
      <w:lvlText w:val=""/>
      <w:lvlJc w:val="left"/>
      <w:pPr>
        <w:tabs>
          <w:tab w:val="num" w:pos="3540"/>
        </w:tabs>
        <w:ind w:left="3540" w:hanging="360"/>
      </w:pPr>
      <w:rPr>
        <w:rFonts w:ascii="Wingdings" w:hAnsi="Wingdings" w:hint="default"/>
      </w:rPr>
    </w:lvl>
    <w:lvl w:ilvl="6" w:tplc="040E0001" w:tentative="1">
      <w:start w:val="1"/>
      <w:numFmt w:val="bullet"/>
      <w:lvlText w:val=""/>
      <w:lvlJc w:val="left"/>
      <w:pPr>
        <w:tabs>
          <w:tab w:val="num" w:pos="4260"/>
        </w:tabs>
        <w:ind w:left="4260" w:hanging="360"/>
      </w:pPr>
      <w:rPr>
        <w:rFonts w:ascii="Symbol" w:hAnsi="Symbol" w:hint="default"/>
      </w:rPr>
    </w:lvl>
    <w:lvl w:ilvl="7" w:tplc="040E0003" w:tentative="1">
      <w:start w:val="1"/>
      <w:numFmt w:val="bullet"/>
      <w:lvlText w:val="o"/>
      <w:lvlJc w:val="left"/>
      <w:pPr>
        <w:tabs>
          <w:tab w:val="num" w:pos="4980"/>
        </w:tabs>
        <w:ind w:left="4980" w:hanging="360"/>
      </w:pPr>
      <w:rPr>
        <w:rFonts w:ascii="Courier New" w:hAnsi="Courier New" w:cs="Courier New" w:hint="default"/>
      </w:rPr>
    </w:lvl>
    <w:lvl w:ilvl="8" w:tplc="040E0005" w:tentative="1">
      <w:start w:val="1"/>
      <w:numFmt w:val="bullet"/>
      <w:lvlText w:val=""/>
      <w:lvlJc w:val="left"/>
      <w:pPr>
        <w:tabs>
          <w:tab w:val="num" w:pos="5700"/>
        </w:tabs>
        <w:ind w:left="5700" w:hanging="360"/>
      </w:pPr>
      <w:rPr>
        <w:rFonts w:ascii="Wingdings" w:hAnsi="Wingdings" w:hint="default"/>
      </w:rPr>
    </w:lvl>
  </w:abstractNum>
  <w:abstractNum w:abstractNumId="5" w15:restartNumberingAfterBreak="0">
    <w:nsid w:val="0E742D50"/>
    <w:multiLevelType w:val="hybridMultilevel"/>
    <w:tmpl w:val="474ED684"/>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 w15:restartNumberingAfterBreak="0">
    <w:nsid w:val="0EA2089B"/>
    <w:multiLevelType w:val="hybridMultilevel"/>
    <w:tmpl w:val="8DE655EC"/>
    <w:lvl w:ilvl="0" w:tplc="040E0001">
      <w:start w:val="1"/>
      <w:numFmt w:val="bullet"/>
      <w:lvlText w:val=""/>
      <w:lvlJc w:val="left"/>
      <w:pPr>
        <w:ind w:left="2702" w:hanging="360"/>
      </w:pPr>
      <w:rPr>
        <w:rFonts w:ascii="Symbol" w:hAnsi="Symbol" w:hint="default"/>
      </w:rPr>
    </w:lvl>
    <w:lvl w:ilvl="1" w:tplc="040E0003" w:tentative="1">
      <w:start w:val="1"/>
      <w:numFmt w:val="bullet"/>
      <w:lvlText w:val="o"/>
      <w:lvlJc w:val="left"/>
      <w:pPr>
        <w:ind w:left="3422" w:hanging="360"/>
      </w:pPr>
      <w:rPr>
        <w:rFonts w:ascii="Courier New" w:hAnsi="Courier New" w:cs="Courier New" w:hint="default"/>
      </w:rPr>
    </w:lvl>
    <w:lvl w:ilvl="2" w:tplc="040E0005" w:tentative="1">
      <w:start w:val="1"/>
      <w:numFmt w:val="bullet"/>
      <w:lvlText w:val=""/>
      <w:lvlJc w:val="left"/>
      <w:pPr>
        <w:ind w:left="4142" w:hanging="360"/>
      </w:pPr>
      <w:rPr>
        <w:rFonts w:ascii="Wingdings" w:hAnsi="Wingdings" w:hint="default"/>
      </w:rPr>
    </w:lvl>
    <w:lvl w:ilvl="3" w:tplc="040E0001" w:tentative="1">
      <w:start w:val="1"/>
      <w:numFmt w:val="bullet"/>
      <w:lvlText w:val=""/>
      <w:lvlJc w:val="left"/>
      <w:pPr>
        <w:ind w:left="4862" w:hanging="360"/>
      </w:pPr>
      <w:rPr>
        <w:rFonts w:ascii="Symbol" w:hAnsi="Symbol" w:hint="default"/>
      </w:rPr>
    </w:lvl>
    <w:lvl w:ilvl="4" w:tplc="040E0003" w:tentative="1">
      <w:start w:val="1"/>
      <w:numFmt w:val="bullet"/>
      <w:lvlText w:val="o"/>
      <w:lvlJc w:val="left"/>
      <w:pPr>
        <w:ind w:left="5582" w:hanging="360"/>
      </w:pPr>
      <w:rPr>
        <w:rFonts w:ascii="Courier New" w:hAnsi="Courier New" w:cs="Courier New" w:hint="default"/>
      </w:rPr>
    </w:lvl>
    <w:lvl w:ilvl="5" w:tplc="040E0005" w:tentative="1">
      <w:start w:val="1"/>
      <w:numFmt w:val="bullet"/>
      <w:lvlText w:val=""/>
      <w:lvlJc w:val="left"/>
      <w:pPr>
        <w:ind w:left="6302" w:hanging="360"/>
      </w:pPr>
      <w:rPr>
        <w:rFonts w:ascii="Wingdings" w:hAnsi="Wingdings" w:hint="default"/>
      </w:rPr>
    </w:lvl>
    <w:lvl w:ilvl="6" w:tplc="040E0001" w:tentative="1">
      <w:start w:val="1"/>
      <w:numFmt w:val="bullet"/>
      <w:lvlText w:val=""/>
      <w:lvlJc w:val="left"/>
      <w:pPr>
        <w:ind w:left="7022" w:hanging="360"/>
      </w:pPr>
      <w:rPr>
        <w:rFonts w:ascii="Symbol" w:hAnsi="Symbol" w:hint="default"/>
      </w:rPr>
    </w:lvl>
    <w:lvl w:ilvl="7" w:tplc="040E0003" w:tentative="1">
      <w:start w:val="1"/>
      <w:numFmt w:val="bullet"/>
      <w:lvlText w:val="o"/>
      <w:lvlJc w:val="left"/>
      <w:pPr>
        <w:ind w:left="7742" w:hanging="360"/>
      </w:pPr>
      <w:rPr>
        <w:rFonts w:ascii="Courier New" w:hAnsi="Courier New" w:cs="Courier New" w:hint="default"/>
      </w:rPr>
    </w:lvl>
    <w:lvl w:ilvl="8" w:tplc="040E0005" w:tentative="1">
      <w:start w:val="1"/>
      <w:numFmt w:val="bullet"/>
      <w:lvlText w:val=""/>
      <w:lvlJc w:val="left"/>
      <w:pPr>
        <w:ind w:left="8462" w:hanging="360"/>
      </w:pPr>
      <w:rPr>
        <w:rFonts w:ascii="Wingdings" w:hAnsi="Wingdings" w:hint="default"/>
      </w:rPr>
    </w:lvl>
  </w:abstractNum>
  <w:abstractNum w:abstractNumId="7" w15:restartNumberingAfterBreak="0">
    <w:nsid w:val="106473CD"/>
    <w:multiLevelType w:val="hybridMultilevel"/>
    <w:tmpl w:val="9CEA485A"/>
    <w:lvl w:ilvl="0" w:tplc="040E000D">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11AA48F6"/>
    <w:multiLevelType w:val="hybridMultilevel"/>
    <w:tmpl w:val="21064F5E"/>
    <w:lvl w:ilvl="0" w:tplc="7632DCB2">
      <w:start w:val="20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3214A6"/>
    <w:multiLevelType w:val="hybridMultilevel"/>
    <w:tmpl w:val="59B4DF4E"/>
    <w:lvl w:ilvl="0" w:tplc="00342CEA">
      <w:numFmt w:val="bullet"/>
      <w:lvlText w:val="·"/>
      <w:lvlJc w:val="left"/>
      <w:pPr>
        <w:ind w:left="960" w:hanging="60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A7C4D17"/>
    <w:multiLevelType w:val="hybridMultilevel"/>
    <w:tmpl w:val="62EA07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B0011A6"/>
    <w:multiLevelType w:val="hybridMultilevel"/>
    <w:tmpl w:val="62EA30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3F77F88"/>
    <w:multiLevelType w:val="hybridMultilevel"/>
    <w:tmpl w:val="A9B656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6996AE8"/>
    <w:multiLevelType w:val="multilevel"/>
    <w:tmpl w:val="AF861ACA"/>
    <w:lvl w:ilvl="0">
      <w:start w:val="1"/>
      <w:numFmt w:val="upp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73305"/>
    <w:multiLevelType w:val="hybridMultilevel"/>
    <w:tmpl w:val="FB964CD0"/>
    <w:lvl w:ilvl="0" w:tplc="F5C4F94E">
      <w:start w:val="1"/>
      <w:numFmt w:val="lowerLetter"/>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2D333F4A"/>
    <w:multiLevelType w:val="hybridMultilevel"/>
    <w:tmpl w:val="8DC67B10"/>
    <w:lvl w:ilvl="0" w:tplc="040E0001">
      <w:start w:val="1"/>
      <w:numFmt w:val="bullet"/>
      <w:lvlText w:val=""/>
      <w:lvlJc w:val="left"/>
      <w:pPr>
        <w:tabs>
          <w:tab w:val="num" w:pos="720"/>
        </w:tabs>
        <w:ind w:left="720" w:hanging="360"/>
      </w:pPr>
      <w:rPr>
        <w:rFonts w:ascii="Symbol" w:hAnsi="Symbol" w:hint="default"/>
        <w:color w:val="00000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B36C65"/>
    <w:multiLevelType w:val="hybridMultilevel"/>
    <w:tmpl w:val="7C9E19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19A11AB"/>
    <w:multiLevelType w:val="hybridMultilevel"/>
    <w:tmpl w:val="F092B65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2313838"/>
    <w:multiLevelType w:val="hybridMultilevel"/>
    <w:tmpl w:val="D7F08A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527BE1"/>
    <w:multiLevelType w:val="hybridMultilevel"/>
    <w:tmpl w:val="FEA0DCA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78117E6"/>
    <w:multiLevelType w:val="hybridMultilevel"/>
    <w:tmpl w:val="F8C68AB0"/>
    <w:lvl w:ilvl="0" w:tplc="040E0001">
      <w:start w:val="1"/>
      <w:numFmt w:val="bullet"/>
      <w:lvlText w:val=""/>
      <w:lvlJc w:val="left"/>
      <w:pPr>
        <w:ind w:left="960" w:hanging="60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BC063D6"/>
    <w:multiLevelType w:val="hybridMultilevel"/>
    <w:tmpl w:val="A940A82C"/>
    <w:lvl w:ilvl="0" w:tplc="040E0001">
      <w:start w:val="1"/>
      <w:numFmt w:val="bullet"/>
      <w:lvlText w:val=""/>
      <w:lvlJc w:val="left"/>
      <w:pPr>
        <w:ind w:left="1135" w:hanging="360"/>
      </w:pPr>
      <w:rPr>
        <w:rFonts w:ascii="Symbol" w:hAnsi="Symbol" w:hint="default"/>
      </w:rPr>
    </w:lvl>
    <w:lvl w:ilvl="1" w:tplc="040E0003" w:tentative="1">
      <w:start w:val="1"/>
      <w:numFmt w:val="bullet"/>
      <w:lvlText w:val="o"/>
      <w:lvlJc w:val="left"/>
      <w:pPr>
        <w:ind w:left="1855" w:hanging="360"/>
      </w:pPr>
      <w:rPr>
        <w:rFonts w:ascii="Courier New" w:hAnsi="Courier New" w:cs="Courier New" w:hint="default"/>
      </w:rPr>
    </w:lvl>
    <w:lvl w:ilvl="2" w:tplc="040E0005" w:tentative="1">
      <w:start w:val="1"/>
      <w:numFmt w:val="bullet"/>
      <w:lvlText w:val=""/>
      <w:lvlJc w:val="left"/>
      <w:pPr>
        <w:ind w:left="2575" w:hanging="360"/>
      </w:pPr>
      <w:rPr>
        <w:rFonts w:ascii="Wingdings" w:hAnsi="Wingdings" w:hint="default"/>
      </w:rPr>
    </w:lvl>
    <w:lvl w:ilvl="3" w:tplc="040E0001" w:tentative="1">
      <w:start w:val="1"/>
      <w:numFmt w:val="bullet"/>
      <w:lvlText w:val=""/>
      <w:lvlJc w:val="left"/>
      <w:pPr>
        <w:ind w:left="3295" w:hanging="360"/>
      </w:pPr>
      <w:rPr>
        <w:rFonts w:ascii="Symbol" w:hAnsi="Symbol" w:hint="default"/>
      </w:rPr>
    </w:lvl>
    <w:lvl w:ilvl="4" w:tplc="040E0003" w:tentative="1">
      <w:start w:val="1"/>
      <w:numFmt w:val="bullet"/>
      <w:lvlText w:val="o"/>
      <w:lvlJc w:val="left"/>
      <w:pPr>
        <w:ind w:left="4015" w:hanging="360"/>
      </w:pPr>
      <w:rPr>
        <w:rFonts w:ascii="Courier New" w:hAnsi="Courier New" w:cs="Courier New" w:hint="default"/>
      </w:rPr>
    </w:lvl>
    <w:lvl w:ilvl="5" w:tplc="040E0005" w:tentative="1">
      <w:start w:val="1"/>
      <w:numFmt w:val="bullet"/>
      <w:lvlText w:val=""/>
      <w:lvlJc w:val="left"/>
      <w:pPr>
        <w:ind w:left="4735" w:hanging="360"/>
      </w:pPr>
      <w:rPr>
        <w:rFonts w:ascii="Wingdings" w:hAnsi="Wingdings" w:hint="default"/>
      </w:rPr>
    </w:lvl>
    <w:lvl w:ilvl="6" w:tplc="040E0001" w:tentative="1">
      <w:start w:val="1"/>
      <w:numFmt w:val="bullet"/>
      <w:lvlText w:val=""/>
      <w:lvlJc w:val="left"/>
      <w:pPr>
        <w:ind w:left="5455" w:hanging="360"/>
      </w:pPr>
      <w:rPr>
        <w:rFonts w:ascii="Symbol" w:hAnsi="Symbol" w:hint="default"/>
      </w:rPr>
    </w:lvl>
    <w:lvl w:ilvl="7" w:tplc="040E0003" w:tentative="1">
      <w:start w:val="1"/>
      <w:numFmt w:val="bullet"/>
      <w:lvlText w:val="o"/>
      <w:lvlJc w:val="left"/>
      <w:pPr>
        <w:ind w:left="6175" w:hanging="360"/>
      </w:pPr>
      <w:rPr>
        <w:rFonts w:ascii="Courier New" w:hAnsi="Courier New" w:cs="Courier New" w:hint="default"/>
      </w:rPr>
    </w:lvl>
    <w:lvl w:ilvl="8" w:tplc="040E0005" w:tentative="1">
      <w:start w:val="1"/>
      <w:numFmt w:val="bullet"/>
      <w:lvlText w:val=""/>
      <w:lvlJc w:val="left"/>
      <w:pPr>
        <w:ind w:left="6895" w:hanging="360"/>
      </w:pPr>
      <w:rPr>
        <w:rFonts w:ascii="Wingdings" w:hAnsi="Wingdings" w:hint="default"/>
      </w:rPr>
    </w:lvl>
  </w:abstractNum>
  <w:abstractNum w:abstractNumId="22" w15:restartNumberingAfterBreak="0">
    <w:nsid w:val="3C0F52DC"/>
    <w:multiLevelType w:val="hybridMultilevel"/>
    <w:tmpl w:val="2B5A7AC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4344A14"/>
    <w:multiLevelType w:val="hybridMultilevel"/>
    <w:tmpl w:val="58263BD0"/>
    <w:lvl w:ilvl="0" w:tplc="3642139A">
      <w:start w:val="123"/>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47740CC"/>
    <w:multiLevelType w:val="multilevel"/>
    <w:tmpl w:val="727429AA"/>
    <w:styleLink w:val="Cikkelyrsz"/>
    <w:lvl w:ilvl="0">
      <w:start w:val="1"/>
      <w:numFmt w:val="upperRoman"/>
      <w:lvlText w:val="%1."/>
      <w:lvlJc w:val="left"/>
      <w:pPr>
        <w:tabs>
          <w:tab w:val="num" w:pos="999"/>
        </w:tabs>
        <w:ind w:left="999" w:hanging="432"/>
      </w:pPr>
      <w:rPr>
        <w:rFonts w:cs="Times New Roman" w:hint="default"/>
      </w:rPr>
    </w:lvl>
    <w:lvl w:ilvl="1">
      <w:start w:val="1"/>
      <w:numFmt w:val="decimal"/>
      <w:lvlText w:val="%2."/>
      <w:lvlJc w:val="left"/>
      <w:pPr>
        <w:tabs>
          <w:tab w:val="num" w:pos="1143"/>
        </w:tabs>
        <w:ind w:left="1143" w:hanging="576"/>
      </w:pPr>
      <w:rPr>
        <w:rFonts w:cs="Times New Roman" w:hint="default"/>
      </w:rPr>
    </w:lvl>
    <w:lvl w:ilvl="2">
      <w:start w:val="1"/>
      <w:numFmt w:val="lowerLetter"/>
      <w:lvlText w:val="%3)"/>
      <w:lvlJc w:val="left"/>
      <w:pPr>
        <w:tabs>
          <w:tab w:val="num" w:pos="2007"/>
        </w:tabs>
        <w:ind w:left="2007" w:hanging="720"/>
      </w:pPr>
      <w:rPr>
        <w:rFonts w:cs="Times New Roman" w:hint="default"/>
      </w:rPr>
    </w:lvl>
    <w:lvl w:ilvl="3">
      <w:start w:val="1"/>
      <w:numFmt w:val="decimal"/>
      <w:lvlText w:val="%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25" w15:restartNumberingAfterBreak="0">
    <w:nsid w:val="469D4793"/>
    <w:multiLevelType w:val="hybridMultilevel"/>
    <w:tmpl w:val="F092B65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75B3203"/>
    <w:multiLevelType w:val="multilevel"/>
    <w:tmpl w:val="D7C8A714"/>
    <w:name w:val="PBTOC342222"/>
    <w:lvl w:ilvl="0">
      <w:start w:val="1"/>
      <w:numFmt w:val="none"/>
      <w:pStyle w:val="PBDocTxt"/>
      <w:suff w:val="nothing"/>
      <w:lvlText w:val=""/>
      <w:lvlJc w:val="left"/>
      <w:pPr>
        <w:tabs>
          <w:tab w:val="num" w:pos="1440"/>
        </w:tabs>
        <w:ind w:left="1440" w:hanging="360"/>
      </w:pPr>
      <w:rPr>
        <w:rFonts w:cs="Times New Roman"/>
      </w:rPr>
    </w:lvl>
    <w:lvl w:ilvl="1">
      <w:start w:val="1"/>
      <w:numFmt w:val="none"/>
      <w:pStyle w:val="PBDocTxtL1"/>
      <w:suff w:val="nothing"/>
      <w:lvlText w:val=""/>
      <w:lvlJc w:val="left"/>
      <w:pPr>
        <w:ind w:left="1800"/>
      </w:pPr>
      <w:rPr>
        <w:rFonts w:cs="Times New Roman"/>
      </w:rPr>
    </w:lvl>
    <w:lvl w:ilvl="2">
      <w:start w:val="1"/>
      <w:numFmt w:val="none"/>
      <w:pStyle w:val="PBDocTxtL2"/>
      <w:suff w:val="nothing"/>
      <w:lvlText w:val=""/>
      <w:lvlJc w:val="left"/>
      <w:pPr>
        <w:ind w:left="2160"/>
      </w:pPr>
      <w:rPr>
        <w:rFonts w:cs="Times New Roman"/>
      </w:rPr>
    </w:lvl>
    <w:lvl w:ilvl="3">
      <w:start w:val="1"/>
      <w:numFmt w:val="none"/>
      <w:pStyle w:val="PBDocTxtL3"/>
      <w:suff w:val="nothing"/>
      <w:lvlText w:val=""/>
      <w:lvlJc w:val="left"/>
      <w:pPr>
        <w:ind w:left="2520"/>
      </w:pPr>
      <w:rPr>
        <w:rFonts w:cs="Times New Roman"/>
      </w:rPr>
    </w:lvl>
    <w:lvl w:ilvl="4">
      <w:start w:val="1"/>
      <w:numFmt w:val="none"/>
      <w:pStyle w:val="PBDocTxtL4"/>
      <w:suff w:val="nothing"/>
      <w:lvlText w:val=""/>
      <w:lvlJc w:val="left"/>
      <w:pPr>
        <w:ind w:left="2880"/>
      </w:pPr>
      <w:rPr>
        <w:rFonts w:cs="Times New Roman"/>
      </w:rPr>
    </w:lvl>
    <w:lvl w:ilvl="5">
      <w:start w:val="1"/>
      <w:numFmt w:val="none"/>
      <w:pStyle w:val="PBDocTxtL5"/>
      <w:suff w:val="nothing"/>
      <w:lvlText w:val=""/>
      <w:lvlJc w:val="left"/>
      <w:pPr>
        <w:ind w:left="3240"/>
      </w:pPr>
      <w:rPr>
        <w:rFonts w:cs="Times New Roman"/>
      </w:rPr>
    </w:lvl>
    <w:lvl w:ilvl="6">
      <w:start w:val="1"/>
      <w:numFmt w:val="none"/>
      <w:pStyle w:val="PBDocTxtL6"/>
      <w:suff w:val="nothing"/>
      <w:lvlText w:val=""/>
      <w:lvlJc w:val="left"/>
      <w:pPr>
        <w:ind w:left="3600"/>
      </w:pPr>
      <w:rPr>
        <w:rFonts w:cs="Times New Roman"/>
      </w:rPr>
    </w:lvl>
    <w:lvl w:ilvl="7">
      <w:start w:val="1"/>
      <w:numFmt w:val="none"/>
      <w:pStyle w:val="PBDocTxtL7"/>
      <w:suff w:val="nothing"/>
      <w:lvlText w:val=""/>
      <w:lvlJc w:val="left"/>
      <w:pPr>
        <w:ind w:left="3960"/>
      </w:pPr>
      <w:rPr>
        <w:rFonts w:cs="Times New Roman"/>
      </w:rPr>
    </w:lvl>
    <w:lvl w:ilvl="8">
      <w:start w:val="1"/>
      <w:numFmt w:val="none"/>
      <w:pStyle w:val="PBDocTxtL8"/>
      <w:suff w:val="nothing"/>
      <w:lvlText w:val=""/>
      <w:lvlJc w:val="left"/>
      <w:pPr>
        <w:ind w:left="6840"/>
      </w:pPr>
      <w:rPr>
        <w:rFonts w:cs="Times New Roman"/>
      </w:rPr>
    </w:lvl>
  </w:abstractNum>
  <w:abstractNum w:abstractNumId="27" w15:restartNumberingAfterBreak="0">
    <w:nsid w:val="47A541A1"/>
    <w:multiLevelType w:val="hybridMultilevel"/>
    <w:tmpl w:val="F3DCF472"/>
    <w:lvl w:ilvl="0" w:tplc="EFD2D3EE">
      <w:start w:val="1"/>
      <w:numFmt w:val="decimal"/>
      <w:lvlText w:val="%1."/>
      <w:lvlJc w:val="left"/>
      <w:pPr>
        <w:ind w:left="720" w:hanging="360"/>
      </w:pPr>
      <w:rPr>
        <w:rFonts w:ascii="Calibri" w:hAnsi="Calibri" w:cs="Times New Roman"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8B04E8A"/>
    <w:multiLevelType w:val="hybridMultilevel"/>
    <w:tmpl w:val="9EF491DE"/>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29" w15:restartNumberingAfterBreak="0">
    <w:nsid w:val="49200EB1"/>
    <w:multiLevelType w:val="hybridMultilevel"/>
    <w:tmpl w:val="969079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E58564C"/>
    <w:multiLevelType w:val="hybridMultilevel"/>
    <w:tmpl w:val="D8722734"/>
    <w:lvl w:ilvl="0" w:tplc="AD5EA4EE">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0F20FC1"/>
    <w:multiLevelType w:val="hybridMultilevel"/>
    <w:tmpl w:val="188E5F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20C5AB7"/>
    <w:multiLevelType w:val="hybridMultilevel"/>
    <w:tmpl w:val="B94295C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24F5F29"/>
    <w:multiLevelType w:val="hybridMultilevel"/>
    <w:tmpl w:val="E9B0BF0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53082B71"/>
    <w:multiLevelType w:val="hybridMultilevel"/>
    <w:tmpl w:val="B6F09B00"/>
    <w:lvl w:ilvl="0" w:tplc="040E0003">
      <w:start w:val="1"/>
      <w:numFmt w:val="bullet"/>
      <w:lvlText w:val="o"/>
      <w:lvlJc w:val="left"/>
      <w:pPr>
        <w:ind w:left="1429" w:hanging="360"/>
      </w:pPr>
      <w:rPr>
        <w:rFonts w:ascii="Courier New" w:hAnsi="Courier New" w:cs="Courier New"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5" w15:restartNumberingAfterBreak="0">
    <w:nsid w:val="55BA78DC"/>
    <w:multiLevelType w:val="multilevel"/>
    <w:tmpl w:val="0FEE9DE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9E32B5"/>
    <w:multiLevelType w:val="hybridMultilevel"/>
    <w:tmpl w:val="80B41336"/>
    <w:lvl w:ilvl="0" w:tplc="CE284E2C">
      <w:numFmt w:val="bullet"/>
      <w:lvlText w:val="-"/>
      <w:lvlJc w:val="left"/>
      <w:pPr>
        <w:ind w:left="720" w:hanging="360"/>
      </w:pPr>
      <w:rPr>
        <w:rFonts w:ascii="Calibri" w:eastAsia="Times New Roman" w:hAnsi="Calibri"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82C4EA2"/>
    <w:multiLevelType w:val="hybridMultilevel"/>
    <w:tmpl w:val="91806C5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CD52E2"/>
    <w:multiLevelType w:val="hybridMultilevel"/>
    <w:tmpl w:val="7962311A"/>
    <w:lvl w:ilvl="0" w:tplc="13282500">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02A"/>
    <w:multiLevelType w:val="hybridMultilevel"/>
    <w:tmpl w:val="223E27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418420A"/>
    <w:multiLevelType w:val="hybridMultilevel"/>
    <w:tmpl w:val="9D9AAF2C"/>
    <w:lvl w:ilvl="0" w:tplc="0C2E7E96">
      <w:start w:val="1"/>
      <w:numFmt w:val="bullet"/>
      <w:lvlText w:val=""/>
      <w:lvlJc w:val="left"/>
      <w:pPr>
        <w:tabs>
          <w:tab w:val="num" w:pos="720"/>
        </w:tabs>
        <w:ind w:left="720" w:hanging="360"/>
      </w:pPr>
      <w:rPr>
        <w:rFonts w:ascii="Symbol" w:hAnsi="Symbol" w:hint="default"/>
        <w:color w:val="00000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823BC3"/>
    <w:multiLevelType w:val="hybridMultilevel"/>
    <w:tmpl w:val="BF1C3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81D5F5A"/>
    <w:multiLevelType w:val="hybridMultilevel"/>
    <w:tmpl w:val="B3821D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8BD5A36"/>
    <w:multiLevelType w:val="hybridMultilevel"/>
    <w:tmpl w:val="144CE57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4" w15:restartNumberingAfterBreak="0">
    <w:nsid w:val="731D5F33"/>
    <w:multiLevelType w:val="hybridMultilevel"/>
    <w:tmpl w:val="0BFAEA4E"/>
    <w:lvl w:ilvl="0" w:tplc="75D63120">
      <w:start w:val="1"/>
      <w:numFmt w:val="decimal"/>
      <w:lvlText w:val="%1."/>
      <w:lvlJc w:val="left"/>
      <w:pPr>
        <w:ind w:left="720" w:hanging="360"/>
      </w:pPr>
      <w:rPr>
        <w:rFonts w:ascii="Calibri" w:eastAsia="Times New Roman" w:hAnsi="Calibri" w:cs="Calibri"/>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42D23CB"/>
    <w:multiLevelType w:val="hybridMultilevel"/>
    <w:tmpl w:val="30B86C0C"/>
    <w:lvl w:ilvl="0" w:tplc="8A044252">
      <w:start w:val="1"/>
      <w:numFmt w:val="decimal"/>
      <w:lvlText w:val="%1."/>
      <w:lvlJc w:val="left"/>
      <w:pPr>
        <w:ind w:left="786" w:hanging="36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A6839CE"/>
    <w:multiLevelType w:val="hybridMultilevel"/>
    <w:tmpl w:val="80C0E6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BA94CAC"/>
    <w:multiLevelType w:val="hybridMultilevel"/>
    <w:tmpl w:val="61F8FE3C"/>
    <w:lvl w:ilvl="0" w:tplc="040E0001">
      <w:start w:val="1"/>
      <w:numFmt w:val="bullet"/>
      <w:lvlText w:val=""/>
      <w:lvlJc w:val="left"/>
      <w:pPr>
        <w:tabs>
          <w:tab w:val="num" w:pos="1647"/>
        </w:tabs>
        <w:ind w:left="1647" w:hanging="567"/>
      </w:pPr>
      <w:rPr>
        <w:rFonts w:ascii="Symbol" w:hAnsi="Symbol" w:hint="default"/>
      </w:rPr>
    </w:lvl>
    <w:lvl w:ilvl="1" w:tplc="040E000F">
      <w:start w:val="1"/>
      <w:numFmt w:val="decimal"/>
      <w:lvlText w:val="%2."/>
      <w:lvlJc w:val="left"/>
      <w:pPr>
        <w:tabs>
          <w:tab w:val="num" w:pos="1501"/>
        </w:tabs>
        <w:ind w:left="1501" w:hanging="421"/>
      </w:pPr>
      <w:rPr>
        <w:rFonts w:hint="default"/>
      </w:r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48" w15:restartNumberingAfterBreak="0">
    <w:nsid w:val="7BD57505"/>
    <w:multiLevelType w:val="hybridMultilevel"/>
    <w:tmpl w:val="2794C7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ED876DC"/>
    <w:multiLevelType w:val="hybridMultilevel"/>
    <w:tmpl w:val="2A9AB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
  </w:num>
  <w:num w:numId="5">
    <w:abstractNumId w:val="35"/>
  </w:num>
  <w:num w:numId="6">
    <w:abstractNumId w:val="11"/>
  </w:num>
  <w:num w:numId="7">
    <w:abstractNumId w:val="1"/>
  </w:num>
  <w:num w:numId="8">
    <w:abstractNumId w:val="15"/>
  </w:num>
  <w:num w:numId="9">
    <w:abstractNumId w:val="45"/>
  </w:num>
  <w:num w:numId="10">
    <w:abstractNumId w:val="43"/>
  </w:num>
  <w:num w:numId="11">
    <w:abstractNumId w:val="2"/>
  </w:num>
  <w:num w:numId="12">
    <w:abstractNumId w:val="36"/>
  </w:num>
  <w:num w:numId="13">
    <w:abstractNumId w:val="41"/>
  </w:num>
  <w:num w:numId="14">
    <w:abstractNumId w:val="31"/>
  </w:num>
  <w:num w:numId="15">
    <w:abstractNumId w:val="48"/>
  </w:num>
  <w:num w:numId="16">
    <w:abstractNumId w:val="38"/>
  </w:num>
  <w:num w:numId="17">
    <w:abstractNumId w:val="13"/>
  </w:num>
  <w:num w:numId="18">
    <w:abstractNumId w:val="18"/>
  </w:num>
  <w:num w:numId="19">
    <w:abstractNumId w:val="42"/>
  </w:num>
  <w:num w:numId="20">
    <w:abstractNumId w:val="5"/>
  </w:num>
  <w:num w:numId="21">
    <w:abstractNumId w:val="39"/>
  </w:num>
  <w:num w:numId="22">
    <w:abstractNumId w:val="0"/>
  </w:num>
  <w:num w:numId="23">
    <w:abstractNumId w:val="17"/>
  </w:num>
  <w:num w:numId="24">
    <w:abstractNumId w:val="33"/>
  </w:num>
  <w:num w:numId="25">
    <w:abstractNumId w:val="16"/>
  </w:num>
  <w:num w:numId="26">
    <w:abstractNumId w:val="29"/>
  </w:num>
  <w:num w:numId="27">
    <w:abstractNumId w:val="12"/>
  </w:num>
  <w:num w:numId="28">
    <w:abstractNumId w:val="28"/>
  </w:num>
  <w:num w:numId="29">
    <w:abstractNumId w:val="8"/>
  </w:num>
  <w:num w:numId="30">
    <w:abstractNumId w:val="40"/>
  </w:num>
  <w:num w:numId="31">
    <w:abstractNumId w:val="19"/>
  </w:num>
  <w:num w:numId="32">
    <w:abstractNumId w:val="47"/>
  </w:num>
  <w:num w:numId="33">
    <w:abstractNumId w:val="14"/>
  </w:num>
  <w:num w:numId="34">
    <w:abstractNumId w:val="27"/>
  </w:num>
  <w:num w:numId="35">
    <w:abstractNumId w:val="32"/>
  </w:num>
  <w:num w:numId="36">
    <w:abstractNumId w:val="7"/>
  </w:num>
  <w:num w:numId="37">
    <w:abstractNumId w:val="22"/>
  </w:num>
  <w:num w:numId="38">
    <w:abstractNumId w:val="49"/>
  </w:num>
  <w:num w:numId="39">
    <w:abstractNumId w:val="9"/>
  </w:num>
  <w:num w:numId="40">
    <w:abstractNumId w:val="20"/>
  </w:num>
  <w:num w:numId="41">
    <w:abstractNumId w:val="44"/>
  </w:num>
  <w:num w:numId="42">
    <w:abstractNumId w:val="6"/>
  </w:num>
  <w:num w:numId="43">
    <w:abstractNumId w:val="21"/>
  </w:num>
  <w:num w:numId="44">
    <w:abstractNumId w:val="25"/>
  </w:num>
  <w:num w:numId="45">
    <w:abstractNumId w:val="10"/>
  </w:num>
  <w:num w:numId="46">
    <w:abstractNumId w:val="34"/>
  </w:num>
  <w:num w:numId="47">
    <w:abstractNumId w:val="46"/>
  </w:num>
  <w:num w:numId="48">
    <w:abstractNumId w:val="23"/>
  </w:num>
  <w:num w:numId="49">
    <w:abstractNumId w:val="3"/>
  </w:num>
  <w:num w:numId="50">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4B"/>
    <w:rsid w:val="00000620"/>
    <w:rsid w:val="0000077C"/>
    <w:rsid w:val="000008A0"/>
    <w:rsid w:val="00000EDD"/>
    <w:rsid w:val="000012AC"/>
    <w:rsid w:val="00001A04"/>
    <w:rsid w:val="0000287C"/>
    <w:rsid w:val="00002BBE"/>
    <w:rsid w:val="00003146"/>
    <w:rsid w:val="00003CC9"/>
    <w:rsid w:val="00004093"/>
    <w:rsid w:val="00004552"/>
    <w:rsid w:val="00004788"/>
    <w:rsid w:val="0000488A"/>
    <w:rsid w:val="0000491C"/>
    <w:rsid w:val="0000494D"/>
    <w:rsid w:val="00004A92"/>
    <w:rsid w:val="00004B97"/>
    <w:rsid w:val="00004FE8"/>
    <w:rsid w:val="00005C26"/>
    <w:rsid w:val="00005DF8"/>
    <w:rsid w:val="00006832"/>
    <w:rsid w:val="000068E6"/>
    <w:rsid w:val="00006D6B"/>
    <w:rsid w:val="000072F5"/>
    <w:rsid w:val="00007412"/>
    <w:rsid w:val="000100DD"/>
    <w:rsid w:val="00010595"/>
    <w:rsid w:val="00010853"/>
    <w:rsid w:val="00010CA0"/>
    <w:rsid w:val="00010F88"/>
    <w:rsid w:val="00011317"/>
    <w:rsid w:val="00012160"/>
    <w:rsid w:val="0001229D"/>
    <w:rsid w:val="0001238C"/>
    <w:rsid w:val="000124C0"/>
    <w:rsid w:val="0001254D"/>
    <w:rsid w:val="0001262E"/>
    <w:rsid w:val="0001270F"/>
    <w:rsid w:val="00012A54"/>
    <w:rsid w:val="00013705"/>
    <w:rsid w:val="0001374C"/>
    <w:rsid w:val="00013800"/>
    <w:rsid w:val="00013872"/>
    <w:rsid w:val="00013947"/>
    <w:rsid w:val="00014D1B"/>
    <w:rsid w:val="00014D34"/>
    <w:rsid w:val="000156E4"/>
    <w:rsid w:val="00015723"/>
    <w:rsid w:val="00015957"/>
    <w:rsid w:val="00016285"/>
    <w:rsid w:val="00016B61"/>
    <w:rsid w:val="00016CEF"/>
    <w:rsid w:val="00017283"/>
    <w:rsid w:val="00017CBB"/>
    <w:rsid w:val="00017F19"/>
    <w:rsid w:val="0002025A"/>
    <w:rsid w:val="00020995"/>
    <w:rsid w:val="00020A2D"/>
    <w:rsid w:val="00020D33"/>
    <w:rsid w:val="00020DF0"/>
    <w:rsid w:val="00021573"/>
    <w:rsid w:val="0002186C"/>
    <w:rsid w:val="00021CBC"/>
    <w:rsid w:val="00022352"/>
    <w:rsid w:val="00022416"/>
    <w:rsid w:val="00022ABB"/>
    <w:rsid w:val="000232FD"/>
    <w:rsid w:val="00023E26"/>
    <w:rsid w:val="0002418A"/>
    <w:rsid w:val="00024747"/>
    <w:rsid w:val="00024E24"/>
    <w:rsid w:val="00026426"/>
    <w:rsid w:val="0002706D"/>
    <w:rsid w:val="00027167"/>
    <w:rsid w:val="00027641"/>
    <w:rsid w:val="0002769F"/>
    <w:rsid w:val="00031511"/>
    <w:rsid w:val="000317B2"/>
    <w:rsid w:val="00031C38"/>
    <w:rsid w:val="00031DD0"/>
    <w:rsid w:val="00031ED7"/>
    <w:rsid w:val="00032BBD"/>
    <w:rsid w:val="00032FD7"/>
    <w:rsid w:val="00034920"/>
    <w:rsid w:val="00034FF9"/>
    <w:rsid w:val="00035661"/>
    <w:rsid w:val="00035C99"/>
    <w:rsid w:val="00035D43"/>
    <w:rsid w:val="000361AD"/>
    <w:rsid w:val="00036562"/>
    <w:rsid w:val="00036C8D"/>
    <w:rsid w:val="000370EA"/>
    <w:rsid w:val="00037860"/>
    <w:rsid w:val="00037961"/>
    <w:rsid w:val="00037C81"/>
    <w:rsid w:val="00040377"/>
    <w:rsid w:val="0004039D"/>
    <w:rsid w:val="000403DF"/>
    <w:rsid w:val="00040C47"/>
    <w:rsid w:val="00041134"/>
    <w:rsid w:val="0004113F"/>
    <w:rsid w:val="00041169"/>
    <w:rsid w:val="000416DD"/>
    <w:rsid w:val="000417D3"/>
    <w:rsid w:val="00041C53"/>
    <w:rsid w:val="000425A0"/>
    <w:rsid w:val="00042C3B"/>
    <w:rsid w:val="00043380"/>
    <w:rsid w:val="0004361C"/>
    <w:rsid w:val="00043692"/>
    <w:rsid w:val="00043743"/>
    <w:rsid w:val="000438A8"/>
    <w:rsid w:val="00044534"/>
    <w:rsid w:val="00044A7E"/>
    <w:rsid w:val="00044D7D"/>
    <w:rsid w:val="00044EC8"/>
    <w:rsid w:val="00044FC2"/>
    <w:rsid w:val="0004532C"/>
    <w:rsid w:val="0004596F"/>
    <w:rsid w:val="00045A60"/>
    <w:rsid w:val="00045F45"/>
    <w:rsid w:val="00046A4C"/>
    <w:rsid w:val="000471EC"/>
    <w:rsid w:val="00047435"/>
    <w:rsid w:val="00047731"/>
    <w:rsid w:val="00047AC1"/>
    <w:rsid w:val="00047BA1"/>
    <w:rsid w:val="00047EE1"/>
    <w:rsid w:val="00050296"/>
    <w:rsid w:val="0005030B"/>
    <w:rsid w:val="00050390"/>
    <w:rsid w:val="0005070A"/>
    <w:rsid w:val="00050B4B"/>
    <w:rsid w:val="00050FA5"/>
    <w:rsid w:val="0005111C"/>
    <w:rsid w:val="000513C4"/>
    <w:rsid w:val="00051948"/>
    <w:rsid w:val="00052BED"/>
    <w:rsid w:val="00052F37"/>
    <w:rsid w:val="0005358D"/>
    <w:rsid w:val="00053B3C"/>
    <w:rsid w:val="00053CD9"/>
    <w:rsid w:val="00054556"/>
    <w:rsid w:val="00054724"/>
    <w:rsid w:val="00054A1D"/>
    <w:rsid w:val="00054CB2"/>
    <w:rsid w:val="000557F2"/>
    <w:rsid w:val="00055897"/>
    <w:rsid w:val="000562EC"/>
    <w:rsid w:val="000566CA"/>
    <w:rsid w:val="0005696F"/>
    <w:rsid w:val="00056C29"/>
    <w:rsid w:val="00056FDD"/>
    <w:rsid w:val="00057066"/>
    <w:rsid w:val="0005739D"/>
    <w:rsid w:val="000603E3"/>
    <w:rsid w:val="00060A93"/>
    <w:rsid w:val="00060D3A"/>
    <w:rsid w:val="00060E18"/>
    <w:rsid w:val="0006186E"/>
    <w:rsid w:val="0006230E"/>
    <w:rsid w:val="00062510"/>
    <w:rsid w:val="00062F63"/>
    <w:rsid w:val="0006309F"/>
    <w:rsid w:val="00063810"/>
    <w:rsid w:val="00063835"/>
    <w:rsid w:val="00063F55"/>
    <w:rsid w:val="00063FA2"/>
    <w:rsid w:val="000643BA"/>
    <w:rsid w:val="0006481A"/>
    <w:rsid w:val="000648C8"/>
    <w:rsid w:val="0006513E"/>
    <w:rsid w:val="00065513"/>
    <w:rsid w:val="00065AB3"/>
    <w:rsid w:val="000668C9"/>
    <w:rsid w:val="00066ED1"/>
    <w:rsid w:val="0006719E"/>
    <w:rsid w:val="0006761F"/>
    <w:rsid w:val="00067704"/>
    <w:rsid w:val="00067A3B"/>
    <w:rsid w:val="00067C33"/>
    <w:rsid w:val="00067E3A"/>
    <w:rsid w:val="000702E5"/>
    <w:rsid w:val="00070A7D"/>
    <w:rsid w:val="00071238"/>
    <w:rsid w:val="00071570"/>
    <w:rsid w:val="0007173B"/>
    <w:rsid w:val="0007189D"/>
    <w:rsid w:val="00071FD3"/>
    <w:rsid w:val="00072372"/>
    <w:rsid w:val="00072398"/>
    <w:rsid w:val="00072652"/>
    <w:rsid w:val="00072B2C"/>
    <w:rsid w:val="00072EEA"/>
    <w:rsid w:val="000740ED"/>
    <w:rsid w:val="00074189"/>
    <w:rsid w:val="00074224"/>
    <w:rsid w:val="00074428"/>
    <w:rsid w:val="00075314"/>
    <w:rsid w:val="000753F3"/>
    <w:rsid w:val="00075610"/>
    <w:rsid w:val="00075F59"/>
    <w:rsid w:val="00076106"/>
    <w:rsid w:val="00076253"/>
    <w:rsid w:val="00076264"/>
    <w:rsid w:val="00076711"/>
    <w:rsid w:val="00076715"/>
    <w:rsid w:val="00076B48"/>
    <w:rsid w:val="00076CA3"/>
    <w:rsid w:val="00076D54"/>
    <w:rsid w:val="00077664"/>
    <w:rsid w:val="00077CFB"/>
    <w:rsid w:val="000802EC"/>
    <w:rsid w:val="000810B1"/>
    <w:rsid w:val="00081833"/>
    <w:rsid w:val="0008239D"/>
    <w:rsid w:val="00082740"/>
    <w:rsid w:val="000827DE"/>
    <w:rsid w:val="00082BA1"/>
    <w:rsid w:val="00082C80"/>
    <w:rsid w:val="00083427"/>
    <w:rsid w:val="00083A91"/>
    <w:rsid w:val="00084420"/>
    <w:rsid w:val="00084675"/>
    <w:rsid w:val="000850B8"/>
    <w:rsid w:val="000852B7"/>
    <w:rsid w:val="00085917"/>
    <w:rsid w:val="00086A8E"/>
    <w:rsid w:val="00087115"/>
    <w:rsid w:val="0008721C"/>
    <w:rsid w:val="00087292"/>
    <w:rsid w:val="00090129"/>
    <w:rsid w:val="000907B5"/>
    <w:rsid w:val="00091312"/>
    <w:rsid w:val="00091698"/>
    <w:rsid w:val="0009189C"/>
    <w:rsid w:val="00091E78"/>
    <w:rsid w:val="00091E9C"/>
    <w:rsid w:val="00091F97"/>
    <w:rsid w:val="000925B6"/>
    <w:rsid w:val="000926ED"/>
    <w:rsid w:val="0009294E"/>
    <w:rsid w:val="00092DB1"/>
    <w:rsid w:val="00093250"/>
    <w:rsid w:val="0009364D"/>
    <w:rsid w:val="000936B0"/>
    <w:rsid w:val="000938CB"/>
    <w:rsid w:val="00093D80"/>
    <w:rsid w:val="00094518"/>
    <w:rsid w:val="00095934"/>
    <w:rsid w:val="00095F86"/>
    <w:rsid w:val="0009638D"/>
    <w:rsid w:val="000964FA"/>
    <w:rsid w:val="00096DC9"/>
    <w:rsid w:val="0009707B"/>
    <w:rsid w:val="000974D4"/>
    <w:rsid w:val="000976BD"/>
    <w:rsid w:val="000979B8"/>
    <w:rsid w:val="000A029E"/>
    <w:rsid w:val="000A094E"/>
    <w:rsid w:val="000A0DAE"/>
    <w:rsid w:val="000A0F73"/>
    <w:rsid w:val="000A1609"/>
    <w:rsid w:val="000A164E"/>
    <w:rsid w:val="000A16E3"/>
    <w:rsid w:val="000A1EB4"/>
    <w:rsid w:val="000A201C"/>
    <w:rsid w:val="000A2143"/>
    <w:rsid w:val="000A2A6E"/>
    <w:rsid w:val="000A2B12"/>
    <w:rsid w:val="000A30E2"/>
    <w:rsid w:val="000A3409"/>
    <w:rsid w:val="000A34E1"/>
    <w:rsid w:val="000A360A"/>
    <w:rsid w:val="000A3BDE"/>
    <w:rsid w:val="000A45BF"/>
    <w:rsid w:val="000A4C5A"/>
    <w:rsid w:val="000A51AE"/>
    <w:rsid w:val="000A5325"/>
    <w:rsid w:val="000A5636"/>
    <w:rsid w:val="000A5842"/>
    <w:rsid w:val="000A58A1"/>
    <w:rsid w:val="000A5F8D"/>
    <w:rsid w:val="000A6B46"/>
    <w:rsid w:val="000A6C70"/>
    <w:rsid w:val="000A7F45"/>
    <w:rsid w:val="000B0445"/>
    <w:rsid w:val="000B0455"/>
    <w:rsid w:val="000B05B4"/>
    <w:rsid w:val="000B07E1"/>
    <w:rsid w:val="000B0DFB"/>
    <w:rsid w:val="000B0F4E"/>
    <w:rsid w:val="000B1478"/>
    <w:rsid w:val="000B16BD"/>
    <w:rsid w:val="000B18A6"/>
    <w:rsid w:val="000B18AE"/>
    <w:rsid w:val="000B1B2E"/>
    <w:rsid w:val="000B2C71"/>
    <w:rsid w:val="000B30C6"/>
    <w:rsid w:val="000B35FF"/>
    <w:rsid w:val="000B38B1"/>
    <w:rsid w:val="000B3938"/>
    <w:rsid w:val="000B3E6D"/>
    <w:rsid w:val="000B3F36"/>
    <w:rsid w:val="000B46C9"/>
    <w:rsid w:val="000B4F59"/>
    <w:rsid w:val="000B5369"/>
    <w:rsid w:val="000B537C"/>
    <w:rsid w:val="000B6091"/>
    <w:rsid w:val="000B6A1F"/>
    <w:rsid w:val="000B6CB5"/>
    <w:rsid w:val="000B7220"/>
    <w:rsid w:val="000B734F"/>
    <w:rsid w:val="000B75B8"/>
    <w:rsid w:val="000B7717"/>
    <w:rsid w:val="000B7790"/>
    <w:rsid w:val="000B7B2F"/>
    <w:rsid w:val="000C023C"/>
    <w:rsid w:val="000C051F"/>
    <w:rsid w:val="000C0688"/>
    <w:rsid w:val="000C13BC"/>
    <w:rsid w:val="000C1D71"/>
    <w:rsid w:val="000C1DA8"/>
    <w:rsid w:val="000C1F5F"/>
    <w:rsid w:val="000C252C"/>
    <w:rsid w:val="000C3DF9"/>
    <w:rsid w:val="000C43E6"/>
    <w:rsid w:val="000C465E"/>
    <w:rsid w:val="000C46A4"/>
    <w:rsid w:val="000C470A"/>
    <w:rsid w:val="000C48B8"/>
    <w:rsid w:val="000C4982"/>
    <w:rsid w:val="000C4C49"/>
    <w:rsid w:val="000C515D"/>
    <w:rsid w:val="000C567F"/>
    <w:rsid w:val="000C5C7E"/>
    <w:rsid w:val="000C5CF5"/>
    <w:rsid w:val="000C61A0"/>
    <w:rsid w:val="000C639E"/>
    <w:rsid w:val="000C72E3"/>
    <w:rsid w:val="000C7313"/>
    <w:rsid w:val="000C735B"/>
    <w:rsid w:val="000C77DD"/>
    <w:rsid w:val="000C78F9"/>
    <w:rsid w:val="000C7D3A"/>
    <w:rsid w:val="000C7FAD"/>
    <w:rsid w:val="000D01C4"/>
    <w:rsid w:val="000D0306"/>
    <w:rsid w:val="000D032F"/>
    <w:rsid w:val="000D05B1"/>
    <w:rsid w:val="000D0BB8"/>
    <w:rsid w:val="000D0E8D"/>
    <w:rsid w:val="000D130A"/>
    <w:rsid w:val="000D1434"/>
    <w:rsid w:val="000D17E8"/>
    <w:rsid w:val="000D21C8"/>
    <w:rsid w:val="000D245A"/>
    <w:rsid w:val="000D3608"/>
    <w:rsid w:val="000D3FB7"/>
    <w:rsid w:val="000D4979"/>
    <w:rsid w:val="000D49FA"/>
    <w:rsid w:val="000D587A"/>
    <w:rsid w:val="000D598C"/>
    <w:rsid w:val="000D6907"/>
    <w:rsid w:val="000D6A1D"/>
    <w:rsid w:val="000D6C8E"/>
    <w:rsid w:val="000D70B1"/>
    <w:rsid w:val="000D71F7"/>
    <w:rsid w:val="000D7614"/>
    <w:rsid w:val="000D7AE0"/>
    <w:rsid w:val="000E08DC"/>
    <w:rsid w:val="000E0DCB"/>
    <w:rsid w:val="000E18A8"/>
    <w:rsid w:val="000E19F3"/>
    <w:rsid w:val="000E1D09"/>
    <w:rsid w:val="000E2982"/>
    <w:rsid w:val="000E2D09"/>
    <w:rsid w:val="000E2E64"/>
    <w:rsid w:val="000E2E8F"/>
    <w:rsid w:val="000E3393"/>
    <w:rsid w:val="000E3862"/>
    <w:rsid w:val="000E4D40"/>
    <w:rsid w:val="000E4F9D"/>
    <w:rsid w:val="000E590E"/>
    <w:rsid w:val="000E5A6B"/>
    <w:rsid w:val="000E5AFF"/>
    <w:rsid w:val="000E5E64"/>
    <w:rsid w:val="000E692B"/>
    <w:rsid w:val="000E6B8C"/>
    <w:rsid w:val="000E6B96"/>
    <w:rsid w:val="000E6CF0"/>
    <w:rsid w:val="000E7386"/>
    <w:rsid w:val="000E7827"/>
    <w:rsid w:val="000E7C11"/>
    <w:rsid w:val="000F05CD"/>
    <w:rsid w:val="000F0A9E"/>
    <w:rsid w:val="000F1022"/>
    <w:rsid w:val="000F119D"/>
    <w:rsid w:val="000F1A65"/>
    <w:rsid w:val="000F1EA2"/>
    <w:rsid w:val="000F2408"/>
    <w:rsid w:val="000F369B"/>
    <w:rsid w:val="000F37DD"/>
    <w:rsid w:val="000F3A99"/>
    <w:rsid w:val="000F3D73"/>
    <w:rsid w:val="000F4812"/>
    <w:rsid w:val="000F4AF2"/>
    <w:rsid w:val="000F4E74"/>
    <w:rsid w:val="000F4FCC"/>
    <w:rsid w:val="000F5272"/>
    <w:rsid w:val="000F5A03"/>
    <w:rsid w:val="000F5B5D"/>
    <w:rsid w:val="000F5CDB"/>
    <w:rsid w:val="000F5F6E"/>
    <w:rsid w:val="000F61C0"/>
    <w:rsid w:val="000F634B"/>
    <w:rsid w:val="000F65CE"/>
    <w:rsid w:val="000F6673"/>
    <w:rsid w:val="000F69EF"/>
    <w:rsid w:val="000F6C73"/>
    <w:rsid w:val="000F7002"/>
    <w:rsid w:val="000F7187"/>
    <w:rsid w:val="000F7500"/>
    <w:rsid w:val="000F76EE"/>
    <w:rsid w:val="000F7773"/>
    <w:rsid w:val="000F7C2A"/>
    <w:rsid w:val="000F7E9F"/>
    <w:rsid w:val="00100599"/>
    <w:rsid w:val="001008EC"/>
    <w:rsid w:val="00100AAB"/>
    <w:rsid w:val="00100ED3"/>
    <w:rsid w:val="00101092"/>
    <w:rsid w:val="00101476"/>
    <w:rsid w:val="0010168B"/>
    <w:rsid w:val="0010169C"/>
    <w:rsid w:val="001023E3"/>
    <w:rsid w:val="00102467"/>
    <w:rsid w:val="001027FF"/>
    <w:rsid w:val="00102ABE"/>
    <w:rsid w:val="00102C65"/>
    <w:rsid w:val="00102D60"/>
    <w:rsid w:val="00102EA6"/>
    <w:rsid w:val="001037AB"/>
    <w:rsid w:val="0010385D"/>
    <w:rsid w:val="00104333"/>
    <w:rsid w:val="00104482"/>
    <w:rsid w:val="0010559E"/>
    <w:rsid w:val="00105B79"/>
    <w:rsid w:val="00105F63"/>
    <w:rsid w:val="00106172"/>
    <w:rsid w:val="00106520"/>
    <w:rsid w:val="00106B84"/>
    <w:rsid w:val="00106CBF"/>
    <w:rsid w:val="00107054"/>
    <w:rsid w:val="00107D8C"/>
    <w:rsid w:val="001102AF"/>
    <w:rsid w:val="001105B4"/>
    <w:rsid w:val="00110ECE"/>
    <w:rsid w:val="001115ED"/>
    <w:rsid w:val="001117A8"/>
    <w:rsid w:val="00111CE7"/>
    <w:rsid w:val="0011224B"/>
    <w:rsid w:val="00112A2D"/>
    <w:rsid w:val="00113478"/>
    <w:rsid w:val="00113840"/>
    <w:rsid w:val="001139AF"/>
    <w:rsid w:val="001139E4"/>
    <w:rsid w:val="0011406F"/>
    <w:rsid w:val="00114320"/>
    <w:rsid w:val="0011432D"/>
    <w:rsid w:val="00114641"/>
    <w:rsid w:val="00114723"/>
    <w:rsid w:val="00114A70"/>
    <w:rsid w:val="00114C62"/>
    <w:rsid w:val="00114D68"/>
    <w:rsid w:val="0011591C"/>
    <w:rsid w:val="00115B77"/>
    <w:rsid w:val="00115BB2"/>
    <w:rsid w:val="00116482"/>
    <w:rsid w:val="00116A12"/>
    <w:rsid w:val="001172C5"/>
    <w:rsid w:val="001174E6"/>
    <w:rsid w:val="001176EB"/>
    <w:rsid w:val="0012010A"/>
    <w:rsid w:val="001202DE"/>
    <w:rsid w:val="00120408"/>
    <w:rsid w:val="0012063D"/>
    <w:rsid w:val="0012092A"/>
    <w:rsid w:val="00120BF9"/>
    <w:rsid w:val="00121201"/>
    <w:rsid w:val="001213BE"/>
    <w:rsid w:val="00121870"/>
    <w:rsid w:val="0012192E"/>
    <w:rsid w:val="001219AD"/>
    <w:rsid w:val="001219B6"/>
    <w:rsid w:val="00121F5D"/>
    <w:rsid w:val="001221F8"/>
    <w:rsid w:val="0012229F"/>
    <w:rsid w:val="00122B74"/>
    <w:rsid w:val="00122F32"/>
    <w:rsid w:val="00122F4A"/>
    <w:rsid w:val="001230DD"/>
    <w:rsid w:val="001231B3"/>
    <w:rsid w:val="00123279"/>
    <w:rsid w:val="00123399"/>
    <w:rsid w:val="001235FD"/>
    <w:rsid w:val="001236F0"/>
    <w:rsid w:val="00123737"/>
    <w:rsid w:val="001237C9"/>
    <w:rsid w:val="00123A86"/>
    <w:rsid w:val="0012489D"/>
    <w:rsid w:val="00124D7E"/>
    <w:rsid w:val="0012518D"/>
    <w:rsid w:val="0012534F"/>
    <w:rsid w:val="0012549B"/>
    <w:rsid w:val="00125BD9"/>
    <w:rsid w:val="00125BFF"/>
    <w:rsid w:val="00125CA0"/>
    <w:rsid w:val="00125CB8"/>
    <w:rsid w:val="00125F67"/>
    <w:rsid w:val="001260AB"/>
    <w:rsid w:val="0012627F"/>
    <w:rsid w:val="0012690E"/>
    <w:rsid w:val="00126BD3"/>
    <w:rsid w:val="00126C15"/>
    <w:rsid w:val="00126C28"/>
    <w:rsid w:val="00127491"/>
    <w:rsid w:val="001277C8"/>
    <w:rsid w:val="00127D83"/>
    <w:rsid w:val="00127DB8"/>
    <w:rsid w:val="001302F9"/>
    <w:rsid w:val="001319F0"/>
    <w:rsid w:val="00131D85"/>
    <w:rsid w:val="00131DC7"/>
    <w:rsid w:val="001321EF"/>
    <w:rsid w:val="0013259F"/>
    <w:rsid w:val="001325C5"/>
    <w:rsid w:val="00133C99"/>
    <w:rsid w:val="0013410D"/>
    <w:rsid w:val="001343D1"/>
    <w:rsid w:val="0013462A"/>
    <w:rsid w:val="001346B4"/>
    <w:rsid w:val="001346C0"/>
    <w:rsid w:val="001346C8"/>
    <w:rsid w:val="00134951"/>
    <w:rsid w:val="00134ACA"/>
    <w:rsid w:val="00134EFB"/>
    <w:rsid w:val="00135483"/>
    <w:rsid w:val="001355EC"/>
    <w:rsid w:val="00136087"/>
    <w:rsid w:val="00136635"/>
    <w:rsid w:val="0013686B"/>
    <w:rsid w:val="001368E4"/>
    <w:rsid w:val="0013725D"/>
    <w:rsid w:val="001372E1"/>
    <w:rsid w:val="00137B41"/>
    <w:rsid w:val="00137D60"/>
    <w:rsid w:val="00137DC3"/>
    <w:rsid w:val="00140154"/>
    <w:rsid w:val="0014098B"/>
    <w:rsid w:val="00141B57"/>
    <w:rsid w:val="00141CDF"/>
    <w:rsid w:val="001420AD"/>
    <w:rsid w:val="00142474"/>
    <w:rsid w:val="0014249B"/>
    <w:rsid w:val="00142538"/>
    <w:rsid w:val="00142721"/>
    <w:rsid w:val="001427D9"/>
    <w:rsid w:val="00142B97"/>
    <w:rsid w:val="00143013"/>
    <w:rsid w:val="00143740"/>
    <w:rsid w:val="00143831"/>
    <w:rsid w:val="001439BC"/>
    <w:rsid w:val="0014469D"/>
    <w:rsid w:val="001448FC"/>
    <w:rsid w:val="00144938"/>
    <w:rsid w:val="00144E23"/>
    <w:rsid w:val="00145567"/>
    <w:rsid w:val="00145D13"/>
    <w:rsid w:val="00145FA5"/>
    <w:rsid w:val="00146DE6"/>
    <w:rsid w:val="00147928"/>
    <w:rsid w:val="001479CA"/>
    <w:rsid w:val="00147A0D"/>
    <w:rsid w:val="00150027"/>
    <w:rsid w:val="00150254"/>
    <w:rsid w:val="001504C2"/>
    <w:rsid w:val="001506A6"/>
    <w:rsid w:val="001518CE"/>
    <w:rsid w:val="00151981"/>
    <w:rsid w:val="001523A5"/>
    <w:rsid w:val="00152521"/>
    <w:rsid w:val="0015263F"/>
    <w:rsid w:val="00152E64"/>
    <w:rsid w:val="001531B0"/>
    <w:rsid w:val="0015333E"/>
    <w:rsid w:val="001547B8"/>
    <w:rsid w:val="00154A54"/>
    <w:rsid w:val="00154A91"/>
    <w:rsid w:val="00154AC1"/>
    <w:rsid w:val="00154F74"/>
    <w:rsid w:val="00154FD9"/>
    <w:rsid w:val="00155217"/>
    <w:rsid w:val="00155B65"/>
    <w:rsid w:val="00156325"/>
    <w:rsid w:val="001564EB"/>
    <w:rsid w:val="0015682B"/>
    <w:rsid w:val="00156CC0"/>
    <w:rsid w:val="00157072"/>
    <w:rsid w:val="001570CA"/>
    <w:rsid w:val="001571EF"/>
    <w:rsid w:val="0015726D"/>
    <w:rsid w:val="0015741A"/>
    <w:rsid w:val="00157CC7"/>
    <w:rsid w:val="00157D77"/>
    <w:rsid w:val="00157E67"/>
    <w:rsid w:val="001606AD"/>
    <w:rsid w:val="00160EB7"/>
    <w:rsid w:val="001619B2"/>
    <w:rsid w:val="00161AF9"/>
    <w:rsid w:val="00161D02"/>
    <w:rsid w:val="00162874"/>
    <w:rsid w:val="0016290D"/>
    <w:rsid w:val="001630FB"/>
    <w:rsid w:val="00163C27"/>
    <w:rsid w:val="001640C1"/>
    <w:rsid w:val="0016454B"/>
    <w:rsid w:val="0016479E"/>
    <w:rsid w:val="00164906"/>
    <w:rsid w:val="00164E2D"/>
    <w:rsid w:val="00165126"/>
    <w:rsid w:val="00166512"/>
    <w:rsid w:val="0016729D"/>
    <w:rsid w:val="00167F2D"/>
    <w:rsid w:val="00170125"/>
    <w:rsid w:val="001705C8"/>
    <w:rsid w:val="00170AA2"/>
    <w:rsid w:val="001710BB"/>
    <w:rsid w:val="0017112B"/>
    <w:rsid w:val="001719FE"/>
    <w:rsid w:val="0017244C"/>
    <w:rsid w:val="001724F9"/>
    <w:rsid w:val="00172CC0"/>
    <w:rsid w:val="0017396E"/>
    <w:rsid w:val="001739FF"/>
    <w:rsid w:val="001741AD"/>
    <w:rsid w:val="00175537"/>
    <w:rsid w:val="001759F1"/>
    <w:rsid w:val="001760B3"/>
    <w:rsid w:val="0017652C"/>
    <w:rsid w:val="001772EF"/>
    <w:rsid w:val="001801C8"/>
    <w:rsid w:val="00180A57"/>
    <w:rsid w:val="001811E2"/>
    <w:rsid w:val="001812A9"/>
    <w:rsid w:val="00181E08"/>
    <w:rsid w:val="00182128"/>
    <w:rsid w:val="00182198"/>
    <w:rsid w:val="001822CC"/>
    <w:rsid w:val="001825D7"/>
    <w:rsid w:val="00182F69"/>
    <w:rsid w:val="00182F74"/>
    <w:rsid w:val="00183316"/>
    <w:rsid w:val="00183381"/>
    <w:rsid w:val="00183417"/>
    <w:rsid w:val="001837CF"/>
    <w:rsid w:val="00183BCB"/>
    <w:rsid w:val="00183C71"/>
    <w:rsid w:val="00183EDB"/>
    <w:rsid w:val="00183F5E"/>
    <w:rsid w:val="001840E5"/>
    <w:rsid w:val="001840EA"/>
    <w:rsid w:val="00184862"/>
    <w:rsid w:val="00184865"/>
    <w:rsid w:val="00184DCA"/>
    <w:rsid w:val="001855A1"/>
    <w:rsid w:val="001860F4"/>
    <w:rsid w:val="00186121"/>
    <w:rsid w:val="001865ED"/>
    <w:rsid w:val="00186784"/>
    <w:rsid w:val="00186E31"/>
    <w:rsid w:val="0018799C"/>
    <w:rsid w:val="001879A9"/>
    <w:rsid w:val="001879E6"/>
    <w:rsid w:val="00187ADE"/>
    <w:rsid w:val="00187C07"/>
    <w:rsid w:val="00190156"/>
    <w:rsid w:val="00190B33"/>
    <w:rsid w:val="00190D5E"/>
    <w:rsid w:val="00190DB3"/>
    <w:rsid w:val="001913AD"/>
    <w:rsid w:val="00191A65"/>
    <w:rsid w:val="00191CA2"/>
    <w:rsid w:val="00191D10"/>
    <w:rsid w:val="001920B9"/>
    <w:rsid w:val="00192387"/>
    <w:rsid w:val="001924C7"/>
    <w:rsid w:val="0019250A"/>
    <w:rsid w:val="001927D0"/>
    <w:rsid w:val="00193010"/>
    <w:rsid w:val="00193767"/>
    <w:rsid w:val="00193A6D"/>
    <w:rsid w:val="00193AFE"/>
    <w:rsid w:val="00194B63"/>
    <w:rsid w:val="001952E3"/>
    <w:rsid w:val="00195DAA"/>
    <w:rsid w:val="001962D3"/>
    <w:rsid w:val="001968B4"/>
    <w:rsid w:val="00196C08"/>
    <w:rsid w:val="0019773F"/>
    <w:rsid w:val="0019782E"/>
    <w:rsid w:val="00197F1B"/>
    <w:rsid w:val="001A00BC"/>
    <w:rsid w:val="001A0355"/>
    <w:rsid w:val="001A0551"/>
    <w:rsid w:val="001A085B"/>
    <w:rsid w:val="001A0DDD"/>
    <w:rsid w:val="001A0F58"/>
    <w:rsid w:val="001A1E93"/>
    <w:rsid w:val="001A2543"/>
    <w:rsid w:val="001A2714"/>
    <w:rsid w:val="001A309D"/>
    <w:rsid w:val="001A3318"/>
    <w:rsid w:val="001A3A6F"/>
    <w:rsid w:val="001A3A9F"/>
    <w:rsid w:val="001A3B03"/>
    <w:rsid w:val="001A3B11"/>
    <w:rsid w:val="001A4626"/>
    <w:rsid w:val="001A46A5"/>
    <w:rsid w:val="001A4964"/>
    <w:rsid w:val="001A50C2"/>
    <w:rsid w:val="001A5C6A"/>
    <w:rsid w:val="001A5FBF"/>
    <w:rsid w:val="001A61F3"/>
    <w:rsid w:val="001A62F0"/>
    <w:rsid w:val="001A6AFC"/>
    <w:rsid w:val="001A6BB7"/>
    <w:rsid w:val="001A6ED0"/>
    <w:rsid w:val="001A7214"/>
    <w:rsid w:val="001B01A3"/>
    <w:rsid w:val="001B0888"/>
    <w:rsid w:val="001B0AF9"/>
    <w:rsid w:val="001B0F2B"/>
    <w:rsid w:val="001B1C1A"/>
    <w:rsid w:val="001B1DB7"/>
    <w:rsid w:val="001B234E"/>
    <w:rsid w:val="001B2A0D"/>
    <w:rsid w:val="001B34B0"/>
    <w:rsid w:val="001B3BE3"/>
    <w:rsid w:val="001B3C29"/>
    <w:rsid w:val="001B4402"/>
    <w:rsid w:val="001B4D0D"/>
    <w:rsid w:val="001B4D23"/>
    <w:rsid w:val="001B4E80"/>
    <w:rsid w:val="001B4FCE"/>
    <w:rsid w:val="001B4FE4"/>
    <w:rsid w:val="001B51A0"/>
    <w:rsid w:val="001B5230"/>
    <w:rsid w:val="001B5344"/>
    <w:rsid w:val="001B5982"/>
    <w:rsid w:val="001B59E7"/>
    <w:rsid w:val="001B5A17"/>
    <w:rsid w:val="001B5CBF"/>
    <w:rsid w:val="001B641A"/>
    <w:rsid w:val="001B6677"/>
    <w:rsid w:val="001B674C"/>
    <w:rsid w:val="001B68BC"/>
    <w:rsid w:val="001B691D"/>
    <w:rsid w:val="001B6A88"/>
    <w:rsid w:val="001B6C60"/>
    <w:rsid w:val="001B739E"/>
    <w:rsid w:val="001B7519"/>
    <w:rsid w:val="001B7573"/>
    <w:rsid w:val="001B7D84"/>
    <w:rsid w:val="001B7DB5"/>
    <w:rsid w:val="001C01EF"/>
    <w:rsid w:val="001C02FA"/>
    <w:rsid w:val="001C066B"/>
    <w:rsid w:val="001C16B1"/>
    <w:rsid w:val="001C279E"/>
    <w:rsid w:val="001C2AC5"/>
    <w:rsid w:val="001C3052"/>
    <w:rsid w:val="001C398C"/>
    <w:rsid w:val="001C3A47"/>
    <w:rsid w:val="001C437B"/>
    <w:rsid w:val="001C43B7"/>
    <w:rsid w:val="001C45EE"/>
    <w:rsid w:val="001C4C12"/>
    <w:rsid w:val="001C4C2B"/>
    <w:rsid w:val="001C5046"/>
    <w:rsid w:val="001C55AF"/>
    <w:rsid w:val="001C57E5"/>
    <w:rsid w:val="001C5F89"/>
    <w:rsid w:val="001C61CA"/>
    <w:rsid w:val="001C61DE"/>
    <w:rsid w:val="001C6A5A"/>
    <w:rsid w:val="001C7144"/>
    <w:rsid w:val="001C7184"/>
    <w:rsid w:val="001C71BD"/>
    <w:rsid w:val="001C74D7"/>
    <w:rsid w:val="001C7F9D"/>
    <w:rsid w:val="001D01AA"/>
    <w:rsid w:val="001D0709"/>
    <w:rsid w:val="001D0E04"/>
    <w:rsid w:val="001D1746"/>
    <w:rsid w:val="001D1AF4"/>
    <w:rsid w:val="001D1F54"/>
    <w:rsid w:val="001D2809"/>
    <w:rsid w:val="001D305C"/>
    <w:rsid w:val="001D352E"/>
    <w:rsid w:val="001D370F"/>
    <w:rsid w:val="001D3AA4"/>
    <w:rsid w:val="001D4146"/>
    <w:rsid w:val="001D444A"/>
    <w:rsid w:val="001D44D5"/>
    <w:rsid w:val="001D4514"/>
    <w:rsid w:val="001D469F"/>
    <w:rsid w:val="001D5C99"/>
    <w:rsid w:val="001D5CC5"/>
    <w:rsid w:val="001D6601"/>
    <w:rsid w:val="001D6615"/>
    <w:rsid w:val="001D69E6"/>
    <w:rsid w:val="001D6A0D"/>
    <w:rsid w:val="001D7068"/>
    <w:rsid w:val="001D7FC6"/>
    <w:rsid w:val="001E004B"/>
    <w:rsid w:val="001E0362"/>
    <w:rsid w:val="001E053E"/>
    <w:rsid w:val="001E07F7"/>
    <w:rsid w:val="001E086B"/>
    <w:rsid w:val="001E0928"/>
    <w:rsid w:val="001E094A"/>
    <w:rsid w:val="001E0F17"/>
    <w:rsid w:val="001E0F3C"/>
    <w:rsid w:val="001E133D"/>
    <w:rsid w:val="001E1533"/>
    <w:rsid w:val="001E1670"/>
    <w:rsid w:val="001E2066"/>
    <w:rsid w:val="001E2D1B"/>
    <w:rsid w:val="001E30F1"/>
    <w:rsid w:val="001E32F4"/>
    <w:rsid w:val="001E3321"/>
    <w:rsid w:val="001E37A3"/>
    <w:rsid w:val="001E3AB6"/>
    <w:rsid w:val="001E41D9"/>
    <w:rsid w:val="001E4481"/>
    <w:rsid w:val="001E4D55"/>
    <w:rsid w:val="001E53B7"/>
    <w:rsid w:val="001E5A89"/>
    <w:rsid w:val="001E5D0A"/>
    <w:rsid w:val="001E6037"/>
    <w:rsid w:val="001E6214"/>
    <w:rsid w:val="001E6942"/>
    <w:rsid w:val="001E69A1"/>
    <w:rsid w:val="001E6F37"/>
    <w:rsid w:val="001E6F42"/>
    <w:rsid w:val="001E7051"/>
    <w:rsid w:val="001E711F"/>
    <w:rsid w:val="001E7876"/>
    <w:rsid w:val="001E798E"/>
    <w:rsid w:val="001E7A22"/>
    <w:rsid w:val="001E7B1F"/>
    <w:rsid w:val="001F057B"/>
    <w:rsid w:val="001F11F1"/>
    <w:rsid w:val="001F1482"/>
    <w:rsid w:val="001F19EB"/>
    <w:rsid w:val="001F217A"/>
    <w:rsid w:val="001F227C"/>
    <w:rsid w:val="001F2364"/>
    <w:rsid w:val="001F2934"/>
    <w:rsid w:val="001F2AA7"/>
    <w:rsid w:val="001F2F4A"/>
    <w:rsid w:val="001F2F75"/>
    <w:rsid w:val="001F3B45"/>
    <w:rsid w:val="001F3BC0"/>
    <w:rsid w:val="001F3E90"/>
    <w:rsid w:val="001F3EFE"/>
    <w:rsid w:val="001F4296"/>
    <w:rsid w:val="001F448E"/>
    <w:rsid w:val="001F4609"/>
    <w:rsid w:val="001F49D8"/>
    <w:rsid w:val="001F4A92"/>
    <w:rsid w:val="001F4B5C"/>
    <w:rsid w:val="001F4C51"/>
    <w:rsid w:val="001F4FA9"/>
    <w:rsid w:val="001F51FE"/>
    <w:rsid w:val="001F5535"/>
    <w:rsid w:val="001F58E1"/>
    <w:rsid w:val="001F5C07"/>
    <w:rsid w:val="001F5DFB"/>
    <w:rsid w:val="001F5F87"/>
    <w:rsid w:val="001F63DC"/>
    <w:rsid w:val="001F732D"/>
    <w:rsid w:val="001F7D37"/>
    <w:rsid w:val="00200016"/>
    <w:rsid w:val="002000CB"/>
    <w:rsid w:val="00200590"/>
    <w:rsid w:val="0020061E"/>
    <w:rsid w:val="00200D1B"/>
    <w:rsid w:val="00201AAE"/>
    <w:rsid w:val="00202937"/>
    <w:rsid w:val="00202F79"/>
    <w:rsid w:val="002032B0"/>
    <w:rsid w:val="002032D1"/>
    <w:rsid w:val="00203301"/>
    <w:rsid w:val="002038FF"/>
    <w:rsid w:val="00204069"/>
    <w:rsid w:val="002041DA"/>
    <w:rsid w:val="00204563"/>
    <w:rsid w:val="00204759"/>
    <w:rsid w:val="00204E19"/>
    <w:rsid w:val="00205147"/>
    <w:rsid w:val="00205584"/>
    <w:rsid w:val="0020578C"/>
    <w:rsid w:val="002060D4"/>
    <w:rsid w:val="002065EB"/>
    <w:rsid w:val="00206E91"/>
    <w:rsid w:val="00206EB2"/>
    <w:rsid w:val="0020765A"/>
    <w:rsid w:val="00207AF7"/>
    <w:rsid w:val="00207DD4"/>
    <w:rsid w:val="00207F5F"/>
    <w:rsid w:val="0021082B"/>
    <w:rsid w:val="0021085B"/>
    <w:rsid w:val="00210C75"/>
    <w:rsid w:val="00210D3A"/>
    <w:rsid w:val="0021183A"/>
    <w:rsid w:val="00211CB2"/>
    <w:rsid w:val="00212756"/>
    <w:rsid w:val="00212A13"/>
    <w:rsid w:val="00212C24"/>
    <w:rsid w:val="00213A10"/>
    <w:rsid w:val="00213FB8"/>
    <w:rsid w:val="00214BC1"/>
    <w:rsid w:val="002153D8"/>
    <w:rsid w:val="002155D0"/>
    <w:rsid w:val="0021599C"/>
    <w:rsid w:val="00215FE0"/>
    <w:rsid w:val="002161A7"/>
    <w:rsid w:val="0021626C"/>
    <w:rsid w:val="002164AE"/>
    <w:rsid w:val="00216627"/>
    <w:rsid w:val="00216680"/>
    <w:rsid w:val="002166EB"/>
    <w:rsid w:val="00217C05"/>
    <w:rsid w:val="00220292"/>
    <w:rsid w:val="002202CE"/>
    <w:rsid w:val="00220529"/>
    <w:rsid w:val="00220F66"/>
    <w:rsid w:val="00221390"/>
    <w:rsid w:val="00221E6E"/>
    <w:rsid w:val="00221E78"/>
    <w:rsid w:val="002222F1"/>
    <w:rsid w:val="00222620"/>
    <w:rsid w:val="00222C40"/>
    <w:rsid w:val="00222DD7"/>
    <w:rsid w:val="0022333A"/>
    <w:rsid w:val="002233AC"/>
    <w:rsid w:val="002236F4"/>
    <w:rsid w:val="0022380E"/>
    <w:rsid w:val="00224027"/>
    <w:rsid w:val="002247EC"/>
    <w:rsid w:val="00225562"/>
    <w:rsid w:val="00225765"/>
    <w:rsid w:val="00225BEA"/>
    <w:rsid w:val="00226362"/>
    <w:rsid w:val="002274E2"/>
    <w:rsid w:val="00230034"/>
    <w:rsid w:val="00230149"/>
    <w:rsid w:val="002303E8"/>
    <w:rsid w:val="00231ED5"/>
    <w:rsid w:val="0023203C"/>
    <w:rsid w:val="002321B4"/>
    <w:rsid w:val="002326CC"/>
    <w:rsid w:val="00232A46"/>
    <w:rsid w:val="00232DD3"/>
    <w:rsid w:val="00232F15"/>
    <w:rsid w:val="0023310A"/>
    <w:rsid w:val="0023358A"/>
    <w:rsid w:val="002337CA"/>
    <w:rsid w:val="002340C9"/>
    <w:rsid w:val="002348B3"/>
    <w:rsid w:val="0023498E"/>
    <w:rsid w:val="00234A3E"/>
    <w:rsid w:val="00234C5D"/>
    <w:rsid w:val="00234E65"/>
    <w:rsid w:val="00234E93"/>
    <w:rsid w:val="00234FD2"/>
    <w:rsid w:val="00235175"/>
    <w:rsid w:val="0023522A"/>
    <w:rsid w:val="002352BD"/>
    <w:rsid w:val="00235504"/>
    <w:rsid w:val="002355E2"/>
    <w:rsid w:val="00235AA6"/>
    <w:rsid w:val="00236853"/>
    <w:rsid w:val="00236D76"/>
    <w:rsid w:val="00236F74"/>
    <w:rsid w:val="002374ED"/>
    <w:rsid w:val="002376E7"/>
    <w:rsid w:val="002405C3"/>
    <w:rsid w:val="00240A0C"/>
    <w:rsid w:val="00240B8E"/>
    <w:rsid w:val="00241B2B"/>
    <w:rsid w:val="00241B34"/>
    <w:rsid w:val="00241EF8"/>
    <w:rsid w:val="0024265E"/>
    <w:rsid w:val="00242E9C"/>
    <w:rsid w:val="0024304E"/>
    <w:rsid w:val="00243096"/>
    <w:rsid w:val="00243841"/>
    <w:rsid w:val="0024436F"/>
    <w:rsid w:val="00244928"/>
    <w:rsid w:val="00244AF3"/>
    <w:rsid w:val="00245B24"/>
    <w:rsid w:val="00245CA9"/>
    <w:rsid w:val="002460BD"/>
    <w:rsid w:val="00246195"/>
    <w:rsid w:val="002467F5"/>
    <w:rsid w:val="0024712B"/>
    <w:rsid w:val="00247412"/>
    <w:rsid w:val="0024793E"/>
    <w:rsid w:val="00247AEA"/>
    <w:rsid w:val="00247EA9"/>
    <w:rsid w:val="0025039E"/>
    <w:rsid w:val="0025048A"/>
    <w:rsid w:val="00250538"/>
    <w:rsid w:val="002506CF"/>
    <w:rsid w:val="00250B17"/>
    <w:rsid w:val="00250EBD"/>
    <w:rsid w:val="0025153B"/>
    <w:rsid w:val="002519CA"/>
    <w:rsid w:val="00251A2A"/>
    <w:rsid w:val="002524A2"/>
    <w:rsid w:val="002544B5"/>
    <w:rsid w:val="00254B27"/>
    <w:rsid w:val="002552AB"/>
    <w:rsid w:val="00256017"/>
    <w:rsid w:val="00256236"/>
    <w:rsid w:val="0025629D"/>
    <w:rsid w:val="002566A9"/>
    <w:rsid w:val="002569B0"/>
    <w:rsid w:val="002573DE"/>
    <w:rsid w:val="00257883"/>
    <w:rsid w:val="00257991"/>
    <w:rsid w:val="00260310"/>
    <w:rsid w:val="00261163"/>
    <w:rsid w:val="00262845"/>
    <w:rsid w:val="00262D93"/>
    <w:rsid w:val="002631D1"/>
    <w:rsid w:val="0026320F"/>
    <w:rsid w:val="00263438"/>
    <w:rsid w:val="0026366B"/>
    <w:rsid w:val="00263F46"/>
    <w:rsid w:val="002646F3"/>
    <w:rsid w:val="00265811"/>
    <w:rsid w:val="00265DF2"/>
    <w:rsid w:val="00265F61"/>
    <w:rsid w:val="002663D1"/>
    <w:rsid w:val="00266AF6"/>
    <w:rsid w:val="00266DFA"/>
    <w:rsid w:val="002672E6"/>
    <w:rsid w:val="00267AE2"/>
    <w:rsid w:val="00270080"/>
    <w:rsid w:val="00270549"/>
    <w:rsid w:val="00270736"/>
    <w:rsid w:val="00270738"/>
    <w:rsid w:val="00270EB0"/>
    <w:rsid w:val="00271304"/>
    <w:rsid w:val="002718B9"/>
    <w:rsid w:val="002719E7"/>
    <w:rsid w:val="00272409"/>
    <w:rsid w:val="002724C4"/>
    <w:rsid w:val="0027257F"/>
    <w:rsid w:val="00272904"/>
    <w:rsid w:val="00272E9C"/>
    <w:rsid w:val="002736D2"/>
    <w:rsid w:val="0027381F"/>
    <w:rsid w:val="00273B4C"/>
    <w:rsid w:val="00273D1F"/>
    <w:rsid w:val="00274386"/>
    <w:rsid w:val="00275095"/>
    <w:rsid w:val="00275A27"/>
    <w:rsid w:val="00275CEE"/>
    <w:rsid w:val="00275F43"/>
    <w:rsid w:val="0027630B"/>
    <w:rsid w:val="0027667C"/>
    <w:rsid w:val="0027696C"/>
    <w:rsid w:val="00277E24"/>
    <w:rsid w:val="00280172"/>
    <w:rsid w:val="002802C8"/>
    <w:rsid w:val="00280E7A"/>
    <w:rsid w:val="00281142"/>
    <w:rsid w:val="002812C7"/>
    <w:rsid w:val="002816C4"/>
    <w:rsid w:val="00281E15"/>
    <w:rsid w:val="002820F7"/>
    <w:rsid w:val="00282760"/>
    <w:rsid w:val="002827A6"/>
    <w:rsid w:val="00282B2E"/>
    <w:rsid w:val="00282C0A"/>
    <w:rsid w:val="00282E74"/>
    <w:rsid w:val="00283572"/>
    <w:rsid w:val="00283964"/>
    <w:rsid w:val="00283AF6"/>
    <w:rsid w:val="00284240"/>
    <w:rsid w:val="002846E4"/>
    <w:rsid w:val="00284DE4"/>
    <w:rsid w:val="00285152"/>
    <w:rsid w:val="002853A3"/>
    <w:rsid w:val="002855B7"/>
    <w:rsid w:val="00285C1D"/>
    <w:rsid w:val="0028654B"/>
    <w:rsid w:val="002866BA"/>
    <w:rsid w:val="0028690C"/>
    <w:rsid w:val="00286E14"/>
    <w:rsid w:val="00287344"/>
    <w:rsid w:val="00287695"/>
    <w:rsid w:val="00287935"/>
    <w:rsid w:val="00287D32"/>
    <w:rsid w:val="00287D74"/>
    <w:rsid w:val="0029009E"/>
    <w:rsid w:val="00290FB8"/>
    <w:rsid w:val="002911AE"/>
    <w:rsid w:val="00291D2B"/>
    <w:rsid w:val="002921A0"/>
    <w:rsid w:val="0029222C"/>
    <w:rsid w:val="00292289"/>
    <w:rsid w:val="0029264D"/>
    <w:rsid w:val="00292ACF"/>
    <w:rsid w:val="00292D81"/>
    <w:rsid w:val="00292EBC"/>
    <w:rsid w:val="002935FE"/>
    <w:rsid w:val="00293644"/>
    <w:rsid w:val="00293CB7"/>
    <w:rsid w:val="0029483D"/>
    <w:rsid w:val="002949C3"/>
    <w:rsid w:val="00294EF9"/>
    <w:rsid w:val="00295DED"/>
    <w:rsid w:val="00296550"/>
    <w:rsid w:val="00296B7A"/>
    <w:rsid w:val="00296C16"/>
    <w:rsid w:val="00297340"/>
    <w:rsid w:val="00297EC0"/>
    <w:rsid w:val="002A0016"/>
    <w:rsid w:val="002A0137"/>
    <w:rsid w:val="002A0221"/>
    <w:rsid w:val="002A101D"/>
    <w:rsid w:val="002A1145"/>
    <w:rsid w:val="002A1701"/>
    <w:rsid w:val="002A1D26"/>
    <w:rsid w:val="002A2396"/>
    <w:rsid w:val="002A2542"/>
    <w:rsid w:val="002A25E1"/>
    <w:rsid w:val="002A2604"/>
    <w:rsid w:val="002A347F"/>
    <w:rsid w:val="002A355B"/>
    <w:rsid w:val="002A3568"/>
    <w:rsid w:val="002A3678"/>
    <w:rsid w:val="002A3E9B"/>
    <w:rsid w:val="002A4F44"/>
    <w:rsid w:val="002A504B"/>
    <w:rsid w:val="002A50E7"/>
    <w:rsid w:val="002A53EC"/>
    <w:rsid w:val="002A580F"/>
    <w:rsid w:val="002A5813"/>
    <w:rsid w:val="002A6E3E"/>
    <w:rsid w:val="002A72F3"/>
    <w:rsid w:val="002A785F"/>
    <w:rsid w:val="002A7C9D"/>
    <w:rsid w:val="002B00EB"/>
    <w:rsid w:val="002B0223"/>
    <w:rsid w:val="002B023D"/>
    <w:rsid w:val="002B0995"/>
    <w:rsid w:val="002B0A33"/>
    <w:rsid w:val="002B0A62"/>
    <w:rsid w:val="002B10BB"/>
    <w:rsid w:val="002B1A42"/>
    <w:rsid w:val="002B2533"/>
    <w:rsid w:val="002B292E"/>
    <w:rsid w:val="002B3282"/>
    <w:rsid w:val="002B33C6"/>
    <w:rsid w:val="002B3DA1"/>
    <w:rsid w:val="002B4144"/>
    <w:rsid w:val="002B42E0"/>
    <w:rsid w:val="002B4360"/>
    <w:rsid w:val="002B48D6"/>
    <w:rsid w:val="002B4FE0"/>
    <w:rsid w:val="002B4FFD"/>
    <w:rsid w:val="002B503E"/>
    <w:rsid w:val="002B5168"/>
    <w:rsid w:val="002B5189"/>
    <w:rsid w:val="002B521A"/>
    <w:rsid w:val="002B5308"/>
    <w:rsid w:val="002B6584"/>
    <w:rsid w:val="002B6708"/>
    <w:rsid w:val="002B779F"/>
    <w:rsid w:val="002B7B1D"/>
    <w:rsid w:val="002B7BEE"/>
    <w:rsid w:val="002B7CA0"/>
    <w:rsid w:val="002C01D6"/>
    <w:rsid w:val="002C0307"/>
    <w:rsid w:val="002C067D"/>
    <w:rsid w:val="002C1018"/>
    <w:rsid w:val="002C18B1"/>
    <w:rsid w:val="002C1C60"/>
    <w:rsid w:val="002C203A"/>
    <w:rsid w:val="002C2802"/>
    <w:rsid w:val="002C28B8"/>
    <w:rsid w:val="002C30E0"/>
    <w:rsid w:val="002C3165"/>
    <w:rsid w:val="002C4206"/>
    <w:rsid w:val="002C466B"/>
    <w:rsid w:val="002C4AD4"/>
    <w:rsid w:val="002C4BC3"/>
    <w:rsid w:val="002C4C55"/>
    <w:rsid w:val="002C4DAE"/>
    <w:rsid w:val="002C55E7"/>
    <w:rsid w:val="002C58B3"/>
    <w:rsid w:val="002C5D63"/>
    <w:rsid w:val="002C5FD4"/>
    <w:rsid w:val="002C6048"/>
    <w:rsid w:val="002C60B2"/>
    <w:rsid w:val="002C6797"/>
    <w:rsid w:val="002C6A99"/>
    <w:rsid w:val="002C70F6"/>
    <w:rsid w:val="002C71C1"/>
    <w:rsid w:val="002C75F4"/>
    <w:rsid w:val="002C7A98"/>
    <w:rsid w:val="002C7D20"/>
    <w:rsid w:val="002C7E8F"/>
    <w:rsid w:val="002D003F"/>
    <w:rsid w:val="002D0090"/>
    <w:rsid w:val="002D031B"/>
    <w:rsid w:val="002D08DE"/>
    <w:rsid w:val="002D09E7"/>
    <w:rsid w:val="002D0B89"/>
    <w:rsid w:val="002D0D0A"/>
    <w:rsid w:val="002D2F88"/>
    <w:rsid w:val="002D2FFE"/>
    <w:rsid w:val="002D3C93"/>
    <w:rsid w:val="002D3CBC"/>
    <w:rsid w:val="002D40AD"/>
    <w:rsid w:val="002D43D2"/>
    <w:rsid w:val="002D4662"/>
    <w:rsid w:val="002D492D"/>
    <w:rsid w:val="002D49E7"/>
    <w:rsid w:val="002D4E73"/>
    <w:rsid w:val="002D54CE"/>
    <w:rsid w:val="002D5FC3"/>
    <w:rsid w:val="002D6851"/>
    <w:rsid w:val="002D6F2B"/>
    <w:rsid w:val="002D6FE0"/>
    <w:rsid w:val="002D6FEE"/>
    <w:rsid w:val="002D72CB"/>
    <w:rsid w:val="002E012D"/>
    <w:rsid w:val="002E1328"/>
    <w:rsid w:val="002E1434"/>
    <w:rsid w:val="002E1B42"/>
    <w:rsid w:val="002E1B71"/>
    <w:rsid w:val="002E1C4E"/>
    <w:rsid w:val="002E3241"/>
    <w:rsid w:val="002E38B8"/>
    <w:rsid w:val="002E3C63"/>
    <w:rsid w:val="002E4DC5"/>
    <w:rsid w:val="002E5170"/>
    <w:rsid w:val="002E54E7"/>
    <w:rsid w:val="002E5807"/>
    <w:rsid w:val="002E5ADA"/>
    <w:rsid w:val="002E5E3A"/>
    <w:rsid w:val="002E6468"/>
    <w:rsid w:val="002E6559"/>
    <w:rsid w:val="002E6586"/>
    <w:rsid w:val="002E6D2B"/>
    <w:rsid w:val="002E71ED"/>
    <w:rsid w:val="002E7426"/>
    <w:rsid w:val="002E7DEA"/>
    <w:rsid w:val="002F00D9"/>
    <w:rsid w:val="002F0333"/>
    <w:rsid w:val="002F0E49"/>
    <w:rsid w:val="002F1153"/>
    <w:rsid w:val="002F12F8"/>
    <w:rsid w:val="002F1A19"/>
    <w:rsid w:val="002F1B62"/>
    <w:rsid w:val="002F1E15"/>
    <w:rsid w:val="002F1F90"/>
    <w:rsid w:val="002F210F"/>
    <w:rsid w:val="002F225A"/>
    <w:rsid w:val="002F2357"/>
    <w:rsid w:val="002F2852"/>
    <w:rsid w:val="002F298E"/>
    <w:rsid w:val="002F2A82"/>
    <w:rsid w:val="002F2CF4"/>
    <w:rsid w:val="002F31AD"/>
    <w:rsid w:val="002F321C"/>
    <w:rsid w:val="002F330B"/>
    <w:rsid w:val="002F3630"/>
    <w:rsid w:val="002F3A3F"/>
    <w:rsid w:val="002F3C9D"/>
    <w:rsid w:val="002F3CAC"/>
    <w:rsid w:val="002F3EA7"/>
    <w:rsid w:val="002F4618"/>
    <w:rsid w:val="002F4667"/>
    <w:rsid w:val="002F479D"/>
    <w:rsid w:val="002F47C9"/>
    <w:rsid w:val="002F4998"/>
    <w:rsid w:val="002F4BE5"/>
    <w:rsid w:val="002F5114"/>
    <w:rsid w:val="002F577D"/>
    <w:rsid w:val="002F57E1"/>
    <w:rsid w:val="002F591A"/>
    <w:rsid w:val="002F5929"/>
    <w:rsid w:val="002F5C13"/>
    <w:rsid w:val="002F5E04"/>
    <w:rsid w:val="002F6464"/>
    <w:rsid w:val="002F65A1"/>
    <w:rsid w:val="002F73FD"/>
    <w:rsid w:val="002F7F75"/>
    <w:rsid w:val="00301018"/>
    <w:rsid w:val="0030127B"/>
    <w:rsid w:val="003015A0"/>
    <w:rsid w:val="00301844"/>
    <w:rsid w:val="0030187F"/>
    <w:rsid w:val="00302148"/>
    <w:rsid w:val="00302E6D"/>
    <w:rsid w:val="00303619"/>
    <w:rsid w:val="00303D08"/>
    <w:rsid w:val="003045E7"/>
    <w:rsid w:val="00304626"/>
    <w:rsid w:val="00304B97"/>
    <w:rsid w:val="00305388"/>
    <w:rsid w:val="00305561"/>
    <w:rsid w:val="00305630"/>
    <w:rsid w:val="00305F41"/>
    <w:rsid w:val="003060D2"/>
    <w:rsid w:val="003065DC"/>
    <w:rsid w:val="00307198"/>
    <w:rsid w:val="0030720B"/>
    <w:rsid w:val="003072C1"/>
    <w:rsid w:val="003074D5"/>
    <w:rsid w:val="0030772F"/>
    <w:rsid w:val="0031009D"/>
    <w:rsid w:val="00310A31"/>
    <w:rsid w:val="00310D47"/>
    <w:rsid w:val="00310DA3"/>
    <w:rsid w:val="00310F85"/>
    <w:rsid w:val="00311E4D"/>
    <w:rsid w:val="0031252B"/>
    <w:rsid w:val="00312D13"/>
    <w:rsid w:val="00312F41"/>
    <w:rsid w:val="00313088"/>
    <w:rsid w:val="0031311C"/>
    <w:rsid w:val="00313227"/>
    <w:rsid w:val="0031350A"/>
    <w:rsid w:val="00313599"/>
    <w:rsid w:val="0031388A"/>
    <w:rsid w:val="00314938"/>
    <w:rsid w:val="00315F3A"/>
    <w:rsid w:val="00316270"/>
    <w:rsid w:val="003164C4"/>
    <w:rsid w:val="00316565"/>
    <w:rsid w:val="00316A25"/>
    <w:rsid w:val="00316F38"/>
    <w:rsid w:val="00316FB9"/>
    <w:rsid w:val="00317328"/>
    <w:rsid w:val="003174F6"/>
    <w:rsid w:val="00320163"/>
    <w:rsid w:val="00320A5F"/>
    <w:rsid w:val="00320BC2"/>
    <w:rsid w:val="00320C22"/>
    <w:rsid w:val="0032127D"/>
    <w:rsid w:val="0032137B"/>
    <w:rsid w:val="00321466"/>
    <w:rsid w:val="0032188B"/>
    <w:rsid w:val="0032195D"/>
    <w:rsid w:val="00321EB0"/>
    <w:rsid w:val="0032214E"/>
    <w:rsid w:val="00322463"/>
    <w:rsid w:val="00322B60"/>
    <w:rsid w:val="00322CC5"/>
    <w:rsid w:val="00323795"/>
    <w:rsid w:val="003237B6"/>
    <w:rsid w:val="00323D4D"/>
    <w:rsid w:val="00323DDF"/>
    <w:rsid w:val="00323F22"/>
    <w:rsid w:val="00324E69"/>
    <w:rsid w:val="00324F89"/>
    <w:rsid w:val="00324FB4"/>
    <w:rsid w:val="00325339"/>
    <w:rsid w:val="00325652"/>
    <w:rsid w:val="003256D9"/>
    <w:rsid w:val="0032598C"/>
    <w:rsid w:val="00325C34"/>
    <w:rsid w:val="00327020"/>
    <w:rsid w:val="00330296"/>
    <w:rsid w:val="00330472"/>
    <w:rsid w:val="003304F7"/>
    <w:rsid w:val="0033074D"/>
    <w:rsid w:val="00330B1D"/>
    <w:rsid w:val="00330E90"/>
    <w:rsid w:val="0033110E"/>
    <w:rsid w:val="003316E6"/>
    <w:rsid w:val="003317AC"/>
    <w:rsid w:val="00331825"/>
    <w:rsid w:val="00331A69"/>
    <w:rsid w:val="00331C06"/>
    <w:rsid w:val="00331EC9"/>
    <w:rsid w:val="00331ED1"/>
    <w:rsid w:val="00331FD6"/>
    <w:rsid w:val="00332912"/>
    <w:rsid w:val="00332CB9"/>
    <w:rsid w:val="00332DEF"/>
    <w:rsid w:val="00332F3A"/>
    <w:rsid w:val="0033316E"/>
    <w:rsid w:val="0033324D"/>
    <w:rsid w:val="0033359B"/>
    <w:rsid w:val="003346D0"/>
    <w:rsid w:val="00334A58"/>
    <w:rsid w:val="00334CAC"/>
    <w:rsid w:val="00335495"/>
    <w:rsid w:val="00335C88"/>
    <w:rsid w:val="00335E18"/>
    <w:rsid w:val="00336D08"/>
    <w:rsid w:val="003370AE"/>
    <w:rsid w:val="003375CC"/>
    <w:rsid w:val="00337764"/>
    <w:rsid w:val="00337B31"/>
    <w:rsid w:val="00337F9C"/>
    <w:rsid w:val="003400B8"/>
    <w:rsid w:val="003402B9"/>
    <w:rsid w:val="00340370"/>
    <w:rsid w:val="00340524"/>
    <w:rsid w:val="0034087D"/>
    <w:rsid w:val="00340AA6"/>
    <w:rsid w:val="0034158F"/>
    <w:rsid w:val="003418C8"/>
    <w:rsid w:val="003421D5"/>
    <w:rsid w:val="003422BF"/>
    <w:rsid w:val="00342303"/>
    <w:rsid w:val="00342431"/>
    <w:rsid w:val="003425C5"/>
    <w:rsid w:val="0034309D"/>
    <w:rsid w:val="003430E8"/>
    <w:rsid w:val="003430FA"/>
    <w:rsid w:val="00343BD8"/>
    <w:rsid w:val="003442E6"/>
    <w:rsid w:val="0034431E"/>
    <w:rsid w:val="0034490E"/>
    <w:rsid w:val="00344B5E"/>
    <w:rsid w:val="003452FB"/>
    <w:rsid w:val="00345403"/>
    <w:rsid w:val="00346438"/>
    <w:rsid w:val="00346530"/>
    <w:rsid w:val="00346681"/>
    <w:rsid w:val="00346740"/>
    <w:rsid w:val="00346987"/>
    <w:rsid w:val="00346B10"/>
    <w:rsid w:val="00346FBD"/>
    <w:rsid w:val="0034739E"/>
    <w:rsid w:val="00347477"/>
    <w:rsid w:val="003475DC"/>
    <w:rsid w:val="00347729"/>
    <w:rsid w:val="0034798E"/>
    <w:rsid w:val="0034798F"/>
    <w:rsid w:val="00347CB5"/>
    <w:rsid w:val="00347DAE"/>
    <w:rsid w:val="00350937"/>
    <w:rsid w:val="0035111D"/>
    <w:rsid w:val="00351393"/>
    <w:rsid w:val="003525AA"/>
    <w:rsid w:val="00352B63"/>
    <w:rsid w:val="00352C72"/>
    <w:rsid w:val="00353F60"/>
    <w:rsid w:val="0035505C"/>
    <w:rsid w:val="00355147"/>
    <w:rsid w:val="00355875"/>
    <w:rsid w:val="0035591C"/>
    <w:rsid w:val="0035598D"/>
    <w:rsid w:val="003562D8"/>
    <w:rsid w:val="003562FA"/>
    <w:rsid w:val="00356869"/>
    <w:rsid w:val="00356A2A"/>
    <w:rsid w:val="00356AB7"/>
    <w:rsid w:val="00356AFE"/>
    <w:rsid w:val="00356C20"/>
    <w:rsid w:val="00357621"/>
    <w:rsid w:val="00357C8F"/>
    <w:rsid w:val="00360111"/>
    <w:rsid w:val="0036041D"/>
    <w:rsid w:val="00360574"/>
    <w:rsid w:val="003605F0"/>
    <w:rsid w:val="00360713"/>
    <w:rsid w:val="003609C4"/>
    <w:rsid w:val="00360FB7"/>
    <w:rsid w:val="00361017"/>
    <w:rsid w:val="00361BEB"/>
    <w:rsid w:val="00361F3B"/>
    <w:rsid w:val="003626D8"/>
    <w:rsid w:val="00362915"/>
    <w:rsid w:val="00362ED1"/>
    <w:rsid w:val="00363065"/>
    <w:rsid w:val="00363255"/>
    <w:rsid w:val="003646B1"/>
    <w:rsid w:val="00364C85"/>
    <w:rsid w:val="003655FF"/>
    <w:rsid w:val="00365919"/>
    <w:rsid w:val="00365955"/>
    <w:rsid w:val="003659C5"/>
    <w:rsid w:val="00365D2E"/>
    <w:rsid w:val="003662EF"/>
    <w:rsid w:val="0036668A"/>
    <w:rsid w:val="003667EE"/>
    <w:rsid w:val="003670CA"/>
    <w:rsid w:val="00367D22"/>
    <w:rsid w:val="00367EC8"/>
    <w:rsid w:val="00370488"/>
    <w:rsid w:val="003713D0"/>
    <w:rsid w:val="00371ABC"/>
    <w:rsid w:val="00372072"/>
    <w:rsid w:val="0037238D"/>
    <w:rsid w:val="00372453"/>
    <w:rsid w:val="0037296D"/>
    <w:rsid w:val="00372BE4"/>
    <w:rsid w:val="00372D51"/>
    <w:rsid w:val="003730CE"/>
    <w:rsid w:val="003739F2"/>
    <w:rsid w:val="00373FD7"/>
    <w:rsid w:val="003744A4"/>
    <w:rsid w:val="00374B54"/>
    <w:rsid w:val="00374BAF"/>
    <w:rsid w:val="00374E80"/>
    <w:rsid w:val="00374F67"/>
    <w:rsid w:val="00375060"/>
    <w:rsid w:val="00375149"/>
    <w:rsid w:val="00375EB7"/>
    <w:rsid w:val="00376564"/>
    <w:rsid w:val="003766B8"/>
    <w:rsid w:val="0037692D"/>
    <w:rsid w:val="00376BDD"/>
    <w:rsid w:val="00376CEE"/>
    <w:rsid w:val="003777D6"/>
    <w:rsid w:val="0038025F"/>
    <w:rsid w:val="0038028E"/>
    <w:rsid w:val="003809FF"/>
    <w:rsid w:val="00380BBB"/>
    <w:rsid w:val="00380DDE"/>
    <w:rsid w:val="003814D8"/>
    <w:rsid w:val="00381C5F"/>
    <w:rsid w:val="00382313"/>
    <w:rsid w:val="00382332"/>
    <w:rsid w:val="00382366"/>
    <w:rsid w:val="00382438"/>
    <w:rsid w:val="0038249E"/>
    <w:rsid w:val="003826AA"/>
    <w:rsid w:val="00382BD7"/>
    <w:rsid w:val="00382CD8"/>
    <w:rsid w:val="003839A7"/>
    <w:rsid w:val="00383D97"/>
    <w:rsid w:val="00383E8A"/>
    <w:rsid w:val="00383F28"/>
    <w:rsid w:val="0038418E"/>
    <w:rsid w:val="003841A4"/>
    <w:rsid w:val="0038472D"/>
    <w:rsid w:val="00384BDE"/>
    <w:rsid w:val="0038522A"/>
    <w:rsid w:val="00385241"/>
    <w:rsid w:val="0038579A"/>
    <w:rsid w:val="00385A64"/>
    <w:rsid w:val="00385B0F"/>
    <w:rsid w:val="00385C1F"/>
    <w:rsid w:val="003860A9"/>
    <w:rsid w:val="00386130"/>
    <w:rsid w:val="003866AF"/>
    <w:rsid w:val="003868C0"/>
    <w:rsid w:val="003874D4"/>
    <w:rsid w:val="003878DA"/>
    <w:rsid w:val="00387E6C"/>
    <w:rsid w:val="00390945"/>
    <w:rsid w:val="00390B18"/>
    <w:rsid w:val="00390DB2"/>
    <w:rsid w:val="00390E28"/>
    <w:rsid w:val="00390E3D"/>
    <w:rsid w:val="00390E76"/>
    <w:rsid w:val="00391C45"/>
    <w:rsid w:val="00391F19"/>
    <w:rsid w:val="00392057"/>
    <w:rsid w:val="0039286E"/>
    <w:rsid w:val="00392C2C"/>
    <w:rsid w:val="00393A48"/>
    <w:rsid w:val="00393CE5"/>
    <w:rsid w:val="00394239"/>
    <w:rsid w:val="0039433F"/>
    <w:rsid w:val="00394685"/>
    <w:rsid w:val="00394D45"/>
    <w:rsid w:val="00394E4D"/>
    <w:rsid w:val="0039595D"/>
    <w:rsid w:val="003959E8"/>
    <w:rsid w:val="003961A3"/>
    <w:rsid w:val="00396274"/>
    <w:rsid w:val="003963FC"/>
    <w:rsid w:val="0039684D"/>
    <w:rsid w:val="00396A3D"/>
    <w:rsid w:val="00396E97"/>
    <w:rsid w:val="00396FBB"/>
    <w:rsid w:val="003973FD"/>
    <w:rsid w:val="00397897"/>
    <w:rsid w:val="003979DD"/>
    <w:rsid w:val="00397A8E"/>
    <w:rsid w:val="00397AAF"/>
    <w:rsid w:val="00397DCB"/>
    <w:rsid w:val="003A0746"/>
    <w:rsid w:val="003A08FF"/>
    <w:rsid w:val="003A0C0C"/>
    <w:rsid w:val="003A0C26"/>
    <w:rsid w:val="003A13C6"/>
    <w:rsid w:val="003A1FEC"/>
    <w:rsid w:val="003A3078"/>
    <w:rsid w:val="003A3490"/>
    <w:rsid w:val="003A35E5"/>
    <w:rsid w:val="003A35F0"/>
    <w:rsid w:val="003A38C1"/>
    <w:rsid w:val="003A44FD"/>
    <w:rsid w:val="003A46B8"/>
    <w:rsid w:val="003A4798"/>
    <w:rsid w:val="003A4A9D"/>
    <w:rsid w:val="003A4C37"/>
    <w:rsid w:val="003A4CB7"/>
    <w:rsid w:val="003A53DE"/>
    <w:rsid w:val="003A57F6"/>
    <w:rsid w:val="003A5825"/>
    <w:rsid w:val="003A6100"/>
    <w:rsid w:val="003A62D7"/>
    <w:rsid w:val="003A646D"/>
    <w:rsid w:val="003A6C82"/>
    <w:rsid w:val="003A6E2F"/>
    <w:rsid w:val="003A7866"/>
    <w:rsid w:val="003A7D98"/>
    <w:rsid w:val="003A7DC8"/>
    <w:rsid w:val="003A7FD8"/>
    <w:rsid w:val="003B0147"/>
    <w:rsid w:val="003B04DB"/>
    <w:rsid w:val="003B0A88"/>
    <w:rsid w:val="003B10E8"/>
    <w:rsid w:val="003B18EA"/>
    <w:rsid w:val="003B192E"/>
    <w:rsid w:val="003B1DE4"/>
    <w:rsid w:val="003B1E36"/>
    <w:rsid w:val="003B1E8D"/>
    <w:rsid w:val="003B1E94"/>
    <w:rsid w:val="003B265E"/>
    <w:rsid w:val="003B26D1"/>
    <w:rsid w:val="003B3754"/>
    <w:rsid w:val="003B404E"/>
    <w:rsid w:val="003B40D9"/>
    <w:rsid w:val="003B40E0"/>
    <w:rsid w:val="003B4712"/>
    <w:rsid w:val="003B4772"/>
    <w:rsid w:val="003B4B63"/>
    <w:rsid w:val="003B580E"/>
    <w:rsid w:val="003B5A2A"/>
    <w:rsid w:val="003B5BFC"/>
    <w:rsid w:val="003B5FAB"/>
    <w:rsid w:val="003B63FC"/>
    <w:rsid w:val="003B691F"/>
    <w:rsid w:val="003B7186"/>
    <w:rsid w:val="003B719E"/>
    <w:rsid w:val="003B76BE"/>
    <w:rsid w:val="003B7804"/>
    <w:rsid w:val="003B7844"/>
    <w:rsid w:val="003C0D2F"/>
    <w:rsid w:val="003C0E52"/>
    <w:rsid w:val="003C1033"/>
    <w:rsid w:val="003C1036"/>
    <w:rsid w:val="003C1375"/>
    <w:rsid w:val="003C1970"/>
    <w:rsid w:val="003C1A49"/>
    <w:rsid w:val="003C1A9E"/>
    <w:rsid w:val="003C249A"/>
    <w:rsid w:val="003C2B39"/>
    <w:rsid w:val="003C379A"/>
    <w:rsid w:val="003C39F6"/>
    <w:rsid w:val="003C3AE3"/>
    <w:rsid w:val="003C3C9E"/>
    <w:rsid w:val="003C458D"/>
    <w:rsid w:val="003C4F69"/>
    <w:rsid w:val="003C5140"/>
    <w:rsid w:val="003C549F"/>
    <w:rsid w:val="003C5908"/>
    <w:rsid w:val="003C5C72"/>
    <w:rsid w:val="003C5FD0"/>
    <w:rsid w:val="003C65CB"/>
    <w:rsid w:val="003C6B0E"/>
    <w:rsid w:val="003C6E32"/>
    <w:rsid w:val="003C6E83"/>
    <w:rsid w:val="003C73AC"/>
    <w:rsid w:val="003C7E02"/>
    <w:rsid w:val="003D0360"/>
    <w:rsid w:val="003D0D70"/>
    <w:rsid w:val="003D0D72"/>
    <w:rsid w:val="003D118A"/>
    <w:rsid w:val="003D1452"/>
    <w:rsid w:val="003D15F1"/>
    <w:rsid w:val="003D17F6"/>
    <w:rsid w:val="003D1A31"/>
    <w:rsid w:val="003D232C"/>
    <w:rsid w:val="003D2404"/>
    <w:rsid w:val="003D27B4"/>
    <w:rsid w:val="003D2979"/>
    <w:rsid w:val="003D2EA3"/>
    <w:rsid w:val="003D3074"/>
    <w:rsid w:val="003D3713"/>
    <w:rsid w:val="003D3A47"/>
    <w:rsid w:val="003D3D64"/>
    <w:rsid w:val="003D42F1"/>
    <w:rsid w:val="003D43CF"/>
    <w:rsid w:val="003D4CC4"/>
    <w:rsid w:val="003D4E19"/>
    <w:rsid w:val="003D5984"/>
    <w:rsid w:val="003D5B25"/>
    <w:rsid w:val="003D5C59"/>
    <w:rsid w:val="003D5D30"/>
    <w:rsid w:val="003D60FA"/>
    <w:rsid w:val="003D64DD"/>
    <w:rsid w:val="003D7167"/>
    <w:rsid w:val="003D7C9E"/>
    <w:rsid w:val="003E027C"/>
    <w:rsid w:val="003E03FA"/>
    <w:rsid w:val="003E0C8A"/>
    <w:rsid w:val="003E1331"/>
    <w:rsid w:val="003E1CFE"/>
    <w:rsid w:val="003E206D"/>
    <w:rsid w:val="003E21E4"/>
    <w:rsid w:val="003E2A75"/>
    <w:rsid w:val="003E32E3"/>
    <w:rsid w:val="003E3306"/>
    <w:rsid w:val="003E3570"/>
    <w:rsid w:val="003E37C9"/>
    <w:rsid w:val="003E3AA3"/>
    <w:rsid w:val="003E3C64"/>
    <w:rsid w:val="003E4440"/>
    <w:rsid w:val="003E5286"/>
    <w:rsid w:val="003E58F8"/>
    <w:rsid w:val="003E5F85"/>
    <w:rsid w:val="003E625B"/>
    <w:rsid w:val="003E679E"/>
    <w:rsid w:val="003E6918"/>
    <w:rsid w:val="003E7763"/>
    <w:rsid w:val="003E7A5F"/>
    <w:rsid w:val="003E7D40"/>
    <w:rsid w:val="003F02A3"/>
    <w:rsid w:val="003F02C7"/>
    <w:rsid w:val="003F0AB5"/>
    <w:rsid w:val="003F0AFA"/>
    <w:rsid w:val="003F0C91"/>
    <w:rsid w:val="003F1286"/>
    <w:rsid w:val="003F129D"/>
    <w:rsid w:val="003F1346"/>
    <w:rsid w:val="003F1C12"/>
    <w:rsid w:val="003F1E32"/>
    <w:rsid w:val="003F25D0"/>
    <w:rsid w:val="003F2A94"/>
    <w:rsid w:val="003F2C64"/>
    <w:rsid w:val="003F2CE5"/>
    <w:rsid w:val="003F2DA6"/>
    <w:rsid w:val="003F331D"/>
    <w:rsid w:val="003F3456"/>
    <w:rsid w:val="003F3562"/>
    <w:rsid w:val="003F36F7"/>
    <w:rsid w:val="003F389C"/>
    <w:rsid w:val="003F3AE1"/>
    <w:rsid w:val="003F4485"/>
    <w:rsid w:val="003F44D0"/>
    <w:rsid w:val="003F4B54"/>
    <w:rsid w:val="003F4C3A"/>
    <w:rsid w:val="003F4C75"/>
    <w:rsid w:val="003F4D33"/>
    <w:rsid w:val="003F4EC4"/>
    <w:rsid w:val="003F4F37"/>
    <w:rsid w:val="003F4FB4"/>
    <w:rsid w:val="003F5ADC"/>
    <w:rsid w:val="003F5E23"/>
    <w:rsid w:val="003F67BD"/>
    <w:rsid w:val="003F6866"/>
    <w:rsid w:val="003F6A71"/>
    <w:rsid w:val="003F765D"/>
    <w:rsid w:val="003F79F7"/>
    <w:rsid w:val="003F7CBB"/>
    <w:rsid w:val="003F7E6E"/>
    <w:rsid w:val="004004D2"/>
    <w:rsid w:val="0040117E"/>
    <w:rsid w:val="00401D0A"/>
    <w:rsid w:val="00401EF2"/>
    <w:rsid w:val="00402DA4"/>
    <w:rsid w:val="00402DEE"/>
    <w:rsid w:val="00403F57"/>
    <w:rsid w:val="00403FA7"/>
    <w:rsid w:val="00404417"/>
    <w:rsid w:val="00404A56"/>
    <w:rsid w:val="00404A8B"/>
    <w:rsid w:val="00404EED"/>
    <w:rsid w:val="00405919"/>
    <w:rsid w:val="0040617B"/>
    <w:rsid w:val="0040651E"/>
    <w:rsid w:val="004065A5"/>
    <w:rsid w:val="00406EBA"/>
    <w:rsid w:val="004070E5"/>
    <w:rsid w:val="0040734F"/>
    <w:rsid w:val="00407419"/>
    <w:rsid w:val="00407468"/>
    <w:rsid w:val="00407488"/>
    <w:rsid w:val="00407568"/>
    <w:rsid w:val="00407682"/>
    <w:rsid w:val="00407A06"/>
    <w:rsid w:val="004102AC"/>
    <w:rsid w:val="0041092C"/>
    <w:rsid w:val="00410B55"/>
    <w:rsid w:val="00410BF1"/>
    <w:rsid w:val="00410C28"/>
    <w:rsid w:val="00411162"/>
    <w:rsid w:val="0041125C"/>
    <w:rsid w:val="0041127E"/>
    <w:rsid w:val="00411535"/>
    <w:rsid w:val="00411894"/>
    <w:rsid w:val="00411D9D"/>
    <w:rsid w:val="00411EFC"/>
    <w:rsid w:val="00412565"/>
    <w:rsid w:val="00412A67"/>
    <w:rsid w:val="00412C65"/>
    <w:rsid w:val="00413046"/>
    <w:rsid w:val="004132C7"/>
    <w:rsid w:val="0041346B"/>
    <w:rsid w:val="00413DC9"/>
    <w:rsid w:val="00414032"/>
    <w:rsid w:val="00414CE4"/>
    <w:rsid w:val="00415720"/>
    <w:rsid w:val="00415F11"/>
    <w:rsid w:val="0041707E"/>
    <w:rsid w:val="0041761D"/>
    <w:rsid w:val="0041777A"/>
    <w:rsid w:val="0041792A"/>
    <w:rsid w:val="00417BC5"/>
    <w:rsid w:val="00417CC0"/>
    <w:rsid w:val="00417DF7"/>
    <w:rsid w:val="00417FEE"/>
    <w:rsid w:val="004203EE"/>
    <w:rsid w:val="00420515"/>
    <w:rsid w:val="00420D85"/>
    <w:rsid w:val="004211E9"/>
    <w:rsid w:val="00421DB4"/>
    <w:rsid w:val="00422636"/>
    <w:rsid w:val="00422DA4"/>
    <w:rsid w:val="00422DE3"/>
    <w:rsid w:val="00422ECD"/>
    <w:rsid w:val="00424DC9"/>
    <w:rsid w:val="00425168"/>
    <w:rsid w:val="004252D4"/>
    <w:rsid w:val="0042534F"/>
    <w:rsid w:val="00425D21"/>
    <w:rsid w:val="00426A2B"/>
    <w:rsid w:val="00426E08"/>
    <w:rsid w:val="0042717A"/>
    <w:rsid w:val="00427824"/>
    <w:rsid w:val="00427834"/>
    <w:rsid w:val="00427888"/>
    <w:rsid w:val="00427947"/>
    <w:rsid w:val="004302B4"/>
    <w:rsid w:val="00430716"/>
    <w:rsid w:val="00430B9B"/>
    <w:rsid w:val="00430DEE"/>
    <w:rsid w:val="00431118"/>
    <w:rsid w:val="0043125C"/>
    <w:rsid w:val="00431775"/>
    <w:rsid w:val="00431A2F"/>
    <w:rsid w:val="00432432"/>
    <w:rsid w:val="00432551"/>
    <w:rsid w:val="004329DB"/>
    <w:rsid w:val="00432CA9"/>
    <w:rsid w:val="0043354B"/>
    <w:rsid w:val="0043366A"/>
    <w:rsid w:val="00433BEE"/>
    <w:rsid w:val="0043404D"/>
    <w:rsid w:val="0043475C"/>
    <w:rsid w:val="00434D9C"/>
    <w:rsid w:val="00435325"/>
    <w:rsid w:val="004356CD"/>
    <w:rsid w:val="004358CD"/>
    <w:rsid w:val="004359E4"/>
    <w:rsid w:val="00435A68"/>
    <w:rsid w:val="00435B51"/>
    <w:rsid w:val="004363D8"/>
    <w:rsid w:val="0043695D"/>
    <w:rsid w:val="00436CCC"/>
    <w:rsid w:val="00437337"/>
    <w:rsid w:val="00437604"/>
    <w:rsid w:val="004377DB"/>
    <w:rsid w:val="00437849"/>
    <w:rsid w:val="00437AE8"/>
    <w:rsid w:val="00437C33"/>
    <w:rsid w:val="00440DAF"/>
    <w:rsid w:val="0044161A"/>
    <w:rsid w:val="004416EB"/>
    <w:rsid w:val="00441B5F"/>
    <w:rsid w:val="00442C3B"/>
    <w:rsid w:val="00442CD5"/>
    <w:rsid w:val="00442D7A"/>
    <w:rsid w:val="004430B7"/>
    <w:rsid w:val="004437CE"/>
    <w:rsid w:val="004438BF"/>
    <w:rsid w:val="004443A8"/>
    <w:rsid w:val="00444F69"/>
    <w:rsid w:val="00445198"/>
    <w:rsid w:val="00445232"/>
    <w:rsid w:val="0044533F"/>
    <w:rsid w:val="004453B5"/>
    <w:rsid w:val="004453B6"/>
    <w:rsid w:val="00445A54"/>
    <w:rsid w:val="004464FF"/>
    <w:rsid w:val="0044670E"/>
    <w:rsid w:val="00446AC9"/>
    <w:rsid w:val="00446CBF"/>
    <w:rsid w:val="004473F0"/>
    <w:rsid w:val="00447502"/>
    <w:rsid w:val="0044791D"/>
    <w:rsid w:val="00447A3B"/>
    <w:rsid w:val="00447B07"/>
    <w:rsid w:val="00447D06"/>
    <w:rsid w:val="00447E01"/>
    <w:rsid w:val="00450295"/>
    <w:rsid w:val="004504A2"/>
    <w:rsid w:val="0045072E"/>
    <w:rsid w:val="0045170E"/>
    <w:rsid w:val="0045182B"/>
    <w:rsid w:val="00451BA6"/>
    <w:rsid w:val="00452536"/>
    <w:rsid w:val="004532DC"/>
    <w:rsid w:val="0045358C"/>
    <w:rsid w:val="0045403D"/>
    <w:rsid w:val="00454198"/>
    <w:rsid w:val="004542A6"/>
    <w:rsid w:val="0045478D"/>
    <w:rsid w:val="00455088"/>
    <w:rsid w:val="004552D9"/>
    <w:rsid w:val="0045593A"/>
    <w:rsid w:val="00455C86"/>
    <w:rsid w:val="00455CF6"/>
    <w:rsid w:val="00455E0C"/>
    <w:rsid w:val="00456337"/>
    <w:rsid w:val="004563A0"/>
    <w:rsid w:val="004565F4"/>
    <w:rsid w:val="0045660C"/>
    <w:rsid w:val="004566CA"/>
    <w:rsid w:val="00456A33"/>
    <w:rsid w:val="00456D4F"/>
    <w:rsid w:val="004576CE"/>
    <w:rsid w:val="00457C06"/>
    <w:rsid w:val="00457E16"/>
    <w:rsid w:val="00457E32"/>
    <w:rsid w:val="0046002D"/>
    <w:rsid w:val="004608D2"/>
    <w:rsid w:val="00460AF9"/>
    <w:rsid w:val="004616B2"/>
    <w:rsid w:val="004618F0"/>
    <w:rsid w:val="00461CEC"/>
    <w:rsid w:val="004623DB"/>
    <w:rsid w:val="00462B2F"/>
    <w:rsid w:val="004630EB"/>
    <w:rsid w:val="0046315D"/>
    <w:rsid w:val="004636CF"/>
    <w:rsid w:val="0046380F"/>
    <w:rsid w:val="0046407C"/>
    <w:rsid w:val="004643CD"/>
    <w:rsid w:val="00464426"/>
    <w:rsid w:val="0046475B"/>
    <w:rsid w:val="004649D4"/>
    <w:rsid w:val="00464AF5"/>
    <w:rsid w:val="00464F03"/>
    <w:rsid w:val="00465206"/>
    <w:rsid w:val="004657C9"/>
    <w:rsid w:val="00466085"/>
    <w:rsid w:val="00466821"/>
    <w:rsid w:val="00466D0A"/>
    <w:rsid w:val="00466F20"/>
    <w:rsid w:val="00467E7F"/>
    <w:rsid w:val="0047009B"/>
    <w:rsid w:val="00470199"/>
    <w:rsid w:val="004706AD"/>
    <w:rsid w:val="004707B5"/>
    <w:rsid w:val="0047222B"/>
    <w:rsid w:val="004727D2"/>
    <w:rsid w:val="00472F3D"/>
    <w:rsid w:val="00472F4E"/>
    <w:rsid w:val="00473059"/>
    <w:rsid w:val="0047323A"/>
    <w:rsid w:val="004733B7"/>
    <w:rsid w:val="00473F3D"/>
    <w:rsid w:val="0047417C"/>
    <w:rsid w:val="0047444E"/>
    <w:rsid w:val="00475199"/>
    <w:rsid w:val="00475201"/>
    <w:rsid w:val="0047537D"/>
    <w:rsid w:val="00475546"/>
    <w:rsid w:val="004755B9"/>
    <w:rsid w:val="00475954"/>
    <w:rsid w:val="004759FF"/>
    <w:rsid w:val="00475A6D"/>
    <w:rsid w:val="00475B10"/>
    <w:rsid w:val="00475B3D"/>
    <w:rsid w:val="004763A8"/>
    <w:rsid w:val="0047689D"/>
    <w:rsid w:val="00476F41"/>
    <w:rsid w:val="004774E6"/>
    <w:rsid w:val="004803D7"/>
    <w:rsid w:val="00480C2B"/>
    <w:rsid w:val="00480E7A"/>
    <w:rsid w:val="004810D0"/>
    <w:rsid w:val="00481259"/>
    <w:rsid w:val="00481911"/>
    <w:rsid w:val="004819A9"/>
    <w:rsid w:val="00481A4F"/>
    <w:rsid w:val="00481AC4"/>
    <w:rsid w:val="004822F4"/>
    <w:rsid w:val="004823FA"/>
    <w:rsid w:val="00482582"/>
    <w:rsid w:val="00482740"/>
    <w:rsid w:val="00483640"/>
    <w:rsid w:val="004837D8"/>
    <w:rsid w:val="00484042"/>
    <w:rsid w:val="004841CD"/>
    <w:rsid w:val="004854CC"/>
    <w:rsid w:val="004855E0"/>
    <w:rsid w:val="0048615B"/>
    <w:rsid w:val="00486391"/>
    <w:rsid w:val="004868D5"/>
    <w:rsid w:val="00486ADB"/>
    <w:rsid w:val="00486E8A"/>
    <w:rsid w:val="00487098"/>
    <w:rsid w:val="00490B7D"/>
    <w:rsid w:val="00491514"/>
    <w:rsid w:val="00491775"/>
    <w:rsid w:val="00491A49"/>
    <w:rsid w:val="00491E8C"/>
    <w:rsid w:val="00492204"/>
    <w:rsid w:val="004930A2"/>
    <w:rsid w:val="0049418F"/>
    <w:rsid w:val="004951A4"/>
    <w:rsid w:val="00495258"/>
    <w:rsid w:val="004959C7"/>
    <w:rsid w:val="00495E24"/>
    <w:rsid w:val="00496089"/>
    <w:rsid w:val="004962C6"/>
    <w:rsid w:val="0049642C"/>
    <w:rsid w:val="00496C6C"/>
    <w:rsid w:val="00497997"/>
    <w:rsid w:val="004979EE"/>
    <w:rsid w:val="00497C94"/>
    <w:rsid w:val="00497DD9"/>
    <w:rsid w:val="004A05F3"/>
    <w:rsid w:val="004A07F4"/>
    <w:rsid w:val="004A0F6D"/>
    <w:rsid w:val="004A1017"/>
    <w:rsid w:val="004A11A0"/>
    <w:rsid w:val="004A1361"/>
    <w:rsid w:val="004A13D5"/>
    <w:rsid w:val="004A1ADA"/>
    <w:rsid w:val="004A1C1D"/>
    <w:rsid w:val="004A209A"/>
    <w:rsid w:val="004A266C"/>
    <w:rsid w:val="004A2CD9"/>
    <w:rsid w:val="004A2D09"/>
    <w:rsid w:val="004A32A7"/>
    <w:rsid w:val="004A3770"/>
    <w:rsid w:val="004A3D13"/>
    <w:rsid w:val="004A4001"/>
    <w:rsid w:val="004A4B5A"/>
    <w:rsid w:val="004A56C0"/>
    <w:rsid w:val="004A5A7F"/>
    <w:rsid w:val="004A5B5C"/>
    <w:rsid w:val="004A5EA7"/>
    <w:rsid w:val="004A61E0"/>
    <w:rsid w:val="004A62F8"/>
    <w:rsid w:val="004A6D6D"/>
    <w:rsid w:val="004A6E6D"/>
    <w:rsid w:val="004A6E73"/>
    <w:rsid w:val="004A7588"/>
    <w:rsid w:val="004A77B8"/>
    <w:rsid w:val="004A7A9C"/>
    <w:rsid w:val="004B06D5"/>
    <w:rsid w:val="004B0BBE"/>
    <w:rsid w:val="004B0DAC"/>
    <w:rsid w:val="004B14F0"/>
    <w:rsid w:val="004B2213"/>
    <w:rsid w:val="004B2715"/>
    <w:rsid w:val="004B2E6B"/>
    <w:rsid w:val="004B42C1"/>
    <w:rsid w:val="004B43BF"/>
    <w:rsid w:val="004B4A94"/>
    <w:rsid w:val="004B4E1B"/>
    <w:rsid w:val="004B4E5B"/>
    <w:rsid w:val="004B561B"/>
    <w:rsid w:val="004B5DF8"/>
    <w:rsid w:val="004B629D"/>
    <w:rsid w:val="004B69E1"/>
    <w:rsid w:val="004B6DD8"/>
    <w:rsid w:val="004B7101"/>
    <w:rsid w:val="004B72AA"/>
    <w:rsid w:val="004B752F"/>
    <w:rsid w:val="004B76C9"/>
    <w:rsid w:val="004B77C4"/>
    <w:rsid w:val="004B7C66"/>
    <w:rsid w:val="004C0379"/>
    <w:rsid w:val="004C08D2"/>
    <w:rsid w:val="004C0CAF"/>
    <w:rsid w:val="004C0D8B"/>
    <w:rsid w:val="004C112B"/>
    <w:rsid w:val="004C160A"/>
    <w:rsid w:val="004C162A"/>
    <w:rsid w:val="004C1673"/>
    <w:rsid w:val="004C17BC"/>
    <w:rsid w:val="004C1A5B"/>
    <w:rsid w:val="004C1C4F"/>
    <w:rsid w:val="004C1CE6"/>
    <w:rsid w:val="004C1DA3"/>
    <w:rsid w:val="004C2618"/>
    <w:rsid w:val="004C294C"/>
    <w:rsid w:val="004C3999"/>
    <w:rsid w:val="004C3AA0"/>
    <w:rsid w:val="004C3D23"/>
    <w:rsid w:val="004C3F55"/>
    <w:rsid w:val="004C4549"/>
    <w:rsid w:val="004C4FA9"/>
    <w:rsid w:val="004C5393"/>
    <w:rsid w:val="004C542B"/>
    <w:rsid w:val="004C5BDB"/>
    <w:rsid w:val="004C6A24"/>
    <w:rsid w:val="004C6CE4"/>
    <w:rsid w:val="004C72CA"/>
    <w:rsid w:val="004C75C1"/>
    <w:rsid w:val="004C76DA"/>
    <w:rsid w:val="004C7C45"/>
    <w:rsid w:val="004C7C5C"/>
    <w:rsid w:val="004D011D"/>
    <w:rsid w:val="004D015F"/>
    <w:rsid w:val="004D05E7"/>
    <w:rsid w:val="004D08C6"/>
    <w:rsid w:val="004D0B01"/>
    <w:rsid w:val="004D0E03"/>
    <w:rsid w:val="004D14BB"/>
    <w:rsid w:val="004D168F"/>
    <w:rsid w:val="004D1881"/>
    <w:rsid w:val="004D1932"/>
    <w:rsid w:val="004D1B88"/>
    <w:rsid w:val="004D1E1B"/>
    <w:rsid w:val="004D1F3C"/>
    <w:rsid w:val="004D2000"/>
    <w:rsid w:val="004D25A4"/>
    <w:rsid w:val="004D2ED5"/>
    <w:rsid w:val="004D2F73"/>
    <w:rsid w:val="004D2FBD"/>
    <w:rsid w:val="004D316F"/>
    <w:rsid w:val="004D460F"/>
    <w:rsid w:val="004D4735"/>
    <w:rsid w:val="004D4A58"/>
    <w:rsid w:val="004D4A94"/>
    <w:rsid w:val="004D4D86"/>
    <w:rsid w:val="004D4DCE"/>
    <w:rsid w:val="004D5ED0"/>
    <w:rsid w:val="004D6291"/>
    <w:rsid w:val="004D62CC"/>
    <w:rsid w:val="004D69F4"/>
    <w:rsid w:val="004D72D6"/>
    <w:rsid w:val="004D7395"/>
    <w:rsid w:val="004D73BB"/>
    <w:rsid w:val="004D7476"/>
    <w:rsid w:val="004D7547"/>
    <w:rsid w:val="004D7BDD"/>
    <w:rsid w:val="004D7EE6"/>
    <w:rsid w:val="004D7F92"/>
    <w:rsid w:val="004E0257"/>
    <w:rsid w:val="004E0365"/>
    <w:rsid w:val="004E03A2"/>
    <w:rsid w:val="004E0AE2"/>
    <w:rsid w:val="004E161B"/>
    <w:rsid w:val="004E1A46"/>
    <w:rsid w:val="004E20D2"/>
    <w:rsid w:val="004E25DD"/>
    <w:rsid w:val="004E27B1"/>
    <w:rsid w:val="004E2937"/>
    <w:rsid w:val="004E2C63"/>
    <w:rsid w:val="004E3098"/>
    <w:rsid w:val="004E3416"/>
    <w:rsid w:val="004E3E5B"/>
    <w:rsid w:val="004E3F4A"/>
    <w:rsid w:val="004E50B7"/>
    <w:rsid w:val="004E55F0"/>
    <w:rsid w:val="004E5829"/>
    <w:rsid w:val="004E6243"/>
    <w:rsid w:val="004E6653"/>
    <w:rsid w:val="004E6990"/>
    <w:rsid w:val="004E6E05"/>
    <w:rsid w:val="004E6FB3"/>
    <w:rsid w:val="004E6FDB"/>
    <w:rsid w:val="004E7441"/>
    <w:rsid w:val="004F0991"/>
    <w:rsid w:val="004F13D5"/>
    <w:rsid w:val="004F1514"/>
    <w:rsid w:val="004F193F"/>
    <w:rsid w:val="004F22CE"/>
    <w:rsid w:val="004F28C5"/>
    <w:rsid w:val="004F28D3"/>
    <w:rsid w:val="004F301B"/>
    <w:rsid w:val="004F30B6"/>
    <w:rsid w:val="004F3370"/>
    <w:rsid w:val="004F3C7F"/>
    <w:rsid w:val="004F4010"/>
    <w:rsid w:val="004F4754"/>
    <w:rsid w:val="004F4B22"/>
    <w:rsid w:val="004F4C12"/>
    <w:rsid w:val="004F50B8"/>
    <w:rsid w:val="004F5419"/>
    <w:rsid w:val="004F5593"/>
    <w:rsid w:val="004F5647"/>
    <w:rsid w:val="004F5648"/>
    <w:rsid w:val="004F589E"/>
    <w:rsid w:val="004F6013"/>
    <w:rsid w:val="004F6617"/>
    <w:rsid w:val="004F6DA4"/>
    <w:rsid w:val="004F6EE4"/>
    <w:rsid w:val="004F6FF2"/>
    <w:rsid w:val="0050031C"/>
    <w:rsid w:val="00500471"/>
    <w:rsid w:val="00500593"/>
    <w:rsid w:val="00500B15"/>
    <w:rsid w:val="00500E85"/>
    <w:rsid w:val="0050123A"/>
    <w:rsid w:val="005012CF"/>
    <w:rsid w:val="005012D6"/>
    <w:rsid w:val="00501511"/>
    <w:rsid w:val="0050172B"/>
    <w:rsid w:val="00501B77"/>
    <w:rsid w:val="00501D12"/>
    <w:rsid w:val="0050220D"/>
    <w:rsid w:val="00502B97"/>
    <w:rsid w:val="00502C4F"/>
    <w:rsid w:val="00502F00"/>
    <w:rsid w:val="00502F9C"/>
    <w:rsid w:val="00503003"/>
    <w:rsid w:val="005033EB"/>
    <w:rsid w:val="00503754"/>
    <w:rsid w:val="00503945"/>
    <w:rsid w:val="00504052"/>
    <w:rsid w:val="005042B9"/>
    <w:rsid w:val="005048EE"/>
    <w:rsid w:val="00504BD8"/>
    <w:rsid w:val="00505061"/>
    <w:rsid w:val="0050553A"/>
    <w:rsid w:val="005056F7"/>
    <w:rsid w:val="00505A3D"/>
    <w:rsid w:val="005060D2"/>
    <w:rsid w:val="005067F8"/>
    <w:rsid w:val="00506EC3"/>
    <w:rsid w:val="005076EF"/>
    <w:rsid w:val="00507748"/>
    <w:rsid w:val="0050778A"/>
    <w:rsid w:val="00507ABB"/>
    <w:rsid w:val="00507B99"/>
    <w:rsid w:val="00507D31"/>
    <w:rsid w:val="0051019B"/>
    <w:rsid w:val="00510834"/>
    <w:rsid w:val="00511276"/>
    <w:rsid w:val="00511A9E"/>
    <w:rsid w:val="00511BB9"/>
    <w:rsid w:val="00512151"/>
    <w:rsid w:val="00512261"/>
    <w:rsid w:val="00512C07"/>
    <w:rsid w:val="00513020"/>
    <w:rsid w:val="005135C1"/>
    <w:rsid w:val="00513690"/>
    <w:rsid w:val="00513F84"/>
    <w:rsid w:val="005145A4"/>
    <w:rsid w:val="00514806"/>
    <w:rsid w:val="0051531C"/>
    <w:rsid w:val="0051550F"/>
    <w:rsid w:val="0051568B"/>
    <w:rsid w:val="00515F95"/>
    <w:rsid w:val="005160F9"/>
    <w:rsid w:val="005161DD"/>
    <w:rsid w:val="005161E1"/>
    <w:rsid w:val="0051654C"/>
    <w:rsid w:val="005168CC"/>
    <w:rsid w:val="005171C3"/>
    <w:rsid w:val="0051793D"/>
    <w:rsid w:val="005202F3"/>
    <w:rsid w:val="005203D7"/>
    <w:rsid w:val="00521091"/>
    <w:rsid w:val="00521D71"/>
    <w:rsid w:val="00521E78"/>
    <w:rsid w:val="0052220B"/>
    <w:rsid w:val="00522811"/>
    <w:rsid w:val="00522FA7"/>
    <w:rsid w:val="005232D4"/>
    <w:rsid w:val="005236FF"/>
    <w:rsid w:val="00523727"/>
    <w:rsid w:val="005237C5"/>
    <w:rsid w:val="005240B4"/>
    <w:rsid w:val="005243EC"/>
    <w:rsid w:val="005245A8"/>
    <w:rsid w:val="005249B8"/>
    <w:rsid w:val="00524F00"/>
    <w:rsid w:val="005250E0"/>
    <w:rsid w:val="005254CC"/>
    <w:rsid w:val="00525FB5"/>
    <w:rsid w:val="005260E8"/>
    <w:rsid w:val="005267FF"/>
    <w:rsid w:val="00526D6B"/>
    <w:rsid w:val="00526E02"/>
    <w:rsid w:val="00526EB2"/>
    <w:rsid w:val="00527123"/>
    <w:rsid w:val="00527FE1"/>
    <w:rsid w:val="0053001C"/>
    <w:rsid w:val="0053046A"/>
    <w:rsid w:val="00530941"/>
    <w:rsid w:val="00530A41"/>
    <w:rsid w:val="005310BA"/>
    <w:rsid w:val="005314EC"/>
    <w:rsid w:val="0053163C"/>
    <w:rsid w:val="0053166B"/>
    <w:rsid w:val="00531740"/>
    <w:rsid w:val="0053175F"/>
    <w:rsid w:val="005318A7"/>
    <w:rsid w:val="005318CF"/>
    <w:rsid w:val="00531F7D"/>
    <w:rsid w:val="005320AF"/>
    <w:rsid w:val="0053289B"/>
    <w:rsid w:val="00532CFC"/>
    <w:rsid w:val="00532EBE"/>
    <w:rsid w:val="00533649"/>
    <w:rsid w:val="0053391C"/>
    <w:rsid w:val="00533CC5"/>
    <w:rsid w:val="00533DCA"/>
    <w:rsid w:val="00534545"/>
    <w:rsid w:val="005349A9"/>
    <w:rsid w:val="00534BC3"/>
    <w:rsid w:val="00534D4D"/>
    <w:rsid w:val="00534E95"/>
    <w:rsid w:val="0053502E"/>
    <w:rsid w:val="00535218"/>
    <w:rsid w:val="0053528F"/>
    <w:rsid w:val="005352D5"/>
    <w:rsid w:val="0053715E"/>
    <w:rsid w:val="00537621"/>
    <w:rsid w:val="00537B1D"/>
    <w:rsid w:val="00540195"/>
    <w:rsid w:val="00540736"/>
    <w:rsid w:val="0054094D"/>
    <w:rsid w:val="00540B9B"/>
    <w:rsid w:val="005411BB"/>
    <w:rsid w:val="005414DC"/>
    <w:rsid w:val="00541E60"/>
    <w:rsid w:val="005427F8"/>
    <w:rsid w:val="00542C7C"/>
    <w:rsid w:val="00542D0C"/>
    <w:rsid w:val="00543071"/>
    <w:rsid w:val="00543918"/>
    <w:rsid w:val="00544128"/>
    <w:rsid w:val="0054505C"/>
    <w:rsid w:val="005452FA"/>
    <w:rsid w:val="00545B15"/>
    <w:rsid w:val="0054672D"/>
    <w:rsid w:val="00547436"/>
    <w:rsid w:val="005476F6"/>
    <w:rsid w:val="00547C3E"/>
    <w:rsid w:val="00550625"/>
    <w:rsid w:val="00550D38"/>
    <w:rsid w:val="0055136E"/>
    <w:rsid w:val="005520E3"/>
    <w:rsid w:val="00552254"/>
    <w:rsid w:val="0055275F"/>
    <w:rsid w:val="00553387"/>
    <w:rsid w:val="00553692"/>
    <w:rsid w:val="00553914"/>
    <w:rsid w:val="005544C8"/>
    <w:rsid w:val="00554A0C"/>
    <w:rsid w:val="00554E7C"/>
    <w:rsid w:val="005551B4"/>
    <w:rsid w:val="00555395"/>
    <w:rsid w:val="00555451"/>
    <w:rsid w:val="0055589F"/>
    <w:rsid w:val="00555C05"/>
    <w:rsid w:val="00555F22"/>
    <w:rsid w:val="00555F98"/>
    <w:rsid w:val="005561A5"/>
    <w:rsid w:val="00557031"/>
    <w:rsid w:val="005576C3"/>
    <w:rsid w:val="00557B38"/>
    <w:rsid w:val="00560579"/>
    <w:rsid w:val="005617D3"/>
    <w:rsid w:val="00561DD3"/>
    <w:rsid w:val="005621A0"/>
    <w:rsid w:val="00562ACE"/>
    <w:rsid w:val="00562B3C"/>
    <w:rsid w:val="00562EA0"/>
    <w:rsid w:val="0056330F"/>
    <w:rsid w:val="00563490"/>
    <w:rsid w:val="00563900"/>
    <w:rsid w:val="00563923"/>
    <w:rsid w:val="00563CB8"/>
    <w:rsid w:val="005641C2"/>
    <w:rsid w:val="00564B2C"/>
    <w:rsid w:val="00564EED"/>
    <w:rsid w:val="005652FC"/>
    <w:rsid w:val="00565B50"/>
    <w:rsid w:val="00565BB7"/>
    <w:rsid w:val="00565FD1"/>
    <w:rsid w:val="0056603C"/>
    <w:rsid w:val="0056690E"/>
    <w:rsid w:val="00566AEC"/>
    <w:rsid w:val="00566C9E"/>
    <w:rsid w:val="00566D94"/>
    <w:rsid w:val="00567027"/>
    <w:rsid w:val="00567411"/>
    <w:rsid w:val="0056759F"/>
    <w:rsid w:val="005677B9"/>
    <w:rsid w:val="00567BF3"/>
    <w:rsid w:val="0057034A"/>
    <w:rsid w:val="005706B5"/>
    <w:rsid w:val="00571A00"/>
    <w:rsid w:val="0057222A"/>
    <w:rsid w:val="005728FC"/>
    <w:rsid w:val="0057293F"/>
    <w:rsid w:val="00572DC4"/>
    <w:rsid w:val="00572E5D"/>
    <w:rsid w:val="00572FF7"/>
    <w:rsid w:val="005730CA"/>
    <w:rsid w:val="005732A1"/>
    <w:rsid w:val="005739CA"/>
    <w:rsid w:val="00573D71"/>
    <w:rsid w:val="00574094"/>
    <w:rsid w:val="00574728"/>
    <w:rsid w:val="005748B5"/>
    <w:rsid w:val="00575489"/>
    <w:rsid w:val="005755A8"/>
    <w:rsid w:val="00575E4E"/>
    <w:rsid w:val="00575E5A"/>
    <w:rsid w:val="0057694A"/>
    <w:rsid w:val="00577BFF"/>
    <w:rsid w:val="00580245"/>
    <w:rsid w:val="005805F8"/>
    <w:rsid w:val="00580981"/>
    <w:rsid w:val="00580DE2"/>
    <w:rsid w:val="005814F8"/>
    <w:rsid w:val="00581653"/>
    <w:rsid w:val="00581AA5"/>
    <w:rsid w:val="00581B80"/>
    <w:rsid w:val="005820D7"/>
    <w:rsid w:val="00582851"/>
    <w:rsid w:val="00582C8A"/>
    <w:rsid w:val="00583A81"/>
    <w:rsid w:val="00583B58"/>
    <w:rsid w:val="00583E0F"/>
    <w:rsid w:val="00583F49"/>
    <w:rsid w:val="005841F2"/>
    <w:rsid w:val="00584323"/>
    <w:rsid w:val="0058435A"/>
    <w:rsid w:val="00584616"/>
    <w:rsid w:val="0058474B"/>
    <w:rsid w:val="00584912"/>
    <w:rsid w:val="00584BE5"/>
    <w:rsid w:val="00584C57"/>
    <w:rsid w:val="00585602"/>
    <w:rsid w:val="00585BEB"/>
    <w:rsid w:val="00585C1E"/>
    <w:rsid w:val="00587D82"/>
    <w:rsid w:val="00587FD7"/>
    <w:rsid w:val="00590381"/>
    <w:rsid w:val="005904DF"/>
    <w:rsid w:val="00590861"/>
    <w:rsid w:val="00590AB9"/>
    <w:rsid w:val="005911C7"/>
    <w:rsid w:val="0059136E"/>
    <w:rsid w:val="0059161D"/>
    <w:rsid w:val="00591C11"/>
    <w:rsid w:val="00592295"/>
    <w:rsid w:val="0059229F"/>
    <w:rsid w:val="005923EE"/>
    <w:rsid w:val="005923F2"/>
    <w:rsid w:val="005924A6"/>
    <w:rsid w:val="005924CA"/>
    <w:rsid w:val="00592C06"/>
    <w:rsid w:val="0059303F"/>
    <w:rsid w:val="0059314D"/>
    <w:rsid w:val="005932D6"/>
    <w:rsid w:val="00593344"/>
    <w:rsid w:val="00593F04"/>
    <w:rsid w:val="005940DD"/>
    <w:rsid w:val="00594706"/>
    <w:rsid w:val="005949E8"/>
    <w:rsid w:val="00594EF7"/>
    <w:rsid w:val="00594FAB"/>
    <w:rsid w:val="005954DD"/>
    <w:rsid w:val="00595674"/>
    <w:rsid w:val="005962D3"/>
    <w:rsid w:val="0059647E"/>
    <w:rsid w:val="005976E6"/>
    <w:rsid w:val="005976F7"/>
    <w:rsid w:val="00597B64"/>
    <w:rsid w:val="005A0680"/>
    <w:rsid w:val="005A07C6"/>
    <w:rsid w:val="005A08CD"/>
    <w:rsid w:val="005A0FE3"/>
    <w:rsid w:val="005A1C05"/>
    <w:rsid w:val="005A2042"/>
    <w:rsid w:val="005A2DC1"/>
    <w:rsid w:val="005A30EC"/>
    <w:rsid w:val="005A325F"/>
    <w:rsid w:val="005A3EEA"/>
    <w:rsid w:val="005A41A1"/>
    <w:rsid w:val="005A4732"/>
    <w:rsid w:val="005A4944"/>
    <w:rsid w:val="005A4E9B"/>
    <w:rsid w:val="005A538C"/>
    <w:rsid w:val="005A5A65"/>
    <w:rsid w:val="005A5B97"/>
    <w:rsid w:val="005A5BC8"/>
    <w:rsid w:val="005A5CFF"/>
    <w:rsid w:val="005A5D2A"/>
    <w:rsid w:val="005A6444"/>
    <w:rsid w:val="005A654D"/>
    <w:rsid w:val="005A6CF0"/>
    <w:rsid w:val="005A701A"/>
    <w:rsid w:val="005A7A01"/>
    <w:rsid w:val="005A7C6D"/>
    <w:rsid w:val="005A7EB0"/>
    <w:rsid w:val="005B03F6"/>
    <w:rsid w:val="005B04FA"/>
    <w:rsid w:val="005B052D"/>
    <w:rsid w:val="005B0A51"/>
    <w:rsid w:val="005B14F4"/>
    <w:rsid w:val="005B1B22"/>
    <w:rsid w:val="005B2516"/>
    <w:rsid w:val="005B282A"/>
    <w:rsid w:val="005B286E"/>
    <w:rsid w:val="005B29CD"/>
    <w:rsid w:val="005B3155"/>
    <w:rsid w:val="005B3CBB"/>
    <w:rsid w:val="005B3D81"/>
    <w:rsid w:val="005B3EEE"/>
    <w:rsid w:val="005B3FB4"/>
    <w:rsid w:val="005B416A"/>
    <w:rsid w:val="005B48B6"/>
    <w:rsid w:val="005B4D95"/>
    <w:rsid w:val="005B5494"/>
    <w:rsid w:val="005B54B4"/>
    <w:rsid w:val="005B6A0F"/>
    <w:rsid w:val="005B6CA1"/>
    <w:rsid w:val="005B6E34"/>
    <w:rsid w:val="005B6E36"/>
    <w:rsid w:val="005B6FB0"/>
    <w:rsid w:val="005B7076"/>
    <w:rsid w:val="005B757C"/>
    <w:rsid w:val="005B760F"/>
    <w:rsid w:val="005B7882"/>
    <w:rsid w:val="005B7945"/>
    <w:rsid w:val="005B7A01"/>
    <w:rsid w:val="005C000B"/>
    <w:rsid w:val="005C037F"/>
    <w:rsid w:val="005C068B"/>
    <w:rsid w:val="005C0C2D"/>
    <w:rsid w:val="005C1C56"/>
    <w:rsid w:val="005C1D9B"/>
    <w:rsid w:val="005C3166"/>
    <w:rsid w:val="005C35FA"/>
    <w:rsid w:val="005C372A"/>
    <w:rsid w:val="005C3A42"/>
    <w:rsid w:val="005C4499"/>
    <w:rsid w:val="005C4CF0"/>
    <w:rsid w:val="005C4D51"/>
    <w:rsid w:val="005C5256"/>
    <w:rsid w:val="005C538B"/>
    <w:rsid w:val="005C5443"/>
    <w:rsid w:val="005C56B3"/>
    <w:rsid w:val="005C5807"/>
    <w:rsid w:val="005C5E72"/>
    <w:rsid w:val="005C6067"/>
    <w:rsid w:val="005C7C32"/>
    <w:rsid w:val="005C7D25"/>
    <w:rsid w:val="005D0012"/>
    <w:rsid w:val="005D02DD"/>
    <w:rsid w:val="005D0474"/>
    <w:rsid w:val="005D07F9"/>
    <w:rsid w:val="005D14F8"/>
    <w:rsid w:val="005D17E4"/>
    <w:rsid w:val="005D1C79"/>
    <w:rsid w:val="005D1DDB"/>
    <w:rsid w:val="005D240E"/>
    <w:rsid w:val="005D24F9"/>
    <w:rsid w:val="005D2D6A"/>
    <w:rsid w:val="005D35CC"/>
    <w:rsid w:val="005D365A"/>
    <w:rsid w:val="005D3AFA"/>
    <w:rsid w:val="005D4AF3"/>
    <w:rsid w:val="005D4B7A"/>
    <w:rsid w:val="005D4CDB"/>
    <w:rsid w:val="005D4DB0"/>
    <w:rsid w:val="005D51C0"/>
    <w:rsid w:val="005D53EA"/>
    <w:rsid w:val="005D54D0"/>
    <w:rsid w:val="005D5644"/>
    <w:rsid w:val="005D5761"/>
    <w:rsid w:val="005D5C32"/>
    <w:rsid w:val="005D5D97"/>
    <w:rsid w:val="005D5F44"/>
    <w:rsid w:val="005D64AC"/>
    <w:rsid w:val="005D6B3E"/>
    <w:rsid w:val="005D6E09"/>
    <w:rsid w:val="005D6F24"/>
    <w:rsid w:val="005D6FCB"/>
    <w:rsid w:val="005D7C8D"/>
    <w:rsid w:val="005D7EE7"/>
    <w:rsid w:val="005E0B1F"/>
    <w:rsid w:val="005E1140"/>
    <w:rsid w:val="005E1ECB"/>
    <w:rsid w:val="005E29F1"/>
    <w:rsid w:val="005E2C2D"/>
    <w:rsid w:val="005E325A"/>
    <w:rsid w:val="005E440C"/>
    <w:rsid w:val="005E44FE"/>
    <w:rsid w:val="005E49DF"/>
    <w:rsid w:val="005E5D11"/>
    <w:rsid w:val="005E5EEC"/>
    <w:rsid w:val="005E61CC"/>
    <w:rsid w:val="005E6DD8"/>
    <w:rsid w:val="005E6ED5"/>
    <w:rsid w:val="005E6F84"/>
    <w:rsid w:val="005E725D"/>
    <w:rsid w:val="005E72B8"/>
    <w:rsid w:val="005E73A5"/>
    <w:rsid w:val="005E7B80"/>
    <w:rsid w:val="005F06FD"/>
    <w:rsid w:val="005F174A"/>
    <w:rsid w:val="005F1AFF"/>
    <w:rsid w:val="005F2513"/>
    <w:rsid w:val="005F253D"/>
    <w:rsid w:val="005F2A7D"/>
    <w:rsid w:val="005F2ACB"/>
    <w:rsid w:val="005F2E5C"/>
    <w:rsid w:val="005F30D7"/>
    <w:rsid w:val="005F3472"/>
    <w:rsid w:val="005F3E49"/>
    <w:rsid w:val="005F407A"/>
    <w:rsid w:val="005F420E"/>
    <w:rsid w:val="005F42DE"/>
    <w:rsid w:val="005F4471"/>
    <w:rsid w:val="005F44F6"/>
    <w:rsid w:val="005F45C2"/>
    <w:rsid w:val="005F4D8A"/>
    <w:rsid w:val="005F508C"/>
    <w:rsid w:val="005F523C"/>
    <w:rsid w:val="005F539B"/>
    <w:rsid w:val="005F572D"/>
    <w:rsid w:val="005F5BA4"/>
    <w:rsid w:val="005F6F52"/>
    <w:rsid w:val="005F6FD1"/>
    <w:rsid w:val="005F74A8"/>
    <w:rsid w:val="005F78CC"/>
    <w:rsid w:val="005F7AF9"/>
    <w:rsid w:val="005F7BA5"/>
    <w:rsid w:val="00600387"/>
    <w:rsid w:val="0060095B"/>
    <w:rsid w:val="00601132"/>
    <w:rsid w:val="0060154F"/>
    <w:rsid w:val="00601E54"/>
    <w:rsid w:val="00601E6E"/>
    <w:rsid w:val="0060202A"/>
    <w:rsid w:val="00602101"/>
    <w:rsid w:val="00602307"/>
    <w:rsid w:val="00602670"/>
    <w:rsid w:val="00603D5D"/>
    <w:rsid w:val="0060460C"/>
    <w:rsid w:val="0060474F"/>
    <w:rsid w:val="00604B26"/>
    <w:rsid w:val="00604F9B"/>
    <w:rsid w:val="006053DD"/>
    <w:rsid w:val="00605D43"/>
    <w:rsid w:val="0060637F"/>
    <w:rsid w:val="006065D0"/>
    <w:rsid w:val="00607304"/>
    <w:rsid w:val="00607373"/>
    <w:rsid w:val="00607420"/>
    <w:rsid w:val="00610007"/>
    <w:rsid w:val="0061003F"/>
    <w:rsid w:val="00610985"/>
    <w:rsid w:val="00610ACE"/>
    <w:rsid w:val="00610C58"/>
    <w:rsid w:val="006113BC"/>
    <w:rsid w:val="006115B2"/>
    <w:rsid w:val="006123DA"/>
    <w:rsid w:val="006127F9"/>
    <w:rsid w:val="006131CD"/>
    <w:rsid w:val="00613FAB"/>
    <w:rsid w:val="00614059"/>
    <w:rsid w:val="00614442"/>
    <w:rsid w:val="00614805"/>
    <w:rsid w:val="0061480A"/>
    <w:rsid w:val="00615138"/>
    <w:rsid w:val="0061657C"/>
    <w:rsid w:val="00616864"/>
    <w:rsid w:val="0061701A"/>
    <w:rsid w:val="006175A0"/>
    <w:rsid w:val="00617692"/>
    <w:rsid w:val="0061769F"/>
    <w:rsid w:val="00617E11"/>
    <w:rsid w:val="00617E5A"/>
    <w:rsid w:val="00620AE6"/>
    <w:rsid w:val="00621044"/>
    <w:rsid w:val="0062158F"/>
    <w:rsid w:val="006218B5"/>
    <w:rsid w:val="006218BF"/>
    <w:rsid w:val="006222AE"/>
    <w:rsid w:val="006222CE"/>
    <w:rsid w:val="006223A8"/>
    <w:rsid w:val="00622402"/>
    <w:rsid w:val="00622414"/>
    <w:rsid w:val="006225A5"/>
    <w:rsid w:val="00622D67"/>
    <w:rsid w:val="00622DFD"/>
    <w:rsid w:val="00622F18"/>
    <w:rsid w:val="00623340"/>
    <w:rsid w:val="006233CD"/>
    <w:rsid w:val="00623543"/>
    <w:rsid w:val="00623998"/>
    <w:rsid w:val="00623B23"/>
    <w:rsid w:val="00624109"/>
    <w:rsid w:val="0062416D"/>
    <w:rsid w:val="006243AB"/>
    <w:rsid w:val="006244E9"/>
    <w:rsid w:val="006249ED"/>
    <w:rsid w:val="00624C34"/>
    <w:rsid w:val="00624CAC"/>
    <w:rsid w:val="00625176"/>
    <w:rsid w:val="00625904"/>
    <w:rsid w:val="00625A56"/>
    <w:rsid w:val="00625C0E"/>
    <w:rsid w:val="00625D7B"/>
    <w:rsid w:val="00625DF5"/>
    <w:rsid w:val="006268FE"/>
    <w:rsid w:val="00626FE1"/>
    <w:rsid w:val="006274CC"/>
    <w:rsid w:val="00627CFA"/>
    <w:rsid w:val="00627D9D"/>
    <w:rsid w:val="00627FB5"/>
    <w:rsid w:val="006300B6"/>
    <w:rsid w:val="00630528"/>
    <w:rsid w:val="00630856"/>
    <w:rsid w:val="00630DAE"/>
    <w:rsid w:val="00630EE1"/>
    <w:rsid w:val="00631436"/>
    <w:rsid w:val="006315D8"/>
    <w:rsid w:val="0063209D"/>
    <w:rsid w:val="006320DC"/>
    <w:rsid w:val="00632311"/>
    <w:rsid w:val="00632AE2"/>
    <w:rsid w:val="00632DAB"/>
    <w:rsid w:val="00632F8B"/>
    <w:rsid w:val="00634EF7"/>
    <w:rsid w:val="00634F2E"/>
    <w:rsid w:val="006351BD"/>
    <w:rsid w:val="006352A3"/>
    <w:rsid w:val="006355D7"/>
    <w:rsid w:val="00635CBC"/>
    <w:rsid w:val="00636760"/>
    <w:rsid w:val="00636D00"/>
    <w:rsid w:val="00636F7F"/>
    <w:rsid w:val="0063709F"/>
    <w:rsid w:val="006370EA"/>
    <w:rsid w:val="006371FD"/>
    <w:rsid w:val="0063744C"/>
    <w:rsid w:val="00637A34"/>
    <w:rsid w:val="0064071E"/>
    <w:rsid w:val="00640D61"/>
    <w:rsid w:val="00640F1A"/>
    <w:rsid w:val="00641072"/>
    <w:rsid w:val="00641760"/>
    <w:rsid w:val="00641F44"/>
    <w:rsid w:val="00641FD6"/>
    <w:rsid w:val="00642009"/>
    <w:rsid w:val="0064256C"/>
    <w:rsid w:val="00642858"/>
    <w:rsid w:val="00642EA1"/>
    <w:rsid w:val="00643143"/>
    <w:rsid w:val="006434EA"/>
    <w:rsid w:val="00643C3D"/>
    <w:rsid w:val="00643D59"/>
    <w:rsid w:val="006441D7"/>
    <w:rsid w:val="00644648"/>
    <w:rsid w:val="006446E5"/>
    <w:rsid w:val="00644768"/>
    <w:rsid w:val="00644F6B"/>
    <w:rsid w:val="00644FA1"/>
    <w:rsid w:val="00644FD0"/>
    <w:rsid w:val="0064514E"/>
    <w:rsid w:val="00645263"/>
    <w:rsid w:val="00645485"/>
    <w:rsid w:val="00645754"/>
    <w:rsid w:val="00645A0D"/>
    <w:rsid w:val="00645C56"/>
    <w:rsid w:val="00645CFE"/>
    <w:rsid w:val="00645DB8"/>
    <w:rsid w:val="00645EA3"/>
    <w:rsid w:val="00646400"/>
    <w:rsid w:val="00646738"/>
    <w:rsid w:val="006473DB"/>
    <w:rsid w:val="00647513"/>
    <w:rsid w:val="00647BD1"/>
    <w:rsid w:val="00647F32"/>
    <w:rsid w:val="00647FD5"/>
    <w:rsid w:val="00650358"/>
    <w:rsid w:val="0065068D"/>
    <w:rsid w:val="00650796"/>
    <w:rsid w:val="006508F6"/>
    <w:rsid w:val="00651300"/>
    <w:rsid w:val="00652593"/>
    <w:rsid w:val="00652E8A"/>
    <w:rsid w:val="00652FBF"/>
    <w:rsid w:val="006538AD"/>
    <w:rsid w:val="006539F0"/>
    <w:rsid w:val="00653BD4"/>
    <w:rsid w:val="006548A0"/>
    <w:rsid w:val="00654BC5"/>
    <w:rsid w:val="00654BDB"/>
    <w:rsid w:val="00654F0E"/>
    <w:rsid w:val="00654FC4"/>
    <w:rsid w:val="0065541E"/>
    <w:rsid w:val="00655B81"/>
    <w:rsid w:val="00655CB3"/>
    <w:rsid w:val="00656601"/>
    <w:rsid w:val="00656C03"/>
    <w:rsid w:val="0065717D"/>
    <w:rsid w:val="0065757D"/>
    <w:rsid w:val="00657816"/>
    <w:rsid w:val="0065789E"/>
    <w:rsid w:val="006579D1"/>
    <w:rsid w:val="006607F3"/>
    <w:rsid w:val="00660C0D"/>
    <w:rsid w:val="00660CAB"/>
    <w:rsid w:val="006614F0"/>
    <w:rsid w:val="00661A56"/>
    <w:rsid w:val="00661AD7"/>
    <w:rsid w:val="00661DE2"/>
    <w:rsid w:val="0066228B"/>
    <w:rsid w:val="00662404"/>
    <w:rsid w:val="006638ED"/>
    <w:rsid w:val="0066395F"/>
    <w:rsid w:val="00663B32"/>
    <w:rsid w:val="00663E5A"/>
    <w:rsid w:val="006645C7"/>
    <w:rsid w:val="00664B9D"/>
    <w:rsid w:val="006654E9"/>
    <w:rsid w:val="00665AA6"/>
    <w:rsid w:val="00665B57"/>
    <w:rsid w:val="0066607B"/>
    <w:rsid w:val="00666500"/>
    <w:rsid w:val="006672BB"/>
    <w:rsid w:val="006672CF"/>
    <w:rsid w:val="00667999"/>
    <w:rsid w:val="006706C4"/>
    <w:rsid w:val="006712B2"/>
    <w:rsid w:val="006717B9"/>
    <w:rsid w:val="00671926"/>
    <w:rsid w:val="00671C7F"/>
    <w:rsid w:val="006728E2"/>
    <w:rsid w:val="006728F6"/>
    <w:rsid w:val="00672BC3"/>
    <w:rsid w:val="00673528"/>
    <w:rsid w:val="00673A74"/>
    <w:rsid w:val="00673B85"/>
    <w:rsid w:val="00673EBC"/>
    <w:rsid w:val="00674CA7"/>
    <w:rsid w:val="00674D5E"/>
    <w:rsid w:val="00675676"/>
    <w:rsid w:val="00675920"/>
    <w:rsid w:val="00675A3C"/>
    <w:rsid w:val="00675AAE"/>
    <w:rsid w:val="00675AED"/>
    <w:rsid w:val="0067634D"/>
    <w:rsid w:val="00676520"/>
    <w:rsid w:val="006769B2"/>
    <w:rsid w:val="0067780B"/>
    <w:rsid w:val="00677A6A"/>
    <w:rsid w:val="0068060A"/>
    <w:rsid w:val="006809C1"/>
    <w:rsid w:val="00680C01"/>
    <w:rsid w:val="00681007"/>
    <w:rsid w:val="00681028"/>
    <w:rsid w:val="00681439"/>
    <w:rsid w:val="006814A2"/>
    <w:rsid w:val="0068195F"/>
    <w:rsid w:val="00681DED"/>
    <w:rsid w:val="00681EB7"/>
    <w:rsid w:val="00682108"/>
    <w:rsid w:val="00682577"/>
    <w:rsid w:val="00682636"/>
    <w:rsid w:val="00682847"/>
    <w:rsid w:val="006828DE"/>
    <w:rsid w:val="00682F32"/>
    <w:rsid w:val="00683029"/>
    <w:rsid w:val="00683603"/>
    <w:rsid w:val="00683920"/>
    <w:rsid w:val="00683A22"/>
    <w:rsid w:val="00683ADD"/>
    <w:rsid w:val="00683FFE"/>
    <w:rsid w:val="006841C5"/>
    <w:rsid w:val="006842FE"/>
    <w:rsid w:val="00684391"/>
    <w:rsid w:val="006845C2"/>
    <w:rsid w:val="006847C9"/>
    <w:rsid w:val="00684961"/>
    <w:rsid w:val="00684A52"/>
    <w:rsid w:val="00685057"/>
    <w:rsid w:val="006850CB"/>
    <w:rsid w:val="006854A1"/>
    <w:rsid w:val="0068581A"/>
    <w:rsid w:val="00685A5F"/>
    <w:rsid w:val="006860A9"/>
    <w:rsid w:val="006862B8"/>
    <w:rsid w:val="00686DBA"/>
    <w:rsid w:val="00686DD5"/>
    <w:rsid w:val="00686EBB"/>
    <w:rsid w:val="0068735F"/>
    <w:rsid w:val="00687DCD"/>
    <w:rsid w:val="00687E33"/>
    <w:rsid w:val="00687EC4"/>
    <w:rsid w:val="00687F32"/>
    <w:rsid w:val="00690914"/>
    <w:rsid w:val="0069183C"/>
    <w:rsid w:val="00691886"/>
    <w:rsid w:val="00691BB1"/>
    <w:rsid w:val="00692027"/>
    <w:rsid w:val="0069210D"/>
    <w:rsid w:val="00692582"/>
    <w:rsid w:val="00692E99"/>
    <w:rsid w:val="00693959"/>
    <w:rsid w:val="00693CBB"/>
    <w:rsid w:val="00693F71"/>
    <w:rsid w:val="00693FFB"/>
    <w:rsid w:val="0069439E"/>
    <w:rsid w:val="006946ED"/>
    <w:rsid w:val="00694EC8"/>
    <w:rsid w:val="00695088"/>
    <w:rsid w:val="006954EB"/>
    <w:rsid w:val="00695833"/>
    <w:rsid w:val="00695857"/>
    <w:rsid w:val="00695B4D"/>
    <w:rsid w:val="0069610B"/>
    <w:rsid w:val="00696AFF"/>
    <w:rsid w:val="00696C1B"/>
    <w:rsid w:val="00696F37"/>
    <w:rsid w:val="00697452"/>
    <w:rsid w:val="00697548"/>
    <w:rsid w:val="006975F1"/>
    <w:rsid w:val="006978D3"/>
    <w:rsid w:val="006A060B"/>
    <w:rsid w:val="006A06D5"/>
    <w:rsid w:val="006A0800"/>
    <w:rsid w:val="006A0BF1"/>
    <w:rsid w:val="006A116D"/>
    <w:rsid w:val="006A30F9"/>
    <w:rsid w:val="006A3495"/>
    <w:rsid w:val="006A356F"/>
    <w:rsid w:val="006A3709"/>
    <w:rsid w:val="006A3D56"/>
    <w:rsid w:val="006A3D7D"/>
    <w:rsid w:val="006A3E17"/>
    <w:rsid w:val="006A40B5"/>
    <w:rsid w:val="006A4766"/>
    <w:rsid w:val="006A4953"/>
    <w:rsid w:val="006A4BD0"/>
    <w:rsid w:val="006A4E40"/>
    <w:rsid w:val="006A57F6"/>
    <w:rsid w:val="006A5868"/>
    <w:rsid w:val="006A5B67"/>
    <w:rsid w:val="006A5E80"/>
    <w:rsid w:val="006A644D"/>
    <w:rsid w:val="006A677F"/>
    <w:rsid w:val="006A6B4B"/>
    <w:rsid w:val="006A6D57"/>
    <w:rsid w:val="006A6F56"/>
    <w:rsid w:val="006A716C"/>
    <w:rsid w:val="006A72AC"/>
    <w:rsid w:val="006A7D8A"/>
    <w:rsid w:val="006A7FE7"/>
    <w:rsid w:val="006B0037"/>
    <w:rsid w:val="006B02A2"/>
    <w:rsid w:val="006B0608"/>
    <w:rsid w:val="006B0B67"/>
    <w:rsid w:val="006B11B5"/>
    <w:rsid w:val="006B1227"/>
    <w:rsid w:val="006B15FE"/>
    <w:rsid w:val="006B16B1"/>
    <w:rsid w:val="006B1A14"/>
    <w:rsid w:val="006B1BEA"/>
    <w:rsid w:val="006B215B"/>
    <w:rsid w:val="006B21F7"/>
    <w:rsid w:val="006B2319"/>
    <w:rsid w:val="006B2351"/>
    <w:rsid w:val="006B23CF"/>
    <w:rsid w:val="006B3147"/>
    <w:rsid w:val="006B3186"/>
    <w:rsid w:val="006B3385"/>
    <w:rsid w:val="006B3474"/>
    <w:rsid w:val="006B35AB"/>
    <w:rsid w:val="006B3908"/>
    <w:rsid w:val="006B3C60"/>
    <w:rsid w:val="006B4BA3"/>
    <w:rsid w:val="006B4C7A"/>
    <w:rsid w:val="006B557F"/>
    <w:rsid w:val="006B58B1"/>
    <w:rsid w:val="006B6DCC"/>
    <w:rsid w:val="006B744B"/>
    <w:rsid w:val="006B75B1"/>
    <w:rsid w:val="006B79E5"/>
    <w:rsid w:val="006C02F7"/>
    <w:rsid w:val="006C0692"/>
    <w:rsid w:val="006C149D"/>
    <w:rsid w:val="006C1BC7"/>
    <w:rsid w:val="006C1BEA"/>
    <w:rsid w:val="006C1DA1"/>
    <w:rsid w:val="006C21BE"/>
    <w:rsid w:val="006C234A"/>
    <w:rsid w:val="006C23F4"/>
    <w:rsid w:val="006C3035"/>
    <w:rsid w:val="006C36FA"/>
    <w:rsid w:val="006C3A7A"/>
    <w:rsid w:val="006C3B32"/>
    <w:rsid w:val="006C4640"/>
    <w:rsid w:val="006C46F4"/>
    <w:rsid w:val="006C4B88"/>
    <w:rsid w:val="006C5630"/>
    <w:rsid w:val="006C59DB"/>
    <w:rsid w:val="006C6194"/>
    <w:rsid w:val="006C61E9"/>
    <w:rsid w:val="006C63ED"/>
    <w:rsid w:val="006C74FC"/>
    <w:rsid w:val="006C7AF2"/>
    <w:rsid w:val="006D0115"/>
    <w:rsid w:val="006D02AE"/>
    <w:rsid w:val="006D03B8"/>
    <w:rsid w:val="006D085D"/>
    <w:rsid w:val="006D0FF2"/>
    <w:rsid w:val="006D1498"/>
    <w:rsid w:val="006D1B60"/>
    <w:rsid w:val="006D3314"/>
    <w:rsid w:val="006D33F0"/>
    <w:rsid w:val="006D37B4"/>
    <w:rsid w:val="006D37F1"/>
    <w:rsid w:val="006D393B"/>
    <w:rsid w:val="006D3D89"/>
    <w:rsid w:val="006D3FBE"/>
    <w:rsid w:val="006D4552"/>
    <w:rsid w:val="006D4794"/>
    <w:rsid w:val="006D4954"/>
    <w:rsid w:val="006D4D58"/>
    <w:rsid w:val="006D58F0"/>
    <w:rsid w:val="006D59A9"/>
    <w:rsid w:val="006D5BE0"/>
    <w:rsid w:val="006D5E20"/>
    <w:rsid w:val="006D68C8"/>
    <w:rsid w:val="006D69E6"/>
    <w:rsid w:val="006D6C3F"/>
    <w:rsid w:val="006D6C90"/>
    <w:rsid w:val="006D6CA3"/>
    <w:rsid w:val="006D6F90"/>
    <w:rsid w:val="006D703C"/>
    <w:rsid w:val="006D720E"/>
    <w:rsid w:val="006D7833"/>
    <w:rsid w:val="006D79CA"/>
    <w:rsid w:val="006E08E3"/>
    <w:rsid w:val="006E12D2"/>
    <w:rsid w:val="006E137B"/>
    <w:rsid w:val="006E1526"/>
    <w:rsid w:val="006E1E78"/>
    <w:rsid w:val="006E26F1"/>
    <w:rsid w:val="006E2E6F"/>
    <w:rsid w:val="006E33F3"/>
    <w:rsid w:val="006E3AB9"/>
    <w:rsid w:val="006E3BC3"/>
    <w:rsid w:val="006E445D"/>
    <w:rsid w:val="006E4AD7"/>
    <w:rsid w:val="006E4D70"/>
    <w:rsid w:val="006E554A"/>
    <w:rsid w:val="006E5784"/>
    <w:rsid w:val="006E5F24"/>
    <w:rsid w:val="006E6F89"/>
    <w:rsid w:val="006E7276"/>
    <w:rsid w:val="006E7396"/>
    <w:rsid w:val="006E78A6"/>
    <w:rsid w:val="006E7D65"/>
    <w:rsid w:val="006F0178"/>
    <w:rsid w:val="006F06F4"/>
    <w:rsid w:val="006F080E"/>
    <w:rsid w:val="006F0BEA"/>
    <w:rsid w:val="006F0C82"/>
    <w:rsid w:val="006F1195"/>
    <w:rsid w:val="006F13EC"/>
    <w:rsid w:val="006F1854"/>
    <w:rsid w:val="006F1FE2"/>
    <w:rsid w:val="006F21C2"/>
    <w:rsid w:val="006F24E5"/>
    <w:rsid w:val="006F27AE"/>
    <w:rsid w:val="006F2A3A"/>
    <w:rsid w:val="006F392C"/>
    <w:rsid w:val="006F3947"/>
    <w:rsid w:val="006F3FB0"/>
    <w:rsid w:val="006F4424"/>
    <w:rsid w:val="006F46B7"/>
    <w:rsid w:val="006F55AC"/>
    <w:rsid w:val="006F6C16"/>
    <w:rsid w:val="006F7126"/>
    <w:rsid w:val="006F759E"/>
    <w:rsid w:val="006F75D4"/>
    <w:rsid w:val="006F7734"/>
    <w:rsid w:val="006F77B1"/>
    <w:rsid w:val="0070061A"/>
    <w:rsid w:val="00700742"/>
    <w:rsid w:val="00700C14"/>
    <w:rsid w:val="00700E64"/>
    <w:rsid w:val="00701175"/>
    <w:rsid w:val="00701575"/>
    <w:rsid w:val="0070158A"/>
    <w:rsid w:val="00701623"/>
    <w:rsid w:val="00701F2E"/>
    <w:rsid w:val="007027D2"/>
    <w:rsid w:val="00702E44"/>
    <w:rsid w:val="00702EF2"/>
    <w:rsid w:val="0070375F"/>
    <w:rsid w:val="00703843"/>
    <w:rsid w:val="007041A3"/>
    <w:rsid w:val="007045B8"/>
    <w:rsid w:val="007046B2"/>
    <w:rsid w:val="00704BAA"/>
    <w:rsid w:val="00704FAE"/>
    <w:rsid w:val="00705401"/>
    <w:rsid w:val="007058BC"/>
    <w:rsid w:val="00705A2C"/>
    <w:rsid w:val="00705E30"/>
    <w:rsid w:val="00705E35"/>
    <w:rsid w:val="00705FCC"/>
    <w:rsid w:val="007062D3"/>
    <w:rsid w:val="00706466"/>
    <w:rsid w:val="00706816"/>
    <w:rsid w:val="0070681C"/>
    <w:rsid w:val="00706A32"/>
    <w:rsid w:val="007070A0"/>
    <w:rsid w:val="00707374"/>
    <w:rsid w:val="007073F1"/>
    <w:rsid w:val="007077FB"/>
    <w:rsid w:val="00707845"/>
    <w:rsid w:val="007078F2"/>
    <w:rsid w:val="00707ECB"/>
    <w:rsid w:val="007100E7"/>
    <w:rsid w:val="00710208"/>
    <w:rsid w:val="00710EF7"/>
    <w:rsid w:val="007114D8"/>
    <w:rsid w:val="0071170F"/>
    <w:rsid w:val="0071191C"/>
    <w:rsid w:val="0071191F"/>
    <w:rsid w:val="00711943"/>
    <w:rsid w:val="00711DDA"/>
    <w:rsid w:val="00711FA3"/>
    <w:rsid w:val="00712233"/>
    <w:rsid w:val="007124B4"/>
    <w:rsid w:val="007128F1"/>
    <w:rsid w:val="00712A24"/>
    <w:rsid w:val="00712D76"/>
    <w:rsid w:val="007133B1"/>
    <w:rsid w:val="00713484"/>
    <w:rsid w:val="00714252"/>
    <w:rsid w:val="00714BF4"/>
    <w:rsid w:val="00714CCE"/>
    <w:rsid w:val="007153FA"/>
    <w:rsid w:val="0071556F"/>
    <w:rsid w:val="0071599F"/>
    <w:rsid w:val="00715DEC"/>
    <w:rsid w:val="0071616E"/>
    <w:rsid w:val="007162AB"/>
    <w:rsid w:val="00716ADE"/>
    <w:rsid w:val="00716E45"/>
    <w:rsid w:val="00717644"/>
    <w:rsid w:val="00717BBA"/>
    <w:rsid w:val="00720591"/>
    <w:rsid w:val="0072094D"/>
    <w:rsid w:val="00721097"/>
    <w:rsid w:val="0072165B"/>
    <w:rsid w:val="0072237A"/>
    <w:rsid w:val="007224D1"/>
    <w:rsid w:val="00722E2C"/>
    <w:rsid w:val="0072322E"/>
    <w:rsid w:val="00723571"/>
    <w:rsid w:val="007236D1"/>
    <w:rsid w:val="00723F59"/>
    <w:rsid w:val="00724114"/>
    <w:rsid w:val="007246DB"/>
    <w:rsid w:val="007249B5"/>
    <w:rsid w:val="00724C05"/>
    <w:rsid w:val="00724D04"/>
    <w:rsid w:val="0072545E"/>
    <w:rsid w:val="007254E1"/>
    <w:rsid w:val="00725576"/>
    <w:rsid w:val="00725FE6"/>
    <w:rsid w:val="007260F7"/>
    <w:rsid w:val="007266C1"/>
    <w:rsid w:val="00727A25"/>
    <w:rsid w:val="00727C3B"/>
    <w:rsid w:val="0073025C"/>
    <w:rsid w:val="007308B2"/>
    <w:rsid w:val="00730A9C"/>
    <w:rsid w:val="00730E62"/>
    <w:rsid w:val="0073193D"/>
    <w:rsid w:val="00731DC9"/>
    <w:rsid w:val="00732588"/>
    <w:rsid w:val="007325E7"/>
    <w:rsid w:val="0073288B"/>
    <w:rsid w:val="00732F64"/>
    <w:rsid w:val="00732FAC"/>
    <w:rsid w:val="0073307A"/>
    <w:rsid w:val="007330C6"/>
    <w:rsid w:val="00733D4C"/>
    <w:rsid w:val="0073450B"/>
    <w:rsid w:val="007349A6"/>
    <w:rsid w:val="00735B27"/>
    <w:rsid w:val="00735CD6"/>
    <w:rsid w:val="00735E46"/>
    <w:rsid w:val="00735F5C"/>
    <w:rsid w:val="007363D0"/>
    <w:rsid w:val="0073680E"/>
    <w:rsid w:val="00736864"/>
    <w:rsid w:val="0073690E"/>
    <w:rsid w:val="00736A69"/>
    <w:rsid w:val="00736AF4"/>
    <w:rsid w:val="007371F4"/>
    <w:rsid w:val="007376B1"/>
    <w:rsid w:val="00740586"/>
    <w:rsid w:val="00740B72"/>
    <w:rsid w:val="0074128E"/>
    <w:rsid w:val="0074163D"/>
    <w:rsid w:val="00741C7A"/>
    <w:rsid w:val="00741EF8"/>
    <w:rsid w:val="00742103"/>
    <w:rsid w:val="007423A1"/>
    <w:rsid w:val="007425E3"/>
    <w:rsid w:val="00742C01"/>
    <w:rsid w:val="00742C7C"/>
    <w:rsid w:val="00742C81"/>
    <w:rsid w:val="00743332"/>
    <w:rsid w:val="0074349F"/>
    <w:rsid w:val="00743925"/>
    <w:rsid w:val="00743FF7"/>
    <w:rsid w:val="0074549B"/>
    <w:rsid w:val="007457AE"/>
    <w:rsid w:val="00745918"/>
    <w:rsid w:val="007463F8"/>
    <w:rsid w:val="007466DC"/>
    <w:rsid w:val="007468C9"/>
    <w:rsid w:val="0074733E"/>
    <w:rsid w:val="00747462"/>
    <w:rsid w:val="00747772"/>
    <w:rsid w:val="00747A23"/>
    <w:rsid w:val="00747B5B"/>
    <w:rsid w:val="007501EE"/>
    <w:rsid w:val="0075021D"/>
    <w:rsid w:val="0075059C"/>
    <w:rsid w:val="00750E23"/>
    <w:rsid w:val="007513AE"/>
    <w:rsid w:val="00751A06"/>
    <w:rsid w:val="00752605"/>
    <w:rsid w:val="00752635"/>
    <w:rsid w:val="00753012"/>
    <w:rsid w:val="0075303C"/>
    <w:rsid w:val="0075329A"/>
    <w:rsid w:val="00753618"/>
    <w:rsid w:val="00754010"/>
    <w:rsid w:val="00754386"/>
    <w:rsid w:val="00754936"/>
    <w:rsid w:val="00754DE5"/>
    <w:rsid w:val="00754F32"/>
    <w:rsid w:val="0075500C"/>
    <w:rsid w:val="00755455"/>
    <w:rsid w:val="0075582F"/>
    <w:rsid w:val="0075588E"/>
    <w:rsid w:val="00755CE2"/>
    <w:rsid w:val="00756C86"/>
    <w:rsid w:val="00757179"/>
    <w:rsid w:val="0075728E"/>
    <w:rsid w:val="00757AC7"/>
    <w:rsid w:val="00757CEF"/>
    <w:rsid w:val="00757D1C"/>
    <w:rsid w:val="00757E84"/>
    <w:rsid w:val="00760031"/>
    <w:rsid w:val="00760038"/>
    <w:rsid w:val="00760926"/>
    <w:rsid w:val="00761419"/>
    <w:rsid w:val="007616BE"/>
    <w:rsid w:val="00761737"/>
    <w:rsid w:val="0076173F"/>
    <w:rsid w:val="00761BB2"/>
    <w:rsid w:val="00761D5D"/>
    <w:rsid w:val="0076240E"/>
    <w:rsid w:val="00762585"/>
    <w:rsid w:val="007626D5"/>
    <w:rsid w:val="007626EB"/>
    <w:rsid w:val="00762BC7"/>
    <w:rsid w:val="00762FDE"/>
    <w:rsid w:val="0076306B"/>
    <w:rsid w:val="00763BC9"/>
    <w:rsid w:val="0076430F"/>
    <w:rsid w:val="007644F8"/>
    <w:rsid w:val="00764941"/>
    <w:rsid w:val="00764C88"/>
    <w:rsid w:val="0076508B"/>
    <w:rsid w:val="007650A7"/>
    <w:rsid w:val="007657CA"/>
    <w:rsid w:val="007661E2"/>
    <w:rsid w:val="00766C9A"/>
    <w:rsid w:val="007679D8"/>
    <w:rsid w:val="007704E2"/>
    <w:rsid w:val="007705D8"/>
    <w:rsid w:val="00770795"/>
    <w:rsid w:val="007712B7"/>
    <w:rsid w:val="007715C9"/>
    <w:rsid w:val="00771AD6"/>
    <w:rsid w:val="00772660"/>
    <w:rsid w:val="007735C9"/>
    <w:rsid w:val="00773902"/>
    <w:rsid w:val="00773A04"/>
    <w:rsid w:val="00773D1E"/>
    <w:rsid w:val="00773DFD"/>
    <w:rsid w:val="0077463E"/>
    <w:rsid w:val="00774963"/>
    <w:rsid w:val="00774A6E"/>
    <w:rsid w:val="00774F54"/>
    <w:rsid w:val="00774F97"/>
    <w:rsid w:val="007756E3"/>
    <w:rsid w:val="00776A18"/>
    <w:rsid w:val="00776A46"/>
    <w:rsid w:val="007770CF"/>
    <w:rsid w:val="00777A66"/>
    <w:rsid w:val="00777B82"/>
    <w:rsid w:val="007802AC"/>
    <w:rsid w:val="00780A6F"/>
    <w:rsid w:val="00780E7C"/>
    <w:rsid w:val="00780ED7"/>
    <w:rsid w:val="007813A5"/>
    <w:rsid w:val="0078145A"/>
    <w:rsid w:val="0078151A"/>
    <w:rsid w:val="007818AA"/>
    <w:rsid w:val="007826F5"/>
    <w:rsid w:val="00782AC2"/>
    <w:rsid w:val="00782BC1"/>
    <w:rsid w:val="00783596"/>
    <w:rsid w:val="007835BE"/>
    <w:rsid w:val="00783A49"/>
    <w:rsid w:val="00783BF3"/>
    <w:rsid w:val="007844D1"/>
    <w:rsid w:val="00784638"/>
    <w:rsid w:val="00785C73"/>
    <w:rsid w:val="0078668F"/>
    <w:rsid w:val="0078673D"/>
    <w:rsid w:val="00786749"/>
    <w:rsid w:val="007868DA"/>
    <w:rsid w:val="00786B75"/>
    <w:rsid w:val="0078704E"/>
    <w:rsid w:val="00787592"/>
    <w:rsid w:val="0078767A"/>
    <w:rsid w:val="007878C7"/>
    <w:rsid w:val="00787AB7"/>
    <w:rsid w:val="00787D8C"/>
    <w:rsid w:val="00790053"/>
    <w:rsid w:val="007903E3"/>
    <w:rsid w:val="00790727"/>
    <w:rsid w:val="007908D3"/>
    <w:rsid w:val="00790B59"/>
    <w:rsid w:val="007911DE"/>
    <w:rsid w:val="00791522"/>
    <w:rsid w:val="00791CF5"/>
    <w:rsid w:val="00792259"/>
    <w:rsid w:val="00792387"/>
    <w:rsid w:val="0079248C"/>
    <w:rsid w:val="00792C41"/>
    <w:rsid w:val="00792C8F"/>
    <w:rsid w:val="00792F83"/>
    <w:rsid w:val="00793E99"/>
    <w:rsid w:val="00794254"/>
    <w:rsid w:val="00794AB8"/>
    <w:rsid w:val="007957A8"/>
    <w:rsid w:val="007958C5"/>
    <w:rsid w:val="00795A4A"/>
    <w:rsid w:val="00795EEB"/>
    <w:rsid w:val="0079610C"/>
    <w:rsid w:val="007962F5"/>
    <w:rsid w:val="007966AD"/>
    <w:rsid w:val="00796F45"/>
    <w:rsid w:val="007973B6"/>
    <w:rsid w:val="007A0AD3"/>
    <w:rsid w:val="007A0BFA"/>
    <w:rsid w:val="007A0E77"/>
    <w:rsid w:val="007A0E87"/>
    <w:rsid w:val="007A1333"/>
    <w:rsid w:val="007A166A"/>
    <w:rsid w:val="007A1AA8"/>
    <w:rsid w:val="007A1C3D"/>
    <w:rsid w:val="007A1EE6"/>
    <w:rsid w:val="007A2118"/>
    <w:rsid w:val="007A2DC3"/>
    <w:rsid w:val="007A2E17"/>
    <w:rsid w:val="007A2EAC"/>
    <w:rsid w:val="007A3AF1"/>
    <w:rsid w:val="007A3B50"/>
    <w:rsid w:val="007A3DCE"/>
    <w:rsid w:val="007A3E16"/>
    <w:rsid w:val="007A42F0"/>
    <w:rsid w:val="007A4A19"/>
    <w:rsid w:val="007A4BE4"/>
    <w:rsid w:val="007A509C"/>
    <w:rsid w:val="007A5F7A"/>
    <w:rsid w:val="007A605F"/>
    <w:rsid w:val="007A68B0"/>
    <w:rsid w:val="007A6D96"/>
    <w:rsid w:val="007A6DCE"/>
    <w:rsid w:val="007A74A0"/>
    <w:rsid w:val="007A7F09"/>
    <w:rsid w:val="007B0012"/>
    <w:rsid w:val="007B0297"/>
    <w:rsid w:val="007B03A9"/>
    <w:rsid w:val="007B0A45"/>
    <w:rsid w:val="007B0C92"/>
    <w:rsid w:val="007B14AD"/>
    <w:rsid w:val="007B183F"/>
    <w:rsid w:val="007B1B21"/>
    <w:rsid w:val="007B1D54"/>
    <w:rsid w:val="007B1DAA"/>
    <w:rsid w:val="007B3233"/>
    <w:rsid w:val="007B326B"/>
    <w:rsid w:val="007B3375"/>
    <w:rsid w:val="007B35B8"/>
    <w:rsid w:val="007B3EBA"/>
    <w:rsid w:val="007B494B"/>
    <w:rsid w:val="007B4A76"/>
    <w:rsid w:val="007B4A88"/>
    <w:rsid w:val="007B4B34"/>
    <w:rsid w:val="007B4FBB"/>
    <w:rsid w:val="007B5518"/>
    <w:rsid w:val="007B6628"/>
    <w:rsid w:val="007B6806"/>
    <w:rsid w:val="007B6B7B"/>
    <w:rsid w:val="007B72FD"/>
    <w:rsid w:val="007B7D17"/>
    <w:rsid w:val="007C0392"/>
    <w:rsid w:val="007C0536"/>
    <w:rsid w:val="007C0A59"/>
    <w:rsid w:val="007C0B74"/>
    <w:rsid w:val="007C0B99"/>
    <w:rsid w:val="007C0E15"/>
    <w:rsid w:val="007C1382"/>
    <w:rsid w:val="007C177B"/>
    <w:rsid w:val="007C297E"/>
    <w:rsid w:val="007C2A61"/>
    <w:rsid w:val="007C2EF2"/>
    <w:rsid w:val="007C3025"/>
    <w:rsid w:val="007C3287"/>
    <w:rsid w:val="007C33F8"/>
    <w:rsid w:val="007C3624"/>
    <w:rsid w:val="007C378F"/>
    <w:rsid w:val="007C3DFD"/>
    <w:rsid w:val="007C413A"/>
    <w:rsid w:val="007C4248"/>
    <w:rsid w:val="007C4923"/>
    <w:rsid w:val="007C4ABE"/>
    <w:rsid w:val="007C586D"/>
    <w:rsid w:val="007C5F4E"/>
    <w:rsid w:val="007C60C3"/>
    <w:rsid w:val="007C69DE"/>
    <w:rsid w:val="007C6EAE"/>
    <w:rsid w:val="007C6EB4"/>
    <w:rsid w:val="007C77C4"/>
    <w:rsid w:val="007C7A95"/>
    <w:rsid w:val="007C7EAF"/>
    <w:rsid w:val="007C7EC5"/>
    <w:rsid w:val="007D107B"/>
    <w:rsid w:val="007D132B"/>
    <w:rsid w:val="007D15FB"/>
    <w:rsid w:val="007D1684"/>
    <w:rsid w:val="007D2353"/>
    <w:rsid w:val="007D2725"/>
    <w:rsid w:val="007D2B22"/>
    <w:rsid w:val="007D314F"/>
    <w:rsid w:val="007D36ED"/>
    <w:rsid w:val="007D3E40"/>
    <w:rsid w:val="007D404D"/>
    <w:rsid w:val="007D46C4"/>
    <w:rsid w:val="007D4912"/>
    <w:rsid w:val="007D4BEB"/>
    <w:rsid w:val="007D4D9D"/>
    <w:rsid w:val="007D4FE6"/>
    <w:rsid w:val="007D52A5"/>
    <w:rsid w:val="007D5519"/>
    <w:rsid w:val="007D5547"/>
    <w:rsid w:val="007D55B6"/>
    <w:rsid w:val="007D55F4"/>
    <w:rsid w:val="007D5804"/>
    <w:rsid w:val="007D6655"/>
    <w:rsid w:val="007D6E27"/>
    <w:rsid w:val="007D7267"/>
    <w:rsid w:val="007D7CB7"/>
    <w:rsid w:val="007D7EB0"/>
    <w:rsid w:val="007D7ED5"/>
    <w:rsid w:val="007E048E"/>
    <w:rsid w:val="007E148E"/>
    <w:rsid w:val="007E156E"/>
    <w:rsid w:val="007E193D"/>
    <w:rsid w:val="007E1A96"/>
    <w:rsid w:val="007E1C2F"/>
    <w:rsid w:val="007E219E"/>
    <w:rsid w:val="007E21F6"/>
    <w:rsid w:val="007E35FA"/>
    <w:rsid w:val="007E3838"/>
    <w:rsid w:val="007E3DDF"/>
    <w:rsid w:val="007E4008"/>
    <w:rsid w:val="007E5058"/>
    <w:rsid w:val="007E5240"/>
    <w:rsid w:val="007E52BC"/>
    <w:rsid w:val="007E5472"/>
    <w:rsid w:val="007E556F"/>
    <w:rsid w:val="007E5DA5"/>
    <w:rsid w:val="007E6216"/>
    <w:rsid w:val="007E622B"/>
    <w:rsid w:val="007E62FA"/>
    <w:rsid w:val="007E6847"/>
    <w:rsid w:val="007E68D3"/>
    <w:rsid w:val="007E6AC1"/>
    <w:rsid w:val="007E74AF"/>
    <w:rsid w:val="007E75C2"/>
    <w:rsid w:val="007E767E"/>
    <w:rsid w:val="007E7696"/>
    <w:rsid w:val="007E7AF6"/>
    <w:rsid w:val="007E7B88"/>
    <w:rsid w:val="007E7D6A"/>
    <w:rsid w:val="007F0A14"/>
    <w:rsid w:val="007F0E27"/>
    <w:rsid w:val="007F196F"/>
    <w:rsid w:val="007F19DE"/>
    <w:rsid w:val="007F1B47"/>
    <w:rsid w:val="007F207B"/>
    <w:rsid w:val="007F21E0"/>
    <w:rsid w:val="007F231A"/>
    <w:rsid w:val="007F27D6"/>
    <w:rsid w:val="007F2CCA"/>
    <w:rsid w:val="007F2E34"/>
    <w:rsid w:val="007F3A06"/>
    <w:rsid w:val="007F40EB"/>
    <w:rsid w:val="007F4493"/>
    <w:rsid w:val="007F484E"/>
    <w:rsid w:val="007F4A32"/>
    <w:rsid w:val="007F50C6"/>
    <w:rsid w:val="007F5492"/>
    <w:rsid w:val="007F5724"/>
    <w:rsid w:val="007F5D04"/>
    <w:rsid w:val="007F60C5"/>
    <w:rsid w:val="007F6257"/>
    <w:rsid w:val="007F693B"/>
    <w:rsid w:val="007F6E60"/>
    <w:rsid w:val="007F6F57"/>
    <w:rsid w:val="007F6F99"/>
    <w:rsid w:val="007F7164"/>
    <w:rsid w:val="007F73F1"/>
    <w:rsid w:val="007F74A2"/>
    <w:rsid w:val="007F777E"/>
    <w:rsid w:val="007F7F6F"/>
    <w:rsid w:val="00800101"/>
    <w:rsid w:val="00800359"/>
    <w:rsid w:val="00800503"/>
    <w:rsid w:val="008007FF"/>
    <w:rsid w:val="00800AC9"/>
    <w:rsid w:val="00800C02"/>
    <w:rsid w:val="00800C6A"/>
    <w:rsid w:val="00801B6D"/>
    <w:rsid w:val="00801E74"/>
    <w:rsid w:val="008025EB"/>
    <w:rsid w:val="00802B57"/>
    <w:rsid w:val="00802E51"/>
    <w:rsid w:val="008032E3"/>
    <w:rsid w:val="00803503"/>
    <w:rsid w:val="008036A5"/>
    <w:rsid w:val="00803ACE"/>
    <w:rsid w:val="00803B68"/>
    <w:rsid w:val="00803BFB"/>
    <w:rsid w:val="00803E90"/>
    <w:rsid w:val="0080456E"/>
    <w:rsid w:val="00804D5F"/>
    <w:rsid w:val="00804E35"/>
    <w:rsid w:val="00805A23"/>
    <w:rsid w:val="00805CE9"/>
    <w:rsid w:val="008061A2"/>
    <w:rsid w:val="00806674"/>
    <w:rsid w:val="00806DE1"/>
    <w:rsid w:val="00807497"/>
    <w:rsid w:val="00807500"/>
    <w:rsid w:val="008076FC"/>
    <w:rsid w:val="008104A5"/>
    <w:rsid w:val="0081078A"/>
    <w:rsid w:val="00810A2E"/>
    <w:rsid w:val="00810A8C"/>
    <w:rsid w:val="00810AE1"/>
    <w:rsid w:val="00810B7D"/>
    <w:rsid w:val="00810D9E"/>
    <w:rsid w:val="008111CB"/>
    <w:rsid w:val="00811281"/>
    <w:rsid w:val="00812158"/>
    <w:rsid w:val="00812C51"/>
    <w:rsid w:val="00812E82"/>
    <w:rsid w:val="0081303F"/>
    <w:rsid w:val="00813BC5"/>
    <w:rsid w:val="00813D90"/>
    <w:rsid w:val="0081415F"/>
    <w:rsid w:val="008148C7"/>
    <w:rsid w:val="00814981"/>
    <w:rsid w:val="00814D5E"/>
    <w:rsid w:val="00814EA5"/>
    <w:rsid w:val="008151CC"/>
    <w:rsid w:val="008155D7"/>
    <w:rsid w:val="00815EC0"/>
    <w:rsid w:val="00816C7B"/>
    <w:rsid w:val="00816D13"/>
    <w:rsid w:val="00817219"/>
    <w:rsid w:val="008176AB"/>
    <w:rsid w:val="00817EAE"/>
    <w:rsid w:val="008202F6"/>
    <w:rsid w:val="00820724"/>
    <w:rsid w:val="008214A4"/>
    <w:rsid w:val="0082173B"/>
    <w:rsid w:val="00822642"/>
    <w:rsid w:val="00822FEF"/>
    <w:rsid w:val="00824225"/>
    <w:rsid w:val="008247B9"/>
    <w:rsid w:val="00825B2A"/>
    <w:rsid w:val="00825E0B"/>
    <w:rsid w:val="008261BC"/>
    <w:rsid w:val="00826AE8"/>
    <w:rsid w:val="00826FD8"/>
    <w:rsid w:val="00827513"/>
    <w:rsid w:val="00827520"/>
    <w:rsid w:val="00827970"/>
    <w:rsid w:val="00827B5C"/>
    <w:rsid w:val="00827BE5"/>
    <w:rsid w:val="0083016C"/>
    <w:rsid w:val="00830408"/>
    <w:rsid w:val="0083045F"/>
    <w:rsid w:val="00830509"/>
    <w:rsid w:val="00830581"/>
    <w:rsid w:val="00830C13"/>
    <w:rsid w:val="00830D57"/>
    <w:rsid w:val="00830E1E"/>
    <w:rsid w:val="008312D5"/>
    <w:rsid w:val="00831345"/>
    <w:rsid w:val="0083141E"/>
    <w:rsid w:val="00831CDA"/>
    <w:rsid w:val="00831FEF"/>
    <w:rsid w:val="0083213F"/>
    <w:rsid w:val="008329BB"/>
    <w:rsid w:val="00832C71"/>
    <w:rsid w:val="00832F50"/>
    <w:rsid w:val="008335FF"/>
    <w:rsid w:val="00833677"/>
    <w:rsid w:val="00833D81"/>
    <w:rsid w:val="00833F41"/>
    <w:rsid w:val="00833F98"/>
    <w:rsid w:val="008340B2"/>
    <w:rsid w:val="008340D1"/>
    <w:rsid w:val="00835E53"/>
    <w:rsid w:val="008360CE"/>
    <w:rsid w:val="00836F94"/>
    <w:rsid w:val="008376C8"/>
    <w:rsid w:val="00837715"/>
    <w:rsid w:val="00840370"/>
    <w:rsid w:val="008404F9"/>
    <w:rsid w:val="00840564"/>
    <w:rsid w:val="008405CB"/>
    <w:rsid w:val="00840C80"/>
    <w:rsid w:val="00840FB2"/>
    <w:rsid w:val="008411E9"/>
    <w:rsid w:val="0084126D"/>
    <w:rsid w:val="00841AA1"/>
    <w:rsid w:val="00842B5F"/>
    <w:rsid w:val="0084303A"/>
    <w:rsid w:val="00843AFC"/>
    <w:rsid w:val="00843DEA"/>
    <w:rsid w:val="00844EBC"/>
    <w:rsid w:val="0084503E"/>
    <w:rsid w:val="0084535B"/>
    <w:rsid w:val="00845DE8"/>
    <w:rsid w:val="00845DF4"/>
    <w:rsid w:val="008464FC"/>
    <w:rsid w:val="008465FA"/>
    <w:rsid w:val="00846674"/>
    <w:rsid w:val="00846B24"/>
    <w:rsid w:val="00846EFA"/>
    <w:rsid w:val="00846F35"/>
    <w:rsid w:val="00847216"/>
    <w:rsid w:val="00847872"/>
    <w:rsid w:val="00847BA9"/>
    <w:rsid w:val="00847CC6"/>
    <w:rsid w:val="00847D70"/>
    <w:rsid w:val="008506BB"/>
    <w:rsid w:val="008506C3"/>
    <w:rsid w:val="00850842"/>
    <w:rsid w:val="00850FAD"/>
    <w:rsid w:val="008510A1"/>
    <w:rsid w:val="008513C1"/>
    <w:rsid w:val="0085142A"/>
    <w:rsid w:val="008516C8"/>
    <w:rsid w:val="00851826"/>
    <w:rsid w:val="008519D6"/>
    <w:rsid w:val="008520A9"/>
    <w:rsid w:val="00852404"/>
    <w:rsid w:val="008525AA"/>
    <w:rsid w:val="00852D2C"/>
    <w:rsid w:val="00853762"/>
    <w:rsid w:val="00853807"/>
    <w:rsid w:val="00853D1E"/>
    <w:rsid w:val="00854532"/>
    <w:rsid w:val="00854A0F"/>
    <w:rsid w:val="00854B38"/>
    <w:rsid w:val="00855257"/>
    <w:rsid w:val="00855609"/>
    <w:rsid w:val="008557D9"/>
    <w:rsid w:val="008557F8"/>
    <w:rsid w:val="00856482"/>
    <w:rsid w:val="008567D8"/>
    <w:rsid w:val="00856997"/>
    <w:rsid w:val="00857339"/>
    <w:rsid w:val="00857822"/>
    <w:rsid w:val="00857B6E"/>
    <w:rsid w:val="00857C6C"/>
    <w:rsid w:val="0086005E"/>
    <w:rsid w:val="008604D4"/>
    <w:rsid w:val="00861735"/>
    <w:rsid w:val="008617BB"/>
    <w:rsid w:val="00861957"/>
    <w:rsid w:val="00861DAF"/>
    <w:rsid w:val="00861FB7"/>
    <w:rsid w:val="008621F5"/>
    <w:rsid w:val="00862326"/>
    <w:rsid w:val="008630FD"/>
    <w:rsid w:val="008637C1"/>
    <w:rsid w:val="00863866"/>
    <w:rsid w:val="00863BA2"/>
    <w:rsid w:val="00864322"/>
    <w:rsid w:val="008647D6"/>
    <w:rsid w:val="00864D20"/>
    <w:rsid w:val="00864E6E"/>
    <w:rsid w:val="00865074"/>
    <w:rsid w:val="00865545"/>
    <w:rsid w:val="00865A9E"/>
    <w:rsid w:val="00866691"/>
    <w:rsid w:val="008667BB"/>
    <w:rsid w:val="00866CD0"/>
    <w:rsid w:val="00866E8F"/>
    <w:rsid w:val="008670CC"/>
    <w:rsid w:val="00870D7C"/>
    <w:rsid w:val="00871054"/>
    <w:rsid w:val="00871090"/>
    <w:rsid w:val="008716FD"/>
    <w:rsid w:val="00871A8B"/>
    <w:rsid w:val="00872209"/>
    <w:rsid w:val="00872551"/>
    <w:rsid w:val="00872BCA"/>
    <w:rsid w:val="00873260"/>
    <w:rsid w:val="0087368C"/>
    <w:rsid w:val="00873857"/>
    <w:rsid w:val="0087396E"/>
    <w:rsid w:val="008739CE"/>
    <w:rsid w:val="00873F31"/>
    <w:rsid w:val="00874419"/>
    <w:rsid w:val="008747A5"/>
    <w:rsid w:val="008748B8"/>
    <w:rsid w:val="00874DAA"/>
    <w:rsid w:val="008754C4"/>
    <w:rsid w:val="008758F5"/>
    <w:rsid w:val="00875EBF"/>
    <w:rsid w:val="00876210"/>
    <w:rsid w:val="00876508"/>
    <w:rsid w:val="00876857"/>
    <w:rsid w:val="00877269"/>
    <w:rsid w:val="00877732"/>
    <w:rsid w:val="008777C0"/>
    <w:rsid w:val="00877855"/>
    <w:rsid w:val="008778CB"/>
    <w:rsid w:val="00880B5C"/>
    <w:rsid w:val="00880BB5"/>
    <w:rsid w:val="00881955"/>
    <w:rsid w:val="00881FC1"/>
    <w:rsid w:val="00881FFA"/>
    <w:rsid w:val="00881FFB"/>
    <w:rsid w:val="00882031"/>
    <w:rsid w:val="008825D4"/>
    <w:rsid w:val="008825EC"/>
    <w:rsid w:val="00883000"/>
    <w:rsid w:val="008831BD"/>
    <w:rsid w:val="00883546"/>
    <w:rsid w:val="008836D3"/>
    <w:rsid w:val="00883B0A"/>
    <w:rsid w:val="00883C24"/>
    <w:rsid w:val="00884278"/>
    <w:rsid w:val="0088541A"/>
    <w:rsid w:val="0088559E"/>
    <w:rsid w:val="00885B1A"/>
    <w:rsid w:val="00885D91"/>
    <w:rsid w:val="00886361"/>
    <w:rsid w:val="008863B5"/>
    <w:rsid w:val="008865BB"/>
    <w:rsid w:val="008867A1"/>
    <w:rsid w:val="00886D3D"/>
    <w:rsid w:val="0088736F"/>
    <w:rsid w:val="008903CE"/>
    <w:rsid w:val="00890577"/>
    <w:rsid w:val="00890585"/>
    <w:rsid w:val="00890761"/>
    <w:rsid w:val="00890F2E"/>
    <w:rsid w:val="00891370"/>
    <w:rsid w:val="008920A2"/>
    <w:rsid w:val="00892245"/>
    <w:rsid w:val="008922A3"/>
    <w:rsid w:val="00892613"/>
    <w:rsid w:val="008929AD"/>
    <w:rsid w:val="00892F18"/>
    <w:rsid w:val="00893149"/>
    <w:rsid w:val="0089321E"/>
    <w:rsid w:val="00893437"/>
    <w:rsid w:val="00893A99"/>
    <w:rsid w:val="00893D72"/>
    <w:rsid w:val="00894132"/>
    <w:rsid w:val="0089458F"/>
    <w:rsid w:val="0089473D"/>
    <w:rsid w:val="0089489D"/>
    <w:rsid w:val="008949FA"/>
    <w:rsid w:val="00894B1D"/>
    <w:rsid w:val="00894CFB"/>
    <w:rsid w:val="00895A52"/>
    <w:rsid w:val="0089606E"/>
    <w:rsid w:val="0089659B"/>
    <w:rsid w:val="0089666F"/>
    <w:rsid w:val="0089685D"/>
    <w:rsid w:val="00896C0F"/>
    <w:rsid w:val="00896CAC"/>
    <w:rsid w:val="00897AA9"/>
    <w:rsid w:val="00897BD5"/>
    <w:rsid w:val="00897F73"/>
    <w:rsid w:val="008A014D"/>
    <w:rsid w:val="008A03CE"/>
    <w:rsid w:val="008A0BA0"/>
    <w:rsid w:val="008A0C1A"/>
    <w:rsid w:val="008A0EAE"/>
    <w:rsid w:val="008A1461"/>
    <w:rsid w:val="008A1591"/>
    <w:rsid w:val="008A1E30"/>
    <w:rsid w:val="008A2C9A"/>
    <w:rsid w:val="008A2DAB"/>
    <w:rsid w:val="008A343A"/>
    <w:rsid w:val="008A4038"/>
    <w:rsid w:val="008A4C2B"/>
    <w:rsid w:val="008A5538"/>
    <w:rsid w:val="008A5B45"/>
    <w:rsid w:val="008A69F6"/>
    <w:rsid w:val="008A6BCA"/>
    <w:rsid w:val="008A6CB3"/>
    <w:rsid w:val="008A6EAA"/>
    <w:rsid w:val="008A7690"/>
    <w:rsid w:val="008A77FC"/>
    <w:rsid w:val="008A7DDC"/>
    <w:rsid w:val="008B066B"/>
    <w:rsid w:val="008B09DB"/>
    <w:rsid w:val="008B1720"/>
    <w:rsid w:val="008B17AA"/>
    <w:rsid w:val="008B1DC3"/>
    <w:rsid w:val="008B1E2B"/>
    <w:rsid w:val="008B2094"/>
    <w:rsid w:val="008B23C4"/>
    <w:rsid w:val="008B2CF1"/>
    <w:rsid w:val="008B2F86"/>
    <w:rsid w:val="008B3493"/>
    <w:rsid w:val="008B41F7"/>
    <w:rsid w:val="008B5293"/>
    <w:rsid w:val="008B5892"/>
    <w:rsid w:val="008B68C2"/>
    <w:rsid w:val="008B6C92"/>
    <w:rsid w:val="008B70D5"/>
    <w:rsid w:val="008B7258"/>
    <w:rsid w:val="008B7BD5"/>
    <w:rsid w:val="008C0292"/>
    <w:rsid w:val="008C07B8"/>
    <w:rsid w:val="008C08F1"/>
    <w:rsid w:val="008C0AF2"/>
    <w:rsid w:val="008C0BFF"/>
    <w:rsid w:val="008C0E8E"/>
    <w:rsid w:val="008C12E8"/>
    <w:rsid w:val="008C1369"/>
    <w:rsid w:val="008C1681"/>
    <w:rsid w:val="008C1792"/>
    <w:rsid w:val="008C1A4E"/>
    <w:rsid w:val="008C1D9F"/>
    <w:rsid w:val="008C2008"/>
    <w:rsid w:val="008C2035"/>
    <w:rsid w:val="008C28AB"/>
    <w:rsid w:val="008C33A7"/>
    <w:rsid w:val="008C3EC6"/>
    <w:rsid w:val="008C4392"/>
    <w:rsid w:val="008C4396"/>
    <w:rsid w:val="008C545A"/>
    <w:rsid w:val="008C7433"/>
    <w:rsid w:val="008C74DC"/>
    <w:rsid w:val="008C7718"/>
    <w:rsid w:val="008C7C17"/>
    <w:rsid w:val="008C7E1F"/>
    <w:rsid w:val="008D0626"/>
    <w:rsid w:val="008D0906"/>
    <w:rsid w:val="008D0ED9"/>
    <w:rsid w:val="008D15E0"/>
    <w:rsid w:val="008D1634"/>
    <w:rsid w:val="008D1C22"/>
    <w:rsid w:val="008D21E7"/>
    <w:rsid w:val="008D2473"/>
    <w:rsid w:val="008D295E"/>
    <w:rsid w:val="008D2D27"/>
    <w:rsid w:val="008D2D54"/>
    <w:rsid w:val="008D2F85"/>
    <w:rsid w:val="008D36B4"/>
    <w:rsid w:val="008D3DE1"/>
    <w:rsid w:val="008D3E60"/>
    <w:rsid w:val="008D42D7"/>
    <w:rsid w:val="008D43A8"/>
    <w:rsid w:val="008D535A"/>
    <w:rsid w:val="008D59C3"/>
    <w:rsid w:val="008D63AD"/>
    <w:rsid w:val="008D6534"/>
    <w:rsid w:val="008D6F71"/>
    <w:rsid w:val="008D6FAC"/>
    <w:rsid w:val="008D7110"/>
    <w:rsid w:val="008D7402"/>
    <w:rsid w:val="008D756A"/>
    <w:rsid w:val="008D7625"/>
    <w:rsid w:val="008D782D"/>
    <w:rsid w:val="008D7AE1"/>
    <w:rsid w:val="008D7AFA"/>
    <w:rsid w:val="008E0408"/>
    <w:rsid w:val="008E07D5"/>
    <w:rsid w:val="008E0C14"/>
    <w:rsid w:val="008E1AA1"/>
    <w:rsid w:val="008E1D60"/>
    <w:rsid w:val="008E2823"/>
    <w:rsid w:val="008E2A93"/>
    <w:rsid w:val="008E2CE3"/>
    <w:rsid w:val="008E363B"/>
    <w:rsid w:val="008E369A"/>
    <w:rsid w:val="008E3928"/>
    <w:rsid w:val="008E3AD2"/>
    <w:rsid w:val="008E3B3B"/>
    <w:rsid w:val="008E3E29"/>
    <w:rsid w:val="008E3F58"/>
    <w:rsid w:val="008E44AD"/>
    <w:rsid w:val="008E47CB"/>
    <w:rsid w:val="008E4A3B"/>
    <w:rsid w:val="008E4A46"/>
    <w:rsid w:val="008E57CE"/>
    <w:rsid w:val="008E5C6F"/>
    <w:rsid w:val="008E620B"/>
    <w:rsid w:val="008E64B3"/>
    <w:rsid w:val="008E682E"/>
    <w:rsid w:val="008E6F4C"/>
    <w:rsid w:val="008E7DFF"/>
    <w:rsid w:val="008E7F37"/>
    <w:rsid w:val="008F0020"/>
    <w:rsid w:val="008F03FF"/>
    <w:rsid w:val="008F044D"/>
    <w:rsid w:val="008F08DC"/>
    <w:rsid w:val="008F0AA5"/>
    <w:rsid w:val="008F0B16"/>
    <w:rsid w:val="008F1384"/>
    <w:rsid w:val="008F13E2"/>
    <w:rsid w:val="008F1605"/>
    <w:rsid w:val="008F19D7"/>
    <w:rsid w:val="008F1F3B"/>
    <w:rsid w:val="008F21C4"/>
    <w:rsid w:val="008F22B7"/>
    <w:rsid w:val="008F2638"/>
    <w:rsid w:val="008F2827"/>
    <w:rsid w:val="008F2A46"/>
    <w:rsid w:val="008F3090"/>
    <w:rsid w:val="008F32BB"/>
    <w:rsid w:val="008F35CB"/>
    <w:rsid w:val="008F388B"/>
    <w:rsid w:val="008F42A5"/>
    <w:rsid w:val="008F4A66"/>
    <w:rsid w:val="008F52FF"/>
    <w:rsid w:val="008F5CC8"/>
    <w:rsid w:val="008F5E00"/>
    <w:rsid w:val="008F65B6"/>
    <w:rsid w:val="008F65F6"/>
    <w:rsid w:val="008F68CE"/>
    <w:rsid w:val="008F6910"/>
    <w:rsid w:val="008F6A56"/>
    <w:rsid w:val="008F6ACD"/>
    <w:rsid w:val="008F72DC"/>
    <w:rsid w:val="008F78C0"/>
    <w:rsid w:val="008F7A51"/>
    <w:rsid w:val="008F7FB9"/>
    <w:rsid w:val="00900263"/>
    <w:rsid w:val="009002B6"/>
    <w:rsid w:val="0090060B"/>
    <w:rsid w:val="00900D50"/>
    <w:rsid w:val="00901200"/>
    <w:rsid w:val="0090126F"/>
    <w:rsid w:val="009014FC"/>
    <w:rsid w:val="009017A2"/>
    <w:rsid w:val="00901BB3"/>
    <w:rsid w:val="00901DC1"/>
    <w:rsid w:val="0090208F"/>
    <w:rsid w:val="00902839"/>
    <w:rsid w:val="009029E3"/>
    <w:rsid w:val="00902A4C"/>
    <w:rsid w:val="00902B68"/>
    <w:rsid w:val="00902DA6"/>
    <w:rsid w:val="009038CC"/>
    <w:rsid w:val="009038ED"/>
    <w:rsid w:val="00903EE5"/>
    <w:rsid w:val="00903EF3"/>
    <w:rsid w:val="00904533"/>
    <w:rsid w:val="00905980"/>
    <w:rsid w:val="00905A3D"/>
    <w:rsid w:val="00906080"/>
    <w:rsid w:val="00906205"/>
    <w:rsid w:val="009076D0"/>
    <w:rsid w:val="00907809"/>
    <w:rsid w:val="00907925"/>
    <w:rsid w:val="00910404"/>
    <w:rsid w:val="009105A4"/>
    <w:rsid w:val="0091060F"/>
    <w:rsid w:val="00910B53"/>
    <w:rsid w:val="00910CFD"/>
    <w:rsid w:val="00910F36"/>
    <w:rsid w:val="00910FB8"/>
    <w:rsid w:val="00911592"/>
    <w:rsid w:val="00911EF3"/>
    <w:rsid w:val="00912022"/>
    <w:rsid w:val="0091286E"/>
    <w:rsid w:val="0091293B"/>
    <w:rsid w:val="009137DF"/>
    <w:rsid w:val="00913BF8"/>
    <w:rsid w:val="00913DFB"/>
    <w:rsid w:val="00913FD1"/>
    <w:rsid w:val="00914183"/>
    <w:rsid w:val="00914512"/>
    <w:rsid w:val="0091462F"/>
    <w:rsid w:val="009149E7"/>
    <w:rsid w:val="00914B37"/>
    <w:rsid w:val="009152A9"/>
    <w:rsid w:val="00915344"/>
    <w:rsid w:val="00915530"/>
    <w:rsid w:val="00915714"/>
    <w:rsid w:val="009158B2"/>
    <w:rsid w:val="009159ED"/>
    <w:rsid w:val="00916F16"/>
    <w:rsid w:val="009170A3"/>
    <w:rsid w:val="009172F6"/>
    <w:rsid w:val="009174AE"/>
    <w:rsid w:val="00917620"/>
    <w:rsid w:val="00917F11"/>
    <w:rsid w:val="00917F86"/>
    <w:rsid w:val="0092025E"/>
    <w:rsid w:val="0092050B"/>
    <w:rsid w:val="009208C1"/>
    <w:rsid w:val="009210F9"/>
    <w:rsid w:val="00921218"/>
    <w:rsid w:val="00921461"/>
    <w:rsid w:val="00921A11"/>
    <w:rsid w:val="00922625"/>
    <w:rsid w:val="009226D0"/>
    <w:rsid w:val="00922879"/>
    <w:rsid w:val="00922E5F"/>
    <w:rsid w:val="009235E0"/>
    <w:rsid w:val="00923601"/>
    <w:rsid w:val="0092368E"/>
    <w:rsid w:val="009238D9"/>
    <w:rsid w:val="009239AE"/>
    <w:rsid w:val="00923A86"/>
    <w:rsid w:val="00923E5A"/>
    <w:rsid w:val="00923E84"/>
    <w:rsid w:val="00923F14"/>
    <w:rsid w:val="00924169"/>
    <w:rsid w:val="009241EE"/>
    <w:rsid w:val="00924D39"/>
    <w:rsid w:val="0092511F"/>
    <w:rsid w:val="009258F1"/>
    <w:rsid w:val="00925A39"/>
    <w:rsid w:val="00925D4C"/>
    <w:rsid w:val="00925F97"/>
    <w:rsid w:val="009260C0"/>
    <w:rsid w:val="009260EB"/>
    <w:rsid w:val="009263B0"/>
    <w:rsid w:val="00926A42"/>
    <w:rsid w:val="00926AE7"/>
    <w:rsid w:val="00926E07"/>
    <w:rsid w:val="009273FF"/>
    <w:rsid w:val="009279AE"/>
    <w:rsid w:val="00930095"/>
    <w:rsid w:val="00930807"/>
    <w:rsid w:val="009314B4"/>
    <w:rsid w:val="009315A0"/>
    <w:rsid w:val="00931699"/>
    <w:rsid w:val="00931DD4"/>
    <w:rsid w:val="00931ED2"/>
    <w:rsid w:val="009327A5"/>
    <w:rsid w:val="00932BE9"/>
    <w:rsid w:val="0093394C"/>
    <w:rsid w:val="00933E3F"/>
    <w:rsid w:val="0093409F"/>
    <w:rsid w:val="00934596"/>
    <w:rsid w:val="00934804"/>
    <w:rsid w:val="00934A5F"/>
    <w:rsid w:val="0093547A"/>
    <w:rsid w:val="00936004"/>
    <w:rsid w:val="0093632B"/>
    <w:rsid w:val="00936725"/>
    <w:rsid w:val="0093691D"/>
    <w:rsid w:val="00936BEA"/>
    <w:rsid w:val="00936C67"/>
    <w:rsid w:val="00936E9A"/>
    <w:rsid w:val="00937249"/>
    <w:rsid w:val="00937323"/>
    <w:rsid w:val="0093795D"/>
    <w:rsid w:val="00937A1B"/>
    <w:rsid w:val="00937C59"/>
    <w:rsid w:val="0094001B"/>
    <w:rsid w:val="009407E9"/>
    <w:rsid w:val="009410E7"/>
    <w:rsid w:val="009418D3"/>
    <w:rsid w:val="009421A9"/>
    <w:rsid w:val="00942815"/>
    <w:rsid w:val="00942C3F"/>
    <w:rsid w:val="009437DF"/>
    <w:rsid w:val="0094398F"/>
    <w:rsid w:val="00943B13"/>
    <w:rsid w:val="009440B9"/>
    <w:rsid w:val="009449BD"/>
    <w:rsid w:val="00944B0C"/>
    <w:rsid w:val="00944BA0"/>
    <w:rsid w:val="009456AC"/>
    <w:rsid w:val="009459EB"/>
    <w:rsid w:val="00945F48"/>
    <w:rsid w:val="0094613C"/>
    <w:rsid w:val="00946147"/>
    <w:rsid w:val="00946485"/>
    <w:rsid w:val="00946926"/>
    <w:rsid w:val="00946C32"/>
    <w:rsid w:val="009471E0"/>
    <w:rsid w:val="0094735A"/>
    <w:rsid w:val="0094782D"/>
    <w:rsid w:val="00947CEB"/>
    <w:rsid w:val="00947E3C"/>
    <w:rsid w:val="00947F7F"/>
    <w:rsid w:val="00947F92"/>
    <w:rsid w:val="009501D0"/>
    <w:rsid w:val="00950B9D"/>
    <w:rsid w:val="00950D7B"/>
    <w:rsid w:val="0095204E"/>
    <w:rsid w:val="00953FCA"/>
    <w:rsid w:val="00954020"/>
    <w:rsid w:val="00954133"/>
    <w:rsid w:val="0095521E"/>
    <w:rsid w:val="00955704"/>
    <w:rsid w:val="009572E1"/>
    <w:rsid w:val="0096017F"/>
    <w:rsid w:val="00960899"/>
    <w:rsid w:val="00960ACA"/>
    <w:rsid w:val="00961D79"/>
    <w:rsid w:val="0096255C"/>
    <w:rsid w:val="0096292B"/>
    <w:rsid w:val="00962A6F"/>
    <w:rsid w:val="00962C3D"/>
    <w:rsid w:val="009630A7"/>
    <w:rsid w:val="00963997"/>
    <w:rsid w:val="00963F2A"/>
    <w:rsid w:val="009646EF"/>
    <w:rsid w:val="00964755"/>
    <w:rsid w:val="00964894"/>
    <w:rsid w:val="0096490C"/>
    <w:rsid w:val="00965141"/>
    <w:rsid w:val="0096544F"/>
    <w:rsid w:val="009654C2"/>
    <w:rsid w:val="009658B0"/>
    <w:rsid w:val="00965AAC"/>
    <w:rsid w:val="00965E73"/>
    <w:rsid w:val="00966202"/>
    <w:rsid w:val="00966462"/>
    <w:rsid w:val="009674F7"/>
    <w:rsid w:val="00967867"/>
    <w:rsid w:val="00967912"/>
    <w:rsid w:val="00970425"/>
    <w:rsid w:val="009708D1"/>
    <w:rsid w:val="00971435"/>
    <w:rsid w:val="00971497"/>
    <w:rsid w:val="0097166A"/>
    <w:rsid w:val="00971877"/>
    <w:rsid w:val="00971B3C"/>
    <w:rsid w:val="009723D3"/>
    <w:rsid w:val="00972A90"/>
    <w:rsid w:val="00972C6F"/>
    <w:rsid w:val="00972D3C"/>
    <w:rsid w:val="00972F73"/>
    <w:rsid w:val="00973E3C"/>
    <w:rsid w:val="00974064"/>
    <w:rsid w:val="00974704"/>
    <w:rsid w:val="00974D5D"/>
    <w:rsid w:val="00975255"/>
    <w:rsid w:val="00975514"/>
    <w:rsid w:val="00975C13"/>
    <w:rsid w:val="0097649D"/>
    <w:rsid w:val="00976997"/>
    <w:rsid w:val="00976E85"/>
    <w:rsid w:val="00976F39"/>
    <w:rsid w:val="00976F3D"/>
    <w:rsid w:val="00977094"/>
    <w:rsid w:val="00977C5B"/>
    <w:rsid w:val="0098065F"/>
    <w:rsid w:val="00981230"/>
    <w:rsid w:val="009815F6"/>
    <w:rsid w:val="00982B46"/>
    <w:rsid w:val="00982EB9"/>
    <w:rsid w:val="00983178"/>
    <w:rsid w:val="0098337D"/>
    <w:rsid w:val="00984841"/>
    <w:rsid w:val="00984EDA"/>
    <w:rsid w:val="0098553A"/>
    <w:rsid w:val="009859A7"/>
    <w:rsid w:val="00985D74"/>
    <w:rsid w:val="0098637C"/>
    <w:rsid w:val="0098668B"/>
    <w:rsid w:val="00986954"/>
    <w:rsid w:val="00986CDA"/>
    <w:rsid w:val="009872EE"/>
    <w:rsid w:val="00990239"/>
    <w:rsid w:val="00991C6E"/>
    <w:rsid w:val="00991D37"/>
    <w:rsid w:val="00992579"/>
    <w:rsid w:val="00993831"/>
    <w:rsid w:val="00993856"/>
    <w:rsid w:val="00994293"/>
    <w:rsid w:val="009942CE"/>
    <w:rsid w:val="00995757"/>
    <w:rsid w:val="00995A65"/>
    <w:rsid w:val="00995C78"/>
    <w:rsid w:val="00996841"/>
    <w:rsid w:val="00996B66"/>
    <w:rsid w:val="009972A2"/>
    <w:rsid w:val="00997B69"/>
    <w:rsid w:val="009A12B1"/>
    <w:rsid w:val="009A1A3C"/>
    <w:rsid w:val="009A1A77"/>
    <w:rsid w:val="009A2DB3"/>
    <w:rsid w:val="009A35E2"/>
    <w:rsid w:val="009A3F44"/>
    <w:rsid w:val="009A4C7F"/>
    <w:rsid w:val="009A4D38"/>
    <w:rsid w:val="009A5035"/>
    <w:rsid w:val="009A50B2"/>
    <w:rsid w:val="009A52AE"/>
    <w:rsid w:val="009A52FC"/>
    <w:rsid w:val="009A5668"/>
    <w:rsid w:val="009A57A7"/>
    <w:rsid w:val="009A5D7E"/>
    <w:rsid w:val="009A64AF"/>
    <w:rsid w:val="009A68EA"/>
    <w:rsid w:val="009A6D67"/>
    <w:rsid w:val="009A7015"/>
    <w:rsid w:val="009A7107"/>
    <w:rsid w:val="009A71E8"/>
    <w:rsid w:val="009A74B3"/>
    <w:rsid w:val="009A75C7"/>
    <w:rsid w:val="009A7819"/>
    <w:rsid w:val="009B06D6"/>
    <w:rsid w:val="009B11C7"/>
    <w:rsid w:val="009B1F1F"/>
    <w:rsid w:val="009B2682"/>
    <w:rsid w:val="009B2FD3"/>
    <w:rsid w:val="009B2FEE"/>
    <w:rsid w:val="009B31B8"/>
    <w:rsid w:val="009B3269"/>
    <w:rsid w:val="009B362D"/>
    <w:rsid w:val="009B371F"/>
    <w:rsid w:val="009B377B"/>
    <w:rsid w:val="009B38D4"/>
    <w:rsid w:val="009B3ECB"/>
    <w:rsid w:val="009B3EEB"/>
    <w:rsid w:val="009B3EFE"/>
    <w:rsid w:val="009B3FFA"/>
    <w:rsid w:val="009B4525"/>
    <w:rsid w:val="009B4D76"/>
    <w:rsid w:val="009B5541"/>
    <w:rsid w:val="009B56B0"/>
    <w:rsid w:val="009B5FB2"/>
    <w:rsid w:val="009B7407"/>
    <w:rsid w:val="009B7693"/>
    <w:rsid w:val="009C04CE"/>
    <w:rsid w:val="009C05A4"/>
    <w:rsid w:val="009C0D9F"/>
    <w:rsid w:val="009C119C"/>
    <w:rsid w:val="009C1D4B"/>
    <w:rsid w:val="009C2137"/>
    <w:rsid w:val="009C21F3"/>
    <w:rsid w:val="009C222F"/>
    <w:rsid w:val="009C2479"/>
    <w:rsid w:val="009C2815"/>
    <w:rsid w:val="009C28EC"/>
    <w:rsid w:val="009C2A54"/>
    <w:rsid w:val="009C2EEA"/>
    <w:rsid w:val="009C38EE"/>
    <w:rsid w:val="009C3CB8"/>
    <w:rsid w:val="009C4474"/>
    <w:rsid w:val="009C4707"/>
    <w:rsid w:val="009C475D"/>
    <w:rsid w:val="009C4915"/>
    <w:rsid w:val="009C4BC8"/>
    <w:rsid w:val="009C4C19"/>
    <w:rsid w:val="009C5497"/>
    <w:rsid w:val="009C59EE"/>
    <w:rsid w:val="009C6A71"/>
    <w:rsid w:val="009C6BE1"/>
    <w:rsid w:val="009C6D89"/>
    <w:rsid w:val="009C6EA9"/>
    <w:rsid w:val="009C7162"/>
    <w:rsid w:val="009C7D55"/>
    <w:rsid w:val="009D01E9"/>
    <w:rsid w:val="009D0555"/>
    <w:rsid w:val="009D0C20"/>
    <w:rsid w:val="009D13D0"/>
    <w:rsid w:val="009D1543"/>
    <w:rsid w:val="009D1665"/>
    <w:rsid w:val="009D1F1C"/>
    <w:rsid w:val="009D25B2"/>
    <w:rsid w:val="009D272B"/>
    <w:rsid w:val="009D2788"/>
    <w:rsid w:val="009D2822"/>
    <w:rsid w:val="009D2827"/>
    <w:rsid w:val="009D3020"/>
    <w:rsid w:val="009D33F1"/>
    <w:rsid w:val="009D343B"/>
    <w:rsid w:val="009D3B55"/>
    <w:rsid w:val="009D3BE6"/>
    <w:rsid w:val="009D3F05"/>
    <w:rsid w:val="009D43F7"/>
    <w:rsid w:val="009D4402"/>
    <w:rsid w:val="009D4B45"/>
    <w:rsid w:val="009D5360"/>
    <w:rsid w:val="009D551E"/>
    <w:rsid w:val="009D5B75"/>
    <w:rsid w:val="009D6837"/>
    <w:rsid w:val="009D6A73"/>
    <w:rsid w:val="009D6FF6"/>
    <w:rsid w:val="009D7124"/>
    <w:rsid w:val="009D7321"/>
    <w:rsid w:val="009D747E"/>
    <w:rsid w:val="009D7F90"/>
    <w:rsid w:val="009E040A"/>
    <w:rsid w:val="009E062A"/>
    <w:rsid w:val="009E0685"/>
    <w:rsid w:val="009E0E3A"/>
    <w:rsid w:val="009E2D01"/>
    <w:rsid w:val="009E332D"/>
    <w:rsid w:val="009E35E6"/>
    <w:rsid w:val="009E3646"/>
    <w:rsid w:val="009E4383"/>
    <w:rsid w:val="009E4D52"/>
    <w:rsid w:val="009E5251"/>
    <w:rsid w:val="009E52F1"/>
    <w:rsid w:val="009E5D4F"/>
    <w:rsid w:val="009E64BC"/>
    <w:rsid w:val="009E6595"/>
    <w:rsid w:val="009E6A2C"/>
    <w:rsid w:val="009E6B53"/>
    <w:rsid w:val="009E6D62"/>
    <w:rsid w:val="009E7490"/>
    <w:rsid w:val="009E7EE9"/>
    <w:rsid w:val="009F01C8"/>
    <w:rsid w:val="009F03F1"/>
    <w:rsid w:val="009F0868"/>
    <w:rsid w:val="009F1002"/>
    <w:rsid w:val="009F14CA"/>
    <w:rsid w:val="009F1F64"/>
    <w:rsid w:val="009F2268"/>
    <w:rsid w:val="009F346E"/>
    <w:rsid w:val="009F351A"/>
    <w:rsid w:val="009F3C4A"/>
    <w:rsid w:val="009F4F28"/>
    <w:rsid w:val="009F51BE"/>
    <w:rsid w:val="009F58C6"/>
    <w:rsid w:val="009F65FB"/>
    <w:rsid w:val="009F6FC3"/>
    <w:rsid w:val="009F7168"/>
    <w:rsid w:val="009F7281"/>
    <w:rsid w:val="009F7ACA"/>
    <w:rsid w:val="009F7E4D"/>
    <w:rsid w:val="00A0080A"/>
    <w:rsid w:val="00A00846"/>
    <w:rsid w:val="00A00A17"/>
    <w:rsid w:val="00A01190"/>
    <w:rsid w:val="00A01321"/>
    <w:rsid w:val="00A018F6"/>
    <w:rsid w:val="00A01F3B"/>
    <w:rsid w:val="00A0210F"/>
    <w:rsid w:val="00A02237"/>
    <w:rsid w:val="00A0279B"/>
    <w:rsid w:val="00A02B69"/>
    <w:rsid w:val="00A02D1F"/>
    <w:rsid w:val="00A02F18"/>
    <w:rsid w:val="00A0307B"/>
    <w:rsid w:val="00A0380A"/>
    <w:rsid w:val="00A03E79"/>
    <w:rsid w:val="00A048CF"/>
    <w:rsid w:val="00A04B46"/>
    <w:rsid w:val="00A04CA8"/>
    <w:rsid w:val="00A04FA0"/>
    <w:rsid w:val="00A0508F"/>
    <w:rsid w:val="00A058CA"/>
    <w:rsid w:val="00A06130"/>
    <w:rsid w:val="00A06280"/>
    <w:rsid w:val="00A062E9"/>
    <w:rsid w:val="00A06603"/>
    <w:rsid w:val="00A06973"/>
    <w:rsid w:val="00A06A63"/>
    <w:rsid w:val="00A06D8C"/>
    <w:rsid w:val="00A0720E"/>
    <w:rsid w:val="00A07529"/>
    <w:rsid w:val="00A078F9"/>
    <w:rsid w:val="00A10394"/>
    <w:rsid w:val="00A103E6"/>
    <w:rsid w:val="00A10534"/>
    <w:rsid w:val="00A10A85"/>
    <w:rsid w:val="00A10C97"/>
    <w:rsid w:val="00A10D70"/>
    <w:rsid w:val="00A113A5"/>
    <w:rsid w:val="00A11AB9"/>
    <w:rsid w:val="00A11EA2"/>
    <w:rsid w:val="00A12120"/>
    <w:rsid w:val="00A12C81"/>
    <w:rsid w:val="00A12EC1"/>
    <w:rsid w:val="00A12F5D"/>
    <w:rsid w:val="00A133A1"/>
    <w:rsid w:val="00A13836"/>
    <w:rsid w:val="00A13943"/>
    <w:rsid w:val="00A13DE0"/>
    <w:rsid w:val="00A14237"/>
    <w:rsid w:val="00A152F1"/>
    <w:rsid w:val="00A1575F"/>
    <w:rsid w:val="00A16226"/>
    <w:rsid w:val="00A16849"/>
    <w:rsid w:val="00A17757"/>
    <w:rsid w:val="00A1788A"/>
    <w:rsid w:val="00A1789D"/>
    <w:rsid w:val="00A17CCA"/>
    <w:rsid w:val="00A20490"/>
    <w:rsid w:val="00A204B1"/>
    <w:rsid w:val="00A2053B"/>
    <w:rsid w:val="00A205BD"/>
    <w:rsid w:val="00A20F6A"/>
    <w:rsid w:val="00A21A4D"/>
    <w:rsid w:val="00A21EBD"/>
    <w:rsid w:val="00A2226D"/>
    <w:rsid w:val="00A227A8"/>
    <w:rsid w:val="00A2286B"/>
    <w:rsid w:val="00A22B16"/>
    <w:rsid w:val="00A22E03"/>
    <w:rsid w:val="00A22E64"/>
    <w:rsid w:val="00A22F4E"/>
    <w:rsid w:val="00A23278"/>
    <w:rsid w:val="00A23800"/>
    <w:rsid w:val="00A23D03"/>
    <w:rsid w:val="00A2497A"/>
    <w:rsid w:val="00A24A94"/>
    <w:rsid w:val="00A24D52"/>
    <w:rsid w:val="00A24EDA"/>
    <w:rsid w:val="00A24F5C"/>
    <w:rsid w:val="00A25050"/>
    <w:rsid w:val="00A25473"/>
    <w:rsid w:val="00A25480"/>
    <w:rsid w:val="00A26ECA"/>
    <w:rsid w:val="00A300DF"/>
    <w:rsid w:val="00A308D9"/>
    <w:rsid w:val="00A30BA2"/>
    <w:rsid w:val="00A310B1"/>
    <w:rsid w:val="00A311EB"/>
    <w:rsid w:val="00A313AB"/>
    <w:rsid w:val="00A31BBF"/>
    <w:rsid w:val="00A31D54"/>
    <w:rsid w:val="00A31E18"/>
    <w:rsid w:val="00A32613"/>
    <w:rsid w:val="00A32A99"/>
    <w:rsid w:val="00A32E8C"/>
    <w:rsid w:val="00A32F74"/>
    <w:rsid w:val="00A338FF"/>
    <w:rsid w:val="00A339E5"/>
    <w:rsid w:val="00A33D43"/>
    <w:rsid w:val="00A35005"/>
    <w:rsid w:val="00A35418"/>
    <w:rsid w:val="00A356C3"/>
    <w:rsid w:val="00A35D9E"/>
    <w:rsid w:val="00A35E87"/>
    <w:rsid w:val="00A363EC"/>
    <w:rsid w:val="00A3645B"/>
    <w:rsid w:val="00A367B6"/>
    <w:rsid w:val="00A369B7"/>
    <w:rsid w:val="00A36AB4"/>
    <w:rsid w:val="00A36E1A"/>
    <w:rsid w:val="00A3763B"/>
    <w:rsid w:val="00A37C08"/>
    <w:rsid w:val="00A4091A"/>
    <w:rsid w:val="00A40924"/>
    <w:rsid w:val="00A41272"/>
    <w:rsid w:val="00A4176C"/>
    <w:rsid w:val="00A42133"/>
    <w:rsid w:val="00A422D3"/>
    <w:rsid w:val="00A42C19"/>
    <w:rsid w:val="00A42ECC"/>
    <w:rsid w:val="00A43CC2"/>
    <w:rsid w:val="00A440EA"/>
    <w:rsid w:val="00A4447C"/>
    <w:rsid w:val="00A4466C"/>
    <w:rsid w:val="00A44A00"/>
    <w:rsid w:val="00A44FBC"/>
    <w:rsid w:val="00A45125"/>
    <w:rsid w:val="00A4515B"/>
    <w:rsid w:val="00A45566"/>
    <w:rsid w:val="00A456DE"/>
    <w:rsid w:val="00A45B3A"/>
    <w:rsid w:val="00A45C40"/>
    <w:rsid w:val="00A46673"/>
    <w:rsid w:val="00A466FB"/>
    <w:rsid w:val="00A46D38"/>
    <w:rsid w:val="00A46D88"/>
    <w:rsid w:val="00A47373"/>
    <w:rsid w:val="00A47C63"/>
    <w:rsid w:val="00A47DE8"/>
    <w:rsid w:val="00A50191"/>
    <w:rsid w:val="00A50216"/>
    <w:rsid w:val="00A506FC"/>
    <w:rsid w:val="00A5087D"/>
    <w:rsid w:val="00A5097A"/>
    <w:rsid w:val="00A50E91"/>
    <w:rsid w:val="00A510F4"/>
    <w:rsid w:val="00A513EE"/>
    <w:rsid w:val="00A51784"/>
    <w:rsid w:val="00A517C5"/>
    <w:rsid w:val="00A51CF6"/>
    <w:rsid w:val="00A51EB8"/>
    <w:rsid w:val="00A51F36"/>
    <w:rsid w:val="00A524A5"/>
    <w:rsid w:val="00A52841"/>
    <w:rsid w:val="00A52B81"/>
    <w:rsid w:val="00A52D35"/>
    <w:rsid w:val="00A52F1F"/>
    <w:rsid w:val="00A534B5"/>
    <w:rsid w:val="00A53516"/>
    <w:rsid w:val="00A53904"/>
    <w:rsid w:val="00A53D03"/>
    <w:rsid w:val="00A541A3"/>
    <w:rsid w:val="00A54A59"/>
    <w:rsid w:val="00A54D53"/>
    <w:rsid w:val="00A56109"/>
    <w:rsid w:val="00A56731"/>
    <w:rsid w:val="00A56E9A"/>
    <w:rsid w:val="00A5714C"/>
    <w:rsid w:val="00A572B7"/>
    <w:rsid w:val="00A573ED"/>
    <w:rsid w:val="00A5768F"/>
    <w:rsid w:val="00A57980"/>
    <w:rsid w:val="00A57C79"/>
    <w:rsid w:val="00A57D3A"/>
    <w:rsid w:val="00A57EAF"/>
    <w:rsid w:val="00A601B5"/>
    <w:rsid w:val="00A60223"/>
    <w:rsid w:val="00A602D5"/>
    <w:rsid w:val="00A6037E"/>
    <w:rsid w:val="00A607E3"/>
    <w:rsid w:val="00A60975"/>
    <w:rsid w:val="00A610E5"/>
    <w:rsid w:val="00A61349"/>
    <w:rsid w:val="00A61784"/>
    <w:rsid w:val="00A6195C"/>
    <w:rsid w:val="00A61B18"/>
    <w:rsid w:val="00A61ECE"/>
    <w:rsid w:val="00A6249B"/>
    <w:rsid w:val="00A6269D"/>
    <w:rsid w:val="00A62C38"/>
    <w:rsid w:val="00A62F38"/>
    <w:rsid w:val="00A63077"/>
    <w:rsid w:val="00A63081"/>
    <w:rsid w:val="00A633AF"/>
    <w:rsid w:val="00A638E6"/>
    <w:rsid w:val="00A64F2F"/>
    <w:rsid w:val="00A6514B"/>
    <w:rsid w:val="00A651BE"/>
    <w:rsid w:val="00A653F1"/>
    <w:rsid w:val="00A65596"/>
    <w:rsid w:val="00A65690"/>
    <w:rsid w:val="00A659C9"/>
    <w:rsid w:val="00A65A96"/>
    <w:rsid w:val="00A66ED1"/>
    <w:rsid w:val="00A66FF5"/>
    <w:rsid w:val="00A67029"/>
    <w:rsid w:val="00A671D6"/>
    <w:rsid w:val="00A67FAA"/>
    <w:rsid w:val="00A67FC1"/>
    <w:rsid w:val="00A70225"/>
    <w:rsid w:val="00A71166"/>
    <w:rsid w:val="00A713E2"/>
    <w:rsid w:val="00A71421"/>
    <w:rsid w:val="00A716C8"/>
    <w:rsid w:val="00A71C56"/>
    <w:rsid w:val="00A71CDE"/>
    <w:rsid w:val="00A71D51"/>
    <w:rsid w:val="00A722DB"/>
    <w:rsid w:val="00A729AF"/>
    <w:rsid w:val="00A72B7A"/>
    <w:rsid w:val="00A72CF6"/>
    <w:rsid w:val="00A7356F"/>
    <w:rsid w:val="00A735C0"/>
    <w:rsid w:val="00A73A23"/>
    <w:rsid w:val="00A73E0D"/>
    <w:rsid w:val="00A74213"/>
    <w:rsid w:val="00A74327"/>
    <w:rsid w:val="00A74BF3"/>
    <w:rsid w:val="00A74CA6"/>
    <w:rsid w:val="00A74CC2"/>
    <w:rsid w:val="00A75AE2"/>
    <w:rsid w:val="00A75B78"/>
    <w:rsid w:val="00A75CAA"/>
    <w:rsid w:val="00A766E2"/>
    <w:rsid w:val="00A76C17"/>
    <w:rsid w:val="00A76E4C"/>
    <w:rsid w:val="00A777F2"/>
    <w:rsid w:val="00A77BED"/>
    <w:rsid w:val="00A77D7A"/>
    <w:rsid w:val="00A77FAF"/>
    <w:rsid w:val="00A80238"/>
    <w:rsid w:val="00A805E0"/>
    <w:rsid w:val="00A80659"/>
    <w:rsid w:val="00A80BDB"/>
    <w:rsid w:val="00A80E6D"/>
    <w:rsid w:val="00A8104C"/>
    <w:rsid w:val="00A8120C"/>
    <w:rsid w:val="00A81BE1"/>
    <w:rsid w:val="00A81D04"/>
    <w:rsid w:val="00A8214C"/>
    <w:rsid w:val="00A823D0"/>
    <w:rsid w:val="00A82507"/>
    <w:rsid w:val="00A82592"/>
    <w:rsid w:val="00A82814"/>
    <w:rsid w:val="00A82D39"/>
    <w:rsid w:val="00A83090"/>
    <w:rsid w:val="00A83837"/>
    <w:rsid w:val="00A83B9B"/>
    <w:rsid w:val="00A83D7F"/>
    <w:rsid w:val="00A853B9"/>
    <w:rsid w:val="00A8576B"/>
    <w:rsid w:val="00A85CC5"/>
    <w:rsid w:val="00A8648C"/>
    <w:rsid w:val="00A86F81"/>
    <w:rsid w:val="00A873A2"/>
    <w:rsid w:val="00A874EC"/>
    <w:rsid w:val="00A87C15"/>
    <w:rsid w:val="00A87E54"/>
    <w:rsid w:val="00A905BD"/>
    <w:rsid w:val="00A90B39"/>
    <w:rsid w:val="00A91082"/>
    <w:rsid w:val="00A91526"/>
    <w:rsid w:val="00A91AC3"/>
    <w:rsid w:val="00A9273E"/>
    <w:rsid w:val="00A9292D"/>
    <w:rsid w:val="00A92B22"/>
    <w:rsid w:val="00A92CBC"/>
    <w:rsid w:val="00A931BD"/>
    <w:rsid w:val="00A93CE8"/>
    <w:rsid w:val="00A940BD"/>
    <w:rsid w:val="00A94227"/>
    <w:rsid w:val="00A9482D"/>
    <w:rsid w:val="00A95382"/>
    <w:rsid w:val="00A95A9D"/>
    <w:rsid w:val="00A95AAF"/>
    <w:rsid w:val="00A9616E"/>
    <w:rsid w:val="00A9637E"/>
    <w:rsid w:val="00A96762"/>
    <w:rsid w:val="00A969BB"/>
    <w:rsid w:val="00A969BE"/>
    <w:rsid w:val="00A96A89"/>
    <w:rsid w:val="00A9707D"/>
    <w:rsid w:val="00A976E6"/>
    <w:rsid w:val="00A97948"/>
    <w:rsid w:val="00A97CCE"/>
    <w:rsid w:val="00AA008A"/>
    <w:rsid w:val="00AA03E3"/>
    <w:rsid w:val="00AA08E3"/>
    <w:rsid w:val="00AA09E0"/>
    <w:rsid w:val="00AA0E61"/>
    <w:rsid w:val="00AA1555"/>
    <w:rsid w:val="00AA1BBB"/>
    <w:rsid w:val="00AA1C4F"/>
    <w:rsid w:val="00AA27AB"/>
    <w:rsid w:val="00AA2C70"/>
    <w:rsid w:val="00AA314F"/>
    <w:rsid w:val="00AA3EC0"/>
    <w:rsid w:val="00AA4135"/>
    <w:rsid w:val="00AA44B0"/>
    <w:rsid w:val="00AA47EA"/>
    <w:rsid w:val="00AA489D"/>
    <w:rsid w:val="00AA4BA2"/>
    <w:rsid w:val="00AA5965"/>
    <w:rsid w:val="00AA5B32"/>
    <w:rsid w:val="00AA642D"/>
    <w:rsid w:val="00AA6A1C"/>
    <w:rsid w:val="00AA6FCE"/>
    <w:rsid w:val="00AB034E"/>
    <w:rsid w:val="00AB067B"/>
    <w:rsid w:val="00AB07DB"/>
    <w:rsid w:val="00AB0A8C"/>
    <w:rsid w:val="00AB0B7D"/>
    <w:rsid w:val="00AB0CEC"/>
    <w:rsid w:val="00AB1149"/>
    <w:rsid w:val="00AB11A1"/>
    <w:rsid w:val="00AB1304"/>
    <w:rsid w:val="00AB19DD"/>
    <w:rsid w:val="00AB1ADE"/>
    <w:rsid w:val="00AB2493"/>
    <w:rsid w:val="00AB2698"/>
    <w:rsid w:val="00AB275E"/>
    <w:rsid w:val="00AB289A"/>
    <w:rsid w:val="00AB2AE1"/>
    <w:rsid w:val="00AB2CDC"/>
    <w:rsid w:val="00AB2E89"/>
    <w:rsid w:val="00AB2EEA"/>
    <w:rsid w:val="00AB3C81"/>
    <w:rsid w:val="00AB3D3A"/>
    <w:rsid w:val="00AB3E1F"/>
    <w:rsid w:val="00AB4321"/>
    <w:rsid w:val="00AB47F1"/>
    <w:rsid w:val="00AB48B1"/>
    <w:rsid w:val="00AB4C04"/>
    <w:rsid w:val="00AB5036"/>
    <w:rsid w:val="00AB5571"/>
    <w:rsid w:val="00AB5C5C"/>
    <w:rsid w:val="00AB5E14"/>
    <w:rsid w:val="00AB6240"/>
    <w:rsid w:val="00AB6819"/>
    <w:rsid w:val="00AB6A3E"/>
    <w:rsid w:val="00AB74BF"/>
    <w:rsid w:val="00AB7978"/>
    <w:rsid w:val="00AB7CE4"/>
    <w:rsid w:val="00AB7E96"/>
    <w:rsid w:val="00AB7ED3"/>
    <w:rsid w:val="00AC00DC"/>
    <w:rsid w:val="00AC0C82"/>
    <w:rsid w:val="00AC0DD7"/>
    <w:rsid w:val="00AC1CBF"/>
    <w:rsid w:val="00AC23DB"/>
    <w:rsid w:val="00AC2450"/>
    <w:rsid w:val="00AC24C6"/>
    <w:rsid w:val="00AC2B69"/>
    <w:rsid w:val="00AC2C85"/>
    <w:rsid w:val="00AC2CA5"/>
    <w:rsid w:val="00AC2D91"/>
    <w:rsid w:val="00AC3CC9"/>
    <w:rsid w:val="00AC423B"/>
    <w:rsid w:val="00AC423E"/>
    <w:rsid w:val="00AC4375"/>
    <w:rsid w:val="00AC4AE0"/>
    <w:rsid w:val="00AC4E82"/>
    <w:rsid w:val="00AC5912"/>
    <w:rsid w:val="00AC5958"/>
    <w:rsid w:val="00AC6101"/>
    <w:rsid w:val="00AC62E5"/>
    <w:rsid w:val="00AC65CE"/>
    <w:rsid w:val="00AC665B"/>
    <w:rsid w:val="00AC6767"/>
    <w:rsid w:val="00AC6AD1"/>
    <w:rsid w:val="00AC7041"/>
    <w:rsid w:val="00AC71CA"/>
    <w:rsid w:val="00AC748B"/>
    <w:rsid w:val="00AC7771"/>
    <w:rsid w:val="00AD00D4"/>
    <w:rsid w:val="00AD036D"/>
    <w:rsid w:val="00AD04CA"/>
    <w:rsid w:val="00AD06D4"/>
    <w:rsid w:val="00AD15EF"/>
    <w:rsid w:val="00AD1711"/>
    <w:rsid w:val="00AD1C54"/>
    <w:rsid w:val="00AD202C"/>
    <w:rsid w:val="00AD205D"/>
    <w:rsid w:val="00AD2158"/>
    <w:rsid w:val="00AD25CD"/>
    <w:rsid w:val="00AD2897"/>
    <w:rsid w:val="00AD2A7C"/>
    <w:rsid w:val="00AD2DC6"/>
    <w:rsid w:val="00AD3708"/>
    <w:rsid w:val="00AD3BEC"/>
    <w:rsid w:val="00AD3F7D"/>
    <w:rsid w:val="00AD4406"/>
    <w:rsid w:val="00AD4589"/>
    <w:rsid w:val="00AD4A3D"/>
    <w:rsid w:val="00AD4A6E"/>
    <w:rsid w:val="00AD4AA1"/>
    <w:rsid w:val="00AD4B4D"/>
    <w:rsid w:val="00AD4BF1"/>
    <w:rsid w:val="00AD5558"/>
    <w:rsid w:val="00AD5BC5"/>
    <w:rsid w:val="00AD64AD"/>
    <w:rsid w:val="00AD6573"/>
    <w:rsid w:val="00AD6E34"/>
    <w:rsid w:val="00AD761E"/>
    <w:rsid w:val="00AD76AA"/>
    <w:rsid w:val="00AD7BC1"/>
    <w:rsid w:val="00AD7E1E"/>
    <w:rsid w:val="00AD7E85"/>
    <w:rsid w:val="00AE04A2"/>
    <w:rsid w:val="00AE0E87"/>
    <w:rsid w:val="00AE116E"/>
    <w:rsid w:val="00AE11D9"/>
    <w:rsid w:val="00AE172A"/>
    <w:rsid w:val="00AE1762"/>
    <w:rsid w:val="00AE21E1"/>
    <w:rsid w:val="00AE2608"/>
    <w:rsid w:val="00AE2820"/>
    <w:rsid w:val="00AE32EF"/>
    <w:rsid w:val="00AE36DC"/>
    <w:rsid w:val="00AE3818"/>
    <w:rsid w:val="00AE3895"/>
    <w:rsid w:val="00AE3B0D"/>
    <w:rsid w:val="00AE3B3D"/>
    <w:rsid w:val="00AE3FCA"/>
    <w:rsid w:val="00AE43F2"/>
    <w:rsid w:val="00AE446F"/>
    <w:rsid w:val="00AE47B9"/>
    <w:rsid w:val="00AE4AD9"/>
    <w:rsid w:val="00AE4C5E"/>
    <w:rsid w:val="00AE4D2F"/>
    <w:rsid w:val="00AE4EA3"/>
    <w:rsid w:val="00AE60B5"/>
    <w:rsid w:val="00AE70A0"/>
    <w:rsid w:val="00AE7648"/>
    <w:rsid w:val="00AE7697"/>
    <w:rsid w:val="00AE7C34"/>
    <w:rsid w:val="00AE7CD9"/>
    <w:rsid w:val="00AE7FD1"/>
    <w:rsid w:val="00AF0023"/>
    <w:rsid w:val="00AF05BF"/>
    <w:rsid w:val="00AF0772"/>
    <w:rsid w:val="00AF1413"/>
    <w:rsid w:val="00AF15E7"/>
    <w:rsid w:val="00AF16B1"/>
    <w:rsid w:val="00AF1ADC"/>
    <w:rsid w:val="00AF1BC9"/>
    <w:rsid w:val="00AF27B5"/>
    <w:rsid w:val="00AF2BF8"/>
    <w:rsid w:val="00AF361E"/>
    <w:rsid w:val="00AF3AE3"/>
    <w:rsid w:val="00AF3BCD"/>
    <w:rsid w:val="00AF3C91"/>
    <w:rsid w:val="00AF3C96"/>
    <w:rsid w:val="00AF4C88"/>
    <w:rsid w:val="00AF5340"/>
    <w:rsid w:val="00AF5BB1"/>
    <w:rsid w:val="00AF6125"/>
    <w:rsid w:val="00AF6371"/>
    <w:rsid w:val="00AF70BB"/>
    <w:rsid w:val="00AF70FD"/>
    <w:rsid w:val="00AF762D"/>
    <w:rsid w:val="00AF7A68"/>
    <w:rsid w:val="00AF7E70"/>
    <w:rsid w:val="00B003CD"/>
    <w:rsid w:val="00B007AC"/>
    <w:rsid w:val="00B008DF"/>
    <w:rsid w:val="00B014DB"/>
    <w:rsid w:val="00B01584"/>
    <w:rsid w:val="00B01724"/>
    <w:rsid w:val="00B018B4"/>
    <w:rsid w:val="00B018F7"/>
    <w:rsid w:val="00B019AA"/>
    <w:rsid w:val="00B019FF"/>
    <w:rsid w:val="00B01CA5"/>
    <w:rsid w:val="00B01CAC"/>
    <w:rsid w:val="00B023F8"/>
    <w:rsid w:val="00B02B02"/>
    <w:rsid w:val="00B02CF2"/>
    <w:rsid w:val="00B030AE"/>
    <w:rsid w:val="00B044C4"/>
    <w:rsid w:val="00B049C8"/>
    <w:rsid w:val="00B04A27"/>
    <w:rsid w:val="00B04A92"/>
    <w:rsid w:val="00B04D03"/>
    <w:rsid w:val="00B04D68"/>
    <w:rsid w:val="00B04D73"/>
    <w:rsid w:val="00B057F2"/>
    <w:rsid w:val="00B06D9D"/>
    <w:rsid w:val="00B06DB2"/>
    <w:rsid w:val="00B06F66"/>
    <w:rsid w:val="00B071DC"/>
    <w:rsid w:val="00B07315"/>
    <w:rsid w:val="00B07785"/>
    <w:rsid w:val="00B07A99"/>
    <w:rsid w:val="00B07D58"/>
    <w:rsid w:val="00B1028F"/>
    <w:rsid w:val="00B10364"/>
    <w:rsid w:val="00B1079E"/>
    <w:rsid w:val="00B10CCF"/>
    <w:rsid w:val="00B10CEA"/>
    <w:rsid w:val="00B1130F"/>
    <w:rsid w:val="00B1189F"/>
    <w:rsid w:val="00B11B23"/>
    <w:rsid w:val="00B11D82"/>
    <w:rsid w:val="00B1216D"/>
    <w:rsid w:val="00B12280"/>
    <w:rsid w:val="00B128B6"/>
    <w:rsid w:val="00B13222"/>
    <w:rsid w:val="00B1395C"/>
    <w:rsid w:val="00B13DF6"/>
    <w:rsid w:val="00B14A25"/>
    <w:rsid w:val="00B15000"/>
    <w:rsid w:val="00B1503D"/>
    <w:rsid w:val="00B151EF"/>
    <w:rsid w:val="00B153F6"/>
    <w:rsid w:val="00B15491"/>
    <w:rsid w:val="00B1606C"/>
    <w:rsid w:val="00B16BA9"/>
    <w:rsid w:val="00B17196"/>
    <w:rsid w:val="00B171D9"/>
    <w:rsid w:val="00B1723D"/>
    <w:rsid w:val="00B173EB"/>
    <w:rsid w:val="00B17AE6"/>
    <w:rsid w:val="00B17CE9"/>
    <w:rsid w:val="00B20282"/>
    <w:rsid w:val="00B20AA6"/>
    <w:rsid w:val="00B2136D"/>
    <w:rsid w:val="00B2162F"/>
    <w:rsid w:val="00B216EC"/>
    <w:rsid w:val="00B22404"/>
    <w:rsid w:val="00B22553"/>
    <w:rsid w:val="00B225BA"/>
    <w:rsid w:val="00B227B1"/>
    <w:rsid w:val="00B22DA9"/>
    <w:rsid w:val="00B23238"/>
    <w:rsid w:val="00B2372B"/>
    <w:rsid w:val="00B23890"/>
    <w:rsid w:val="00B2409F"/>
    <w:rsid w:val="00B2495A"/>
    <w:rsid w:val="00B24AFB"/>
    <w:rsid w:val="00B25347"/>
    <w:rsid w:val="00B2554B"/>
    <w:rsid w:val="00B259DB"/>
    <w:rsid w:val="00B25BFA"/>
    <w:rsid w:val="00B25D51"/>
    <w:rsid w:val="00B2684B"/>
    <w:rsid w:val="00B2703D"/>
    <w:rsid w:val="00B273B7"/>
    <w:rsid w:val="00B302FD"/>
    <w:rsid w:val="00B305D3"/>
    <w:rsid w:val="00B307D8"/>
    <w:rsid w:val="00B30A7E"/>
    <w:rsid w:val="00B30D27"/>
    <w:rsid w:val="00B310DA"/>
    <w:rsid w:val="00B3120F"/>
    <w:rsid w:val="00B31249"/>
    <w:rsid w:val="00B3128F"/>
    <w:rsid w:val="00B314F9"/>
    <w:rsid w:val="00B315D1"/>
    <w:rsid w:val="00B3165A"/>
    <w:rsid w:val="00B31BAB"/>
    <w:rsid w:val="00B31ECA"/>
    <w:rsid w:val="00B32883"/>
    <w:rsid w:val="00B330CD"/>
    <w:rsid w:val="00B33506"/>
    <w:rsid w:val="00B335B6"/>
    <w:rsid w:val="00B33B5A"/>
    <w:rsid w:val="00B33DC6"/>
    <w:rsid w:val="00B34653"/>
    <w:rsid w:val="00B356C3"/>
    <w:rsid w:val="00B3573E"/>
    <w:rsid w:val="00B35898"/>
    <w:rsid w:val="00B35C45"/>
    <w:rsid w:val="00B35DD4"/>
    <w:rsid w:val="00B35F3C"/>
    <w:rsid w:val="00B360D2"/>
    <w:rsid w:val="00B36778"/>
    <w:rsid w:val="00B368D0"/>
    <w:rsid w:val="00B36B84"/>
    <w:rsid w:val="00B37740"/>
    <w:rsid w:val="00B37D13"/>
    <w:rsid w:val="00B40412"/>
    <w:rsid w:val="00B40746"/>
    <w:rsid w:val="00B4095E"/>
    <w:rsid w:val="00B40CE0"/>
    <w:rsid w:val="00B40F5D"/>
    <w:rsid w:val="00B41419"/>
    <w:rsid w:val="00B41F8A"/>
    <w:rsid w:val="00B42673"/>
    <w:rsid w:val="00B42817"/>
    <w:rsid w:val="00B4345F"/>
    <w:rsid w:val="00B43632"/>
    <w:rsid w:val="00B43A06"/>
    <w:rsid w:val="00B44386"/>
    <w:rsid w:val="00B443F7"/>
    <w:rsid w:val="00B44C93"/>
    <w:rsid w:val="00B45247"/>
    <w:rsid w:val="00B455A1"/>
    <w:rsid w:val="00B45A72"/>
    <w:rsid w:val="00B45F0B"/>
    <w:rsid w:val="00B462E0"/>
    <w:rsid w:val="00B46482"/>
    <w:rsid w:val="00B46A51"/>
    <w:rsid w:val="00B46B76"/>
    <w:rsid w:val="00B46FDF"/>
    <w:rsid w:val="00B470E9"/>
    <w:rsid w:val="00B47104"/>
    <w:rsid w:val="00B471B7"/>
    <w:rsid w:val="00B47336"/>
    <w:rsid w:val="00B5082D"/>
    <w:rsid w:val="00B5188B"/>
    <w:rsid w:val="00B51BEF"/>
    <w:rsid w:val="00B52858"/>
    <w:rsid w:val="00B52E08"/>
    <w:rsid w:val="00B5310F"/>
    <w:rsid w:val="00B5313F"/>
    <w:rsid w:val="00B5353B"/>
    <w:rsid w:val="00B53981"/>
    <w:rsid w:val="00B53E27"/>
    <w:rsid w:val="00B54176"/>
    <w:rsid w:val="00B548BA"/>
    <w:rsid w:val="00B54E3F"/>
    <w:rsid w:val="00B5761D"/>
    <w:rsid w:val="00B578D1"/>
    <w:rsid w:val="00B57943"/>
    <w:rsid w:val="00B57978"/>
    <w:rsid w:val="00B57A0B"/>
    <w:rsid w:val="00B57D6D"/>
    <w:rsid w:val="00B57EE6"/>
    <w:rsid w:val="00B60172"/>
    <w:rsid w:val="00B6017B"/>
    <w:rsid w:val="00B6059F"/>
    <w:rsid w:val="00B611DD"/>
    <w:rsid w:val="00B61D82"/>
    <w:rsid w:val="00B61DC5"/>
    <w:rsid w:val="00B6206A"/>
    <w:rsid w:val="00B620AD"/>
    <w:rsid w:val="00B621BB"/>
    <w:rsid w:val="00B622C7"/>
    <w:rsid w:val="00B622D4"/>
    <w:rsid w:val="00B62D47"/>
    <w:rsid w:val="00B63579"/>
    <w:rsid w:val="00B637D0"/>
    <w:rsid w:val="00B63DE1"/>
    <w:rsid w:val="00B63FF8"/>
    <w:rsid w:val="00B6477F"/>
    <w:rsid w:val="00B64F36"/>
    <w:rsid w:val="00B65E31"/>
    <w:rsid w:val="00B6627C"/>
    <w:rsid w:val="00B669A9"/>
    <w:rsid w:val="00B671A9"/>
    <w:rsid w:val="00B67387"/>
    <w:rsid w:val="00B6753D"/>
    <w:rsid w:val="00B67637"/>
    <w:rsid w:val="00B67E2F"/>
    <w:rsid w:val="00B67E85"/>
    <w:rsid w:val="00B67F1E"/>
    <w:rsid w:val="00B702A9"/>
    <w:rsid w:val="00B706A0"/>
    <w:rsid w:val="00B70700"/>
    <w:rsid w:val="00B70940"/>
    <w:rsid w:val="00B70E13"/>
    <w:rsid w:val="00B70F15"/>
    <w:rsid w:val="00B711AB"/>
    <w:rsid w:val="00B71747"/>
    <w:rsid w:val="00B719E9"/>
    <w:rsid w:val="00B72B1F"/>
    <w:rsid w:val="00B72D11"/>
    <w:rsid w:val="00B73696"/>
    <w:rsid w:val="00B73A2A"/>
    <w:rsid w:val="00B73ADF"/>
    <w:rsid w:val="00B73F28"/>
    <w:rsid w:val="00B7549F"/>
    <w:rsid w:val="00B763C2"/>
    <w:rsid w:val="00B76563"/>
    <w:rsid w:val="00B770A9"/>
    <w:rsid w:val="00B7730F"/>
    <w:rsid w:val="00B773A7"/>
    <w:rsid w:val="00B77417"/>
    <w:rsid w:val="00B7772A"/>
    <w:rsid w:val="00B77C89"/>
    <w:rsid w:val="00B77E74"/>
    <w:rsid w:val="00B77F1C"/>
    <w:rsid w:val="00B805F6"/>
    <w:rsid w:val="00B8132E"/>
    <w:rsid w:val="00B822C5"/>
    <w:rsid w:val="00B82302"/>
    <w:rsid w:val="00B825D6"/>
    <w:rsid w:val="00B825F3"/>
    <w:rsid w:val="00B8267D"/>
    <w:rsid w:val="00B8271F"/>
    <w:rsid w:val="00B82745"/>
    <w:rsid w:val="00B82747"/>
    <w:rsid w:val="00B82D61"/>
    <w:rsid w:val="00B82E26"/>
    <w:rsid w:val="00B83049"/>
    <w:rsid w:val="00B8326A"/>
    <w:rsid w:val="00B8334C"/>
    <w:rsid w:val="00B83401"/>
    <w:rsid w:val="00B83DCB"/>
    <w:rsid w:val="00B83EAE"/>
    <w:rsid w:val="00B840AB"/>
    <w:rsid w:val="00B84581"/>
    <w:rsid w:val="00B846D2"/>
    <w:rsid w:val="00B84A74"/>
    <w:rsid w:val="00B84AFD"/>
    <w:rsid w:val="00B84B3D"/>
    <w:rsid w:val="00B8521E"/>
    <w:rsid w:val="00B8631B"/>
    <w:rsid w:val="00B86CEB"/>
    <w:rsid w:val="00B87346"/>
    <w:rsid w:val="00B879F2"/>
    <w:rsid w:val="00B87F9E"/>
    <w:rsid w:val="00B90E10"/>
    <w:rsid w:val="00B917F6"/>
    <w:rsid w:val="00B92256"/>
    <w:rsid w:val="00B9267C"/>
    <w:rsid w:val="00B92F0D"/>
    <w:rsid w:val="00B9336E"/>
    <w:rsid w:val="00B93419"/>
    <w:rsid w:val="00B93B9F"/>
    <w:rsid w:val="00B93E7A"/>
    <w:rsid w:val="00B94682"/>
    <w:rsid w:val="00B946E5"/>
    <w:rsid w:val="00B94A99"/>
    <w:rsid w:val="00B9529F"/>
    <w:rsid w:val="00B956B8"/>
    <w:rsid w:val="00B95AC3"/>
    <w:rsid w:val="00B95B57"/>
    <w:rsid w:val="00B95BBD"/>
    <w:rsid w:val="00B95DDD"/>
    <w:rsid w:val="00B96040"/>
    <w:rsid w:val="00B963D0"/>
    <w:rsid w:val="00B9743C"/>
    <w:rsid w:val="00B977DA"/>
    <w:rsid w:val="00B9795F"/>
    <w:rsid w:val="00BA019E"/>
    <w:rsid w:val="00BA01F9"/>
    <w:rsid w:val="00BA0BEC"/>
    <w:rsid w:val="00BA0C6A"/>
    <w:rsid w:val="00BA1112"/>
    <w:rsid w:val="00BA13DE"/>
    <w:rsid w:val="00BA19F1"/>
    <w:rsid w:val="00BA1D01"/>
    <w:rsid w:val="00BA3320"/>
    <w:rsid w:val="00BA3EDC"/>
    <w:rsid w:val="00BA4011"/>
    <w:rsid w:val="00BA51BF"/>
    <w:rsid w:val="00BA5793"/>
    <w:rsid w:val="00BA6613"/>
    <w:rsid w:val="00BA6627"/>
    <w:rsid w:val="00BA6B3E"/>
    <w:rsid w:val="00BA6FC7"/>
    <w:rsid w:val="00BA765F"/>
    <w:rsid w:val="00BA7832"/>
    <w:rsid w:val="00BA79C0"/>
    <w:rsid w:val="00BA7B3F"/>
    <w:rsid w:val="00BA7DB0"/>
    <w:rsid w:val="00BB072C"/>
    <w:rsid w:val="00BB1ACD"/>
    <w:rsid w:val="00BB1C99"/>
    <w:rsid w:val="00BB3C89"/>
    <w:rsid w:val="00BB40CB"/>
    <w:rsid w:val="00BB4259"/>
    <w:rsid w:val="00BB42D4"/>
    <w:rsid w:val="00BB42EF"/>
    <w:rsid w:val="00BB48D6"/>
    <w:rsid w:val="00BB4B86"/>
    <w:rsid w:val="00BB528B"/>
    <w:rsid w:val="00BB53FB"/>
    <w:rsid w:val="00BB567A"/>
    <w:rsid w:val="00BB61FC"/>
    <w:rsid w:val="00BB631C"/>
    <w:rsid w:val="00BB7857"/>
    <w:rsid w:val="00BB7B4A"/>
    <w:rsid w:val="00BC0095"/>
    <w:rsid w:val="00BC0554"/>
    <w:rsid w:val="00BC0954"/>
    <w:rsid w:val="00BC10B1"/>
    <w:rsid w:val="00BC1B03"/>
    <w:rsid w:val="00BC1C3E"/>
    <w:rsid w:val="00BC1CF2"/>
    <w:rsid w:val="00BC1E4D"/>
    <w:rsid w:val="00BC25ED"/>
    <w:rsid w:val="00BC2748"/>
    <w:rsid w:val="00BC2814"/>
    <w:rsid w:val="00BC39E7"/>
    <w:rsid w:val="00BC49CC"/>
    <w:rsid w:val="00BC4D8E"/>
    <w:rsid w:val="00BC4EA6"/>
    <w:rsid w:val="00BC552A"/>
    <w:rsid w:val="00BC5B6F"/>
    <w:rsid w:val="00BC5DCA"/>
    <w:rsid w:val="00BC64D8"/>
    <w:rsid w:val="00BC6E05"/>
    <w:rsid w:val="00BC714B"/>
    <w:rsid w:val="00BC7274"/>
    <w:rsid w:val="00BC79EA"/>
    <w:rsid w:val="00BC7A9E"/>
    <w:rsid w:val="00BD02D3"/>
    <w:rsid w:val="00BD04E9"/>
    <w:rsid w:val="00BD0553"/>
    <w:rsid w:val="00BD076F"/>
    <w:rsid w:val="00BD086C"/>
    <w:rsid w:val="00BD0BE3"/>
    <w:rsid w:val="00BD0C55"/>
    <w:rsid w:val="00BD1803"/>
    <w:rsid w:val="00BD1AB0"/>
    <w:rsid w:val="00BD1CC3"/>
    <w:rsid w:val="00BD1CF8"/>
    <w:rsid w:val="00BD22B3"/>
    <w:rsid w:val="00BD2F9E"/>
    <w:rsid w:val="00BD2FCD"/>
    <w:rsid w:val="00BD319D"/>
    <w:rsid w:val="00BD3242"/>
    <w:rsid w:val="00BD35A0"/>
    <w:rsid w:val="00BD37B8"/>
    <w:rsid w:val="00BD394D"/>
    <w:rsid w:val="00BD397D"/>
    <w:rsid w:val="00BD3D9F"/>
    <w:rsid w:val="00BD4BA1"/>
    <w:rsid w:val="00BD4C19"/>
    <w:rsid w:val="00BD4CE1"/>
    <w:rsid w:val="00BD5267"/>
    <w:rsid w:val="00BD5B25"/>
    <w:rsid w:val="00BD5E9A"/>
    <w:rsid w:val="00BD60F2"/>
    <w:rsid w:val="00BD63F5"/>
    <w:rsid w:val="00BD6465"/>
    <w:rsid w:val="00BD666B"/>
    <w:rsid w:val="00BD7213"/>
    <w:rsid w:val="00BD761C"/>
    <w:rsid w:val="00BD7BFF"/>
    <w:rsid w:val="00BD7C6E"/>
    <w:rsid w:val="00BD7CC3"/>
    <w:rsid w:val="00BE0071"/>
    <w:rsid w:val="00BE01D8"/>
    <w:rsid w:val="00BE09E6"/>
    <w:rsid w:val="00BE10E6"/>
    <w:rsid w:val="00BE1CF4"/>
    <w:rsid w:val="00BE21B2"/>
    <w:rsid w:val="00BE2BE1"/>
    <w:rsid w:val="00BE3015"/>
    <w:rsid w:val="00BE38B0"/>
    <w:rsid w:val="00BE38FD"/>
    <w:rsid w:val="00BE39E2"/>
    <w:rsid w:val="00BE3CC6"/>
    <w:rsid w:val="00BE3E32"/>
    <w:rsid w:val="00BE49C7"/>
    <w:rsid w:val="00BE53AF"/>
    <w:rsid w:val="00BE5564"/>
    <w:rsid w:val="00BE570A"/>
    <w:rsid w:val="00BE5DF7"/>
    <w:rsid w:val="00BE5FAC"/>
    <w:rsid w:val="00BE63E7"/>
    <w:rsid w:val="00BE6673"/>
    <w:rsid w:val="00BE6A09"/>
    <w:rsid w:val="00BE6A20"/>
    <w:rsid w:val="00BE7A26"/>
    <w:rsid w:val="00BE7F5B"/>
    <w:rsid w:val="00BE7FD7"/>
    <w:rsid w:val="00BF0163"/>
    <w:rsid w:val="00BF04E3"/>
    <w:rsid w:val="00BF067D"/>
    <w:rsid w:val="00BF0B63"/>
    <w:rsid w:val="00BF124D"/>
    <w:rsid w:val="00BF1538"/>
    <w:rsid w:val="00BF156F"/>
    <w:rsid w:val="00BF25A6"/>
    <w:rsid w:val="00BF2852"/>
    <w:rsid w:val="00BF30E9"/>
    <w:rsid w:val="00BF4499"/>
    <w:rsid w:val="00BF4CE9"/>
    <w:rsid w:val="00BF5132"/>
    <w:rsid w:val="00BF51BF"/>
    <w:rsid w:val="00BF55FA"/>
    <w:rsid w:val="00BF5D4A"/>
    <w:rsid w:val="00BF632F"/>
    <w:rsid w:val="00BF6968"/>
    <w:rsid w:val="00BF6D37"/>
    <w:rsid w:val="00BF7127"/>
    <w:rsid w:val="00BF71B3"/>
    <w:rsid w:val="00BF760D"/>
    <w:rsid w:val="00BF7683"/>
    <w:rsid w:val="00BF76BC"/>
    <w:rsid w:val="00BF79EF"/>
    <w:rsid w:val="00C00422"/>
    <w:rsid w:val="00C01296"/>
    <w:rsid w:val="00C01821"/>
    <w:rsid w:val="00C02216"/>
    <w:rsid w:val="00C0264F"/>
    <w:rsid w:val="00C02705"/>
    <w:rsid w:val="00C02C96"/>
    <w:rsid w:val="00C02D64"/>
    <w:rsid w:val="00C02D9B"/>
    <w:rsid w:val="00C030D6"/>
    <w:rsid w:val="00C034ED"/>
    <w:rsid w:val="00C0354F"/>
    <w:rsid w:val="00C03A75"/>
    <w:rsid w:val="00C04406"/>
    <w:rsid w:val="00C04801"/>
    <w:rsid w:val="00C04D86"/>
    <w:rsid w:val="00C05100"/>
    <w:rsid w:val="00C05500"/>
    <w:rsid w:val="00C05C71"/>
    <w:rsid w:val="00C05F0C"/>
    <w:rsid w:val="00C0623E"/>
    <w:rsid w:val="00C06EF4"/>
    <w:rsid w:val="00C0733C"/>
    <w:rsid w:val="00C077F1"/>
    <w:rsid w:val="00C07A39"/>
    <w:rsid w:val="00C07F1B"/>
    <w:rsid w:val="00C1009A"/>
    <w:rsid w:val="00C1134F"/>
    <w:rsid w:val="00C11827"/>
    <w:rsid w:val="00C11BAF"/>
    <w:rsid w:val="00C12054"/>
    <w:rsid w:val="00C12351"/>
    <w:rsid w:val="00C1264D"/>
    <w:rsid w:val="00C12E60"/>
    <w:rsid w:val="00C13350"/>
    <w:rsid w:val="00C1349F"/>
    <w:rsid w:val="00C134DA"/>
    <w:rsid w:val="00C13841"/>
    <w:rsid w:val="00C13885"/>
    <w:rsid w:val="00C139B2"/>
    <w:rsid w:val="00C13A44"/>
    <w:rsid w:val="00C14B35"/>
    <w:rsid w:val="00C1530C"/>
    <w:rsid w:val="00C1569C"/>
    <w:rsid w:val="00C174C3"/>
    <w:rsid w:val="00C17752"/>
    <w:rsid w:val="00C17884"/>
    <w:rsid w:val="00C17BF1"/>
    <w:rsid w:val="00C17F31"/>
    <w:rsid w:val="00C20155"/>
    <w:rsid w:val="00C208EC"/>
    <w:rsid w:val="00C20DA6"/>
    <w:rsid w:val="00C212C0"/>
    <w:rsid w:val="00C213C5"/>
    <w:rsid w:val="00C21FE9"/>
    <w:rsid w:val="00C22EBE"/>
    <w:rsid w:val="00C22F6E"/>
    <w:rsid w:val="00C23048"/>
    <w:rsid w:val="00C230DA"/>
    <w:rsid w:val="00C231F6"/>
    <w:rsid w:val="00C2354C"/>
    <w:rsid w:val="00C23779"/>
    <w:rsid w:val="00C23D1C"/>
    <w:rsid w:val="00C23EF1"/>
    <w:rsid w:val="00C23F3B"/>
    <w:rsid w:val="00C24738"/>
    <w:rsid w:val="00C24C11"/>
    <w:rsid w:val="00C25541"/>
    <w:rsid w:val="00C256BC"/>
    <w:rsid w:val="00C257D4"/>
    <w:rsid w:val="00C25BCE"/>
    <w:rsid w:val="00C2642A"/>
    <w:rsid w:val="00C2642D"/>
    <w:rsid w:val="00C26C54"/>
    <w:rsid w:val="00C26DE3"/>
    <w:rsid w:val="00C2708A"/>
    <w:rsid w:val="00C277B7"/>
    <w:rsid w:val="00C2789F"/>
    <w:rsid w:val="00C27C0D"/>
    <w:rsid w:val="00C3038C"/>
    <w:rsid w:val="00C308AB"/>
    <w:rsid w:val="00C310C8"/>
    <w:rsid w:val="00C31685"/>
    <w:rsid w:val="00C31723"/>
    <w:rsid w:val="00C3173E"/>
    <w:rsid w:val="00C31B37"/>
    <w:rsid w:val="00C31E5B"/>
    <w:rsid w:val="00C31F90"/>
    <w:rsid w:val="00C322E6"/>
    <w:rsid w:val="00C329B7"/>
    <w:rsid w:val="00C32ED0"/>
    <w:rsid w:val="00C330BD"/>
    <w:rsid w:val="00C336E7"/>
    <w:rsid w:val="00C33772"/>
    <w:rsid w:val="00C339A4"/>
    <w:rsid w:val="00C3425F"/>
    <w:rsid w:val="00C345D9"/>
    <w:rsid w:val="00C34912"/>
    <w:rsid w:val="00C34F5B"/>
    <w:rsid w:val="00C35DC2"/>
    <w:rsid w:val="00C35DC3"/>
    <w:rsid w:val="00C36168"/>
    <w:rsid w:val="00C361E7"/>
    <w:rsid w:val="00C363F8"/>
    <w:rsid w:val="00C36CD0"/>
    <w:rsid w:val="00C36F15"/>
    <w:rsid w:val="00C37296"/>
    <w:rsid w:val="00C37765"/>
    <w:rsid w:val="00C377B0"/>
    <w:rsid w:val="00C37BBE"/>
    <w:rsid w:val="00C37DC3"/>
    <w:rsid w:val="00C40715"/>
    <w:rsid w:val="00C40C9D"/>
    <w:rsid w:val="00C40EC2"/>
    <w:rsid w:val="00C4197F"/>
    <w:rsid w:val="00C42AB7"/>
    <w:rsid w:val="00C4314B"/>
    <w:rsid w:val="00C43164"/>
    <w:rsid w:val="00C43836"/>
    <w:rsid w:val="00C438A6"/>
    <w:rsid w:val="00C43B0E"/>
    <w:rsid w:val="00C43EE7"/>
    <w:rsid w:val="00C44357"/>
    <w:rsid w:val="00C44914"/>
    <w:rsid w:val="00C44C4B"/>
    <w:rsid w:val="00C44FE0"/>
    <w:rsid w:val="00C45419"/>
    <w:rsid w:val="00C4546D"/>
    <w:rsid w:val="00C45763"/>
    <w:rsid w:val="00C4580C"/>
    <w:rsid w:val="00C45D34"/>
    <w:rsid w:val="00C46224"/>
    <w:rsid w:val="00C4637C"/>
    <w:rsid w:val="00C4738D"/>
    <w:rsid w:val="00C47A77"/>
    <w:rsid w:val="00C50518"/>
    <w:rsid w:val="00C50AC7"/>
    <w:rsid w:val="00C516A3"/>
    <w:rsid w:val="00C5173E"/>
    <w:rsid w:val="00C5188A"/>
    <w:rsid w:val="00C51ECF"/>
    <w:rsid w:val="00C51ED7"/>
    <w:rsid w:val="00C5213D"/>
    <w:rsid w:val="00C52535"/>
    <w:rsid w:val="00C5260D"/>
    <w:rsid w:val="00C52DB2"/>
    <w:rsid w:val="00C54277"/>
    <w:rsid w:val="00C54D42"/>
    <w:rsid w:val="00C55DB6"/>
    <w:rsid w:val="00C560A3"/>
    <w:rsid w:val="00C561E3"/>
    <w:rsid w:val="00C563F2"/>
    <w:rsid w:val="00C564CD"/>
    <w:rsid w:val="00C56574"/>
    <w:rsid w:val="00C57DA1"/>
    <w:rsid w:val="00C57F74"/>
    <w:rsid w:val="00C60639"/>
    <w:rsid w:val="00C6068B"/>
    <w:rsid w:val="00C60A93"/>
    <w:rsid w:val="00C60D87"/>
    <w:rsid w:val="00C60EDC"/>
    <w:rsid w:val="00C614F2"/>
    <w:rsid w:val="00C61671"/>
    <w:rsid w:val="00C61C15"/>
    <w:rsid w:val="00C6242A"/>
    <w:rsid w:val="00C6255B"/>
    <w:rsid w:val="00C626C3"/>
    <w:rsid w:val="00C6279E"/>
    <w:rsid w:val="00C62ED8"/>
    <w:rsid w:val="00C63DB8"/>
    <w:rsid w:val="00C64083"/>
    <w:rsid w:val="00C643F0"/>
    <w:rsid w:val="00C64575"/>
    <w:rsid w:val="00C64B02"/>
    <w:rsid w:val="00C64C4A"/>
    <w:rsid w:val="00C64E13"/>
    <w:rsid w:val="00C65663"/>
    <w:rsid w:val="00C657C5"/>
    <w:rsid w:val="00C65C0F"/>
    <w:rsid w:val="00C65C4F"/>
    <w:rsid w:val="00C65C72"/>
    <w:rsid w:val="00C66025"/>
    <w:rsid w:val="00C66621"/>
    <w:rsid w:val="00C66632"/>
    <w:rsid w:val="00C673AE"/>
    <w:rsid w:val="00C67938"/>
    <w:rsid w:val="00C67E63"/>
    <w:rsid w:val="00C67EF0"/>
    <w:rsid w:val="00C7077C"/>
    <w:rsid w:val="00C71093"/>
    <w:rsid w:val="00C7119A"/>
    <w:rsid w:val="00C716B7"/>
    <w:rsid w:val="00C7196A"/>
    <w:rsid w:val="00C71E5D"/>
    <w:rsid w:val="00C723AF"/>
    <w:rsid w:val="00C725CB"/>
    <w:rsid w:val="00C739EC"/>
    <w:rsid w:val="00C750BA"/>
    <w:rsid w:val="00C7551A"/>
    <w:rsid w:val="00C7572C"/>
    <w:rsid w:val="00C7596D"/>
    <w:rsid w:val="00C75BB0"/>
    <w:rsid w:val="00C76DC8"/>
    <w:rsid w:val="00C76FBD"/>
    <w:rsid w:val="00C77355"/>
    <w:rsid w:val="00C7764B"/>
    <w:rsid w:val="00C77B01"/>
    <w:rsid w:val="00C77D11"/>
    <w:rsid w:val="00C77E1A"/>
    <w:rsid w:val="00C77E4C"/>
    <w:rsid w:val="00C77EA3"/>
    <w:rsid w:val="00C77F11"/>
    <w:rsid w:val="00C806BC"/>
    <w:rsid w:val="00C8093C"/>
    <w:rsid w:val="00C80E80"/>
    <w:rsid w:val="00C81281"/>
    <w:rsid w:val="00C8142B"/>
    <w:rsid w:val="00C819C9"/>
    <w:rsid w:val="00C82432"/>
    <w:rsid w:val="00C825EC"/>
    <w:rsid w:val="00C82DDE"/>
    <w:rsid w:val="00C837BD"/>
    <w:rsid w:val="00C83977"/>
    <w:rsid w:val="00C83C9D"/>
    <w:rsid w:val="00C84031"/>
    <w:rsid w:val="00C84073"/>
    <w:rsid w:val="00C8483F"/>
    <w:rsid w:val="00C84AE8"/>
    <w:rsid w:val="00C84E6A"/>
    <w:rsid w:val="00C85008"/>
    <w:rsid w:val="00C85137"/>
    <w:rsid w:val="00C8542C"/>
    <w:rsid w:val="00C859CE"/>
    <w:rsid w:val="00C85CD9"/>
    <w:rsid w:val="00C861AA"/>
    <w:rsid w:val="00C86D82"/>
    <w:rsid w:val="00C86FC1"/>
    <w:rsid w:val="00C8704E"/>
    <w:rsid w:val="00C8724B"/>
    <w:rsid w:val="00C874FC"/>
    <w:rsid w:val="00C877B5"/>
    <w:rsid w:val="00C87938"/>
    <w:rsid w:val="00C9010F"/>
    <w:rsid w:val="00C90216"/>
    <w:rsid w:val="00C903B0"/>
    <w:rsid w:val="00C90488"/>
    <w:rsid w:val="00C909F6"/>
    <w:rsid w:val="00C9103C"/>
    <w:rsid w:val="00C9190A"/>
    <w:rsid w:val="00C91B13"/>
    <w:rsid w:val="00C91F5E"/>
    <w:rsid w:val="00C92447"/>
    <w:rsid w:val="00C9251A"/>
    <w:rsid w:val="00C92A6E"/>
    <w:rsid w:val="00C92F5A"/>
    <w:rsid w:val="00C93006"/>
    <w:rsid w:val="00C947E0"/>
    <w:rsid w:val="00C94FDE"/>
    <w:rsid w:val="00C9531B"/>
    <w:rsid w:val="00C95DB0"/>
    <w:rsid w:val="00C96022"/>
    <w:rsid w:val="00C966C8"/>
    <w:rsid w:val="00C96801"/>
    <w:rsid w:val="00C96980"/>
    <w:rsid w:val="00C969D3"/>
    <w:rsid w:val="00C96A69"/>
    <w:rsid w:val="00C977DB"/>
    <w:rsid w:val="00C9781C"/>
    <w:rsid w:val="00C97A8B"/>
    <w:rsid w:val="00C97F53"/>
    <w:rsid w:val="00CA03C1"/>
    <w:rsid w:val="00CA043C"/>
    <w:rsid w:val="00CA050E"/>
    <w:rsid w:val="00CA0679"/>
    <w:rsid w:val="00CA0871"/>
    <w:rsid w:val="00CA0CBF"/>
    <w:rsid w:val="00CA17B7"/>
    <w:rsid w:val="00CA17C0"/>
    <w:rsid w:val="00CA225A"/>
    <w:rsid w:val="00CA25F8"/>
    <w:rsid w:val="00CA2B02"/>
    <w:rsid w:val="00CA305B"/>
    <w:rsid w:val="00CA308E"/>
    <w:rsid w:val="00CA3644"/>
    <w:rsid w:val="00CA3F01"/>
    <w:rsid w:val="00CA4482"/>
    <w:rsid w:val="00CA4611"/>
    <w:rsid w:val="00CA4766"/>
    <w:rsid w:val="00CA4C14"/>
    <w:rsid w:val="00CA5279"/>
    <w:rsid w:val="00CA5A4A"/>
    <w:rsid w:val="00CA5C32"/>
    <w:rsid w:val="00CA5D8B"/>
    <w:rsid w:val="00CA5F70"/>
    <w:rsid w:val="00CA6019"/>
    <w:rsid w:val="00CA64FC"/>
    <w:rsid w:val="00CA66DF"/>
    <w:rsid w:val="00CA7C25"/>
    <w:rsid w:val="00CB0454"/>
    <w:rsid w:val="00CB04AA"/>
    <w:rsid w:val="00CB0A06"/>
    <w:rsid w:val="00CB0FE4"/>
    <w:rsid w:val="00CB11AD"/>
    <w:rsid w:val="00CB159D"/>
    <w:rsid w:val="00CB1929"/>
    <w:rsid w:val="00CB1D60"/>
    <w:rsid w:val="00CB1DC0"/>
    <w:rsid w:val="00CB22B4"/>
    <w:rsid w:val="00CB2DBB"/>
    <w:rsid w:val="00CB3121"/>
    <w:rsid w:val="00CB3244"/>
    <w:rsid w:val="00CB50C6"/>
    <w:rsid w:val="00CB5215"/>
    <w:rsid w:val="00CB53FC"/>
    <w:rsid w:val="00CB54B8"/>
    <w:rsid w:val="00CB5FCC"/>
    <w:rsid w:val="00CB69F3"/>
    <w:rsid w:val="00CB6A41"/>
    <w:rsid w:val="00CB7468"/>
    <w:rsid w:val="00CB7CE0"/>
    <w:rsid w:val="00CB7DF6"/>
    <w:rsid w:val="00CC0009"/>
    <w:rsid w:val="00CC01F3"/>
    <w:rsid w:val="00CC08FB"/>
    <w:rsid w:val="00CC0D16"/>
    <w:rsid w:val="00CC1052"/>
    <w:rsid w:val="00CC1310"/>
    <w:rsid w:val="00CC1F4D"/>
    <w:rsid w:val="00CC231F"/>
    <w:rsid w:val="00CC2848"/>
    <w:rsid w:val="00CC2A7D"/>
    <w:rsid w:val="00CC2D3E"/>
    <w:rsid w:val="00CC2D5D"/>
    <w:rsid w:val="00CC2E5E"/>
    <w:rsid w:val="00CC3344"/>
    <w:rsid w:val="00CC4118"/>
    <w:rsid w:val="00CC443A"/>
    <w:rsid w:val="00CC47D5"/>
    <w:rsid w:val="00CC48DD"/>
    <w:rsid w:val="00CC4E6D"/>
    <w:rsid w:val="00CC5FBC"/>
    <w:rsid w:val="00CC62F3"/>
    <w:rsid w:val="00CC6533"/>
    <w:rsid w:val="00CC6D51"/>
    <w:rsid w:val="00CC6FFD"/>
    <w:rsid w:val="00CC72F8"/>
    <w:rsid w:val="00CC7948"/>
    <w:rsid w:val="00CC7B55"/>
    <w:rsid w:val="00CD04F0"/>
    <w:rsid w:val="00CD0618"/>
    <w:rsid w:val="00CD151F"/>
    <w:rsid w:val="00CD157D"/>
    <w:rsid w:val="00CD179E"/>
    <w:rsid w:val="00CD18D0"/>
    <w:rsid w:val="00CD1E04"/>
    <w:rsid w:val="00CD21EB"/>
    <w:rsid w:val="00CD23CB"/>
    <w:rsid w:val="00CD286D"/>
    <w:rsid w:val="00CD2D6F"/>
    <w:rsid w:val="00CD3A11"/>
    <w:rsid w:val="00CD4729"/>
    <w:rsid w:val="00CD4747"/>
    <w:rsid w:val="00CD4990"/>
    <w:rsid w:val="00CD4B3E"/>
    <w:rsid w:val="00CD558F"/>
    <w:rsid w:val="00CD5622"/>
    <w:rsid w:val="00CD59B4"/>
    <w:rsid w:val="00CD5A5B"/>
    <w:rsid w:val="00CD5AA9"/>
    <w:rsid w:val="00CD5DC3"/>
    <w:rsid w:val="00CD68D0"/>
    <w:rsid w:val="00CD6A92"/>
    <w:rsid w:val="00CD6BFA"/>
    <w:rsid w:val="00CD7284"/>
    <w:rsid w:val="00CD79C0"/>
    <w:rsid w:val="00CD7A2F"/>
    <w:rsid w:val="00CE012A"/>
    <w:rsid w:val="00CE03E7"/>
    <w:rsid w:val="00CE1171"/>
    <w:rsid w:val="00CE11AD"/>
    <w:rsid w:val="00CE13A0"/>
    <w:rsid w:val="00CE1B84"/>
    <w:rsid w:val="00CE1C6E"/>
    <w:rsid w:val="00CE2B88"/>
    <w:rsid w:val="00CE3CE8"/>
    <w:rsid w:val="00CE3FBA"/>
    <w:rsid w:val="00CE46A6"/>
    <w:rsid w:val="00CE46B2"/>
    <w:rsid w:val="00CE47A1"/>
    <w:rsid w:val="00CE4D81"/>
    <w:rsid w:val="00CE4D82"/>
    <w:rsid w:val="00CE4FBA"/>
    <w:rsid w:val="00CE5442"/>
    <w:rsid w:val="00CE6208"/>
    <w:rsid w:val="00CE7055"/>
    <w:rsid w:val="00CE7153"/>
    <w:rsid w:val="00CE7438"/>
    <w:rsid w:val="00CE7F54"/>
    <w:rsid w:val="00CF05D9"/>
    <w:rsid w:val="00CF0A7E"/>
    <w:rsid w:val="00CF0FF6"/>
    <w:rsid w:val="00CF13DB"/>
    <w:rsid w:val="00CF154D"/>
    <w:rsid w:val="00CF17B6"/>
    <w:rsid w:val="00CF2415"/>
    <w:rsid w:val="00CF259F"/>
    <w:rsid w:val="00CF26AA"/>
    <w:rsid w:val="00CF2825"/>
    <w:rsid w:val="00CF2B9D"/>
    <w:rsid w:val="00CF3023"/>
    <w:rsid w:val="00CF326D"/>
    <w:rsid w:val="00CF34A3"/>
    <w:rsid w:val="00CF3A41"/>
    <w:rsid w:val="00CF3E61"/>
    <w:rsid w:val="00CF433C"/>
    <w:rsid w:val="00CF4593"/>
    <w:rsid w:val="00CF604E"/>
    <w:rsid w:val="00CF6272"/>
    <w:rsid w:val="00CF7A1A"/>
    <w:rsid w:val="00CF7A91"/>
    <w:rsid w:val="00D000AD"/>
    <w:rsid w:val="00D00342"/>
    <w:rsid w:val="00D00918"/>
    <w:rsid w:val="00D011E3"/>
    <w:rsid w:val="00D0193E"/>
    <w:rsid w:val="00D02886"/>
    <w:rsid w:val="00D028E4"/>
    <w:rsid w:val="00D02ABD"/>
    <w:rsid w:val="00D02BD1"/>
    <w:rsid w:val="00D02E48"/>
    <w:rsid w:val="00D031F4"/>
    <w:rsid w:val="00D040A4"/>
    <w:rsid w:val="00D042C3"/>
    <w:rsid w:val="00D047BD"/>
    <w:rsid w:val="00D051A5"/>
    <w:rsid w:val="00D05321"/>
    <w:rsid w:val="00D054A7"/>
    <w:rsid w:val="00D05A7D"/>
    <w:rsid w:val="00D05AB5"/>
    <w:rsid w:val="00D05EF5"/>
    <w:rsid w:val="00D06DD4"/>
    <w:rsid w:val="00D06FC0"/>
    <w:rsid w:val="00D06FFE"/>
    <w:rsid w:val="00D0704A"/>
    <w:rsid w:val="00D07B03"/>
    <w:rsid w:val="00D10672"/>
    <w:rsid w:val="00D10983"/>
    <w:rsid w:val="00D10E63"/>
    <w:rsid w:val="00D116F7"/>
    <w:rsid w:val="00D11744"/>
    <w:rsid w:val="00D12054"/>
    <w:rsid w:val="00D12438"/>
    <w:rsid w:val="00D129F1"/>
    <w:rsid w:val="00D12E8E"/>
    <w:rsid w:val="00D12EAB"/>
    <w:rsid w:val="00D12EFC"/>
    <w:rsid w:val="00D13496"/>
    <w:rsid w:val="00D13A02"/>
    <w:rsid w:val="00D1463C"/>
    <w:rsid w:val="00D14823"/>
    <w:rsid w:val="00D1482F"/>
    <w:rsid w:val="00D148E0"/>
    <w:rsid w:val="00D1492D"/>
    <w:rsid w:val="00D14D46"/>
    <w:rsid w:val="00D14DE6"/>
    <w:rsid w:val="00D14F1A"/>
    <w:rsid w:val="00D15043"/>
    <w:rsid w:val="00D15A4F"/>
    <w:rsid w:val="00D15B33"/>
    <w:rsid w:val="00D15BD3"/>
    <w:rsid w:val="00D165F0"/>
    <w:rsid w:val="00D16B98"/>
    <w:rsid w:val="00D174FE"/>
    <w:rsid w:val="00D176D6"/>
    <w:rsid w:val="00D17D46"/>
    <w:rsid w:val="00D17D7E"/>
    <w:rsid w:val="00D203CD"/>
    <w:rsid w:val="00D20466"/>
    <w:rsid w:val="00D2128F"/>
    <w:rsid w:val="00D2130D"/>
    <w:rsid w:val="00D219B0"/>
    <w:rsid w:val="00D21DAE"/>
    <w:rsid w:val="00D21F44"/>
    <w:rsid w:val="00D22813"/>
    <w:rsid w:val="00D22B9F"/>
    <w:rsid w:val="00D23733"/>
    <w:rsid w:val="00D23A6C"/>
    <w:rsid w:val="00D23F55"/>
    <w:rsid w:val="00D24222"/>
    <w:rsid w:val="00D243F9"/>
    <w:rsid w:val="00D24652"/>
    <w:rsid w:val="00D246DC"/>
    <w:rsid w:val="00D249C7"/>
    <w:rsid w:val="00D24BEA"/>
    <w:rsid w:val="00D24D53"/>
    <w:rsid w:val="00D24FDD"/>
    <w:rsid w:val="00D25499"/>
    <w:rsid w:val="00D26339"/>
    <w:rsid w:val="00D269F0"/>
    <w:rsid w:val="00D26BB1"/>
    <w:rsid w:val="00D26F9A"/>
    <w:rsid w:val="00D27D10"/>
    <w:rsid w:val="00D30741"/>
    <w:rsid w:val="00D30DC8"/>
    <w:rsid w:val="00D31649"/>
    <w:rsid w:val="00D316A9"/>
    <w:rsid w:val="00D316B5"/>
    <w:rsid w:val="00D31A5C"/>
    <w:rsid w:val="00D31DD5"/>
    <w:rsid w:val="00D3233D"/>
    <w:rsid w:val="00D32877"/>
    <w:rsid w:val="00D330D6"/>
    <w:rsid w:val="00D338CD"/>
    <w:rsid w:val="00D33BDF"/>
    <w:rsid w:val="00D33E5C"/>
    <w:rsid w:val="00D3409A"/>
    <w:rsid w:val="00D345E5"/>
    <w:rsid w:val="00D3478D"/>
    <w:rsid w:val="00D3516A"/>
    <w:rsid w:val="00D35434"/>
    <w:rsid w:val="00D35996"/>
    <w:rsid w:val="00D35CA4"/>
    <w:rsid w:val="00D3614C"/>
    <w:rsid w:val="00D362F5"/>
    <w:rsid w:val="00D36417"/>
    <w:rsid w:val="00D364C4"/>
    <w:rsid w:val="00D369FA"/>
    <w:rsid w:val="00D36DF6"/>
    <w:rsid w:val="00D3719E"/>
    <w:rsid w:val="00D372E3"/>
    <w:rsid w:val="00D3746E"/>
    <w:rsid w:val="00D374C6"/>
    <w:rsid w:val="00D37E9C"/>
    <w:rsid w:val="00D408B6"/>
    <w:rsid w:val="00D408EA"/>
    <w:rsid w:val="00D40EA2"/>
    <w:rsid w:val="00D40F89"/>
    <w:rsid w:val="00D41123"/>
    <w:rsid w:val="00D41172"/>
    <w:rsid w:val="00D4160E"/>
    <w:rsid w:val="00D41A4E"/>
    <w:rsid w:val="00D41EC8"/>
    <w:rsid w:val="00D42AA5"/>
    <w:rsid w:val="00D43105"/>
    <w:rsid w:val="00D436AB"/>
    <w:rsid w:val="00D43996"/>
    <w:rsid w:val="00D441C6"/>
    <w:rsid w:val="00D44496"/>
    <w:rsid w:val="00D44622"/>
    <w:rsid w:val="00D446EE"/>
    <w:rsid w:val="00D44771"/>
    <w:rsid w:val="00D44A8E"/>
    <w:rsid w:val="00D44BD0"/>
    <w:rsid w:val="00D4553F"/>
    <w:rsid w:val="00D458AF"/>
    <w:rsid w:val="00D458F8"/>
    <w:rsid w:val="00D460DA"/>
    <w:rsid w:val="00D46130"/>
    <w:rsid w:val="00D463BF"/>
    <w:rsid w:val="00D466B9"/>
    <w:rsid w:val="00D46E76"/>
    <w:rsid w:val="00D4796B"/>
    <w:rsid w:val="00D47DB8"/>
    <w:rsid w:val="00D501B6"/>
    <w:rsid w:val="00D507C9"/>
    <w:rsid w:val="00D508A9"/>
    <w:rsid w:val="00D50E7C"/>
    <w:rsid w:val="00D51861"/>
    <w:rsid w:val="00D52C27"/>
    <w:rsid w:val="00D530FD"/>
    <w:rsid w:val="00D53650"/>
    <w:rsid w:val="00D537CC"/>
    <w:rsid w:val="00D5387B"/>
    <w:rsid w:val="00D53C95"/>
    <w:rsid w:val="00D53DAB"/>
    <w:rsid w:val="00D553A7"/>
    <w:rsid w:val="00D5571F"/>
    <w:rsid w:val="00D55A71"/>
    <w:rsid w:val="00D55DD8"/>
    <w:rsid w:val="00D564F6"/>
    <w:rsid w:val="00D56789"/>
    <w:rsid w:val="00D56C21"/>
    <w:rsid w:val="00D571CC"/>
    <w:rsid w:val="00D57AE1"/>
    <w:rsid w:val="00D57AEE"/>
    <w:rsid w:val="00D57B0F"/>
    <w:rsid w:val="00D57E0C"/>
    <w:rsid w:val="00D6006B"/>
    <w:rsid w:val="00D61302"/>
    <w:rsid w:val="00D614B3"/>
    <w:rsid w:val="00D614C5"/>
    <w:rsid w:val="00D61BFD"/>
    <w:rsid w:val="00D6275D"/>
    <w:rsid w:val="00D62929"/>
    <w:rsid w:val="00D62B6F"/>
    <w:rsid w:val="00D62DB8"/>
    <w:rsid w:val="00D632AB"/>
    <w:rsid w:val="00D638F2"/>
    <w:rsid w:val="00D639B2"/>
    <w:rsid w:val="00D63C9C"/>
    <w:rsid w:val="00D63DF5"/>
    <w:rsid w:val="00D640AE"/>
    <w:rsid w:val="00D641FC"/>
    <w:rsid w:val="00D6433E"/>
    <w:rsid w:val="00D651F6"/>
    <w:rsid w:val="00D654D5"/>
    <w:rsid w:val="00D65C9F"/>
    <w:rsid w:val="00D65CF4"/>
    <w:rsid w:val="00D663AF"/>
    <w:rsid w:val="00D6647A"/>
    <w:rsid w:val="00D666C3"/>
    <w:rsid w:val="00D668C3"/>
    <w:rsid w:val="00D66A3B"/>
    <w:rsid w:val="00D671B5"/>
    <w:rsid w:val="00D67202"/>
    <w:rsid w:val="00D6744E"/>
    <w:rsid w:val="00D6753A"/>
    <w:rsid w:val="00D6796C"/>
    <w:rsid w:val="00D67F36"/>
    <w:rsid w:val="00D701CD"/>
    <w:rsid w:val="00D70771"/>
    <w:rsid w:val="00D70885"/>
    <w:rsid w:val="00D70A16"/>
    <w:rsid w:val="00D7102A"/>
    <w:rsid w:val="00D7128D"/>
    <w:rsid w:val="00D71556"/>
    <w:rsid w:val="00D7171C"/>
    <w:rsid w:val="00D71828"/>
    <w:rsid w:val="00D71C3F"/>
    <w:rsid w:val="00D71F90"/>
    <w:rsid w:val="00D72094"/>
    <w:rsid w:val="00D7244E"/>
    <w:rsid w:val="00D726C8"/>
    <w:rsid w:val="00D7314A"/>
    <w:rsid w:val="00D733D0"/>
    <w:rsid w:val="00D73679"/>
    <w:rsid w:val="00D73A29"/>
    <w:rsid w:val="00D73F20"/>
    <w:rsid w:val="00D74672"/>
    <w:rsid w:val="00D74750"/>
    <w:rsid w:val="00D7490C"/>
    <w:rsid w:val="00D74CAD"/>
    <w:rsid w:val="00D74E63"/>
    <w:rsid w:val="00D7527A"/>
    <w:rsid w:val="00D755DC"/>
    <w:rsid w:val="00D75799"/>
    <w:rsid w:val="00D75C6F"/>
    <w:rsid w:val="00D75DCB"/>
    <w:rsid w:val="00D76B14"/>
    <w:rsid w:val="00D76C1B"/>
    <w:rsid w:val="00D76F06"/>
    <w:rsid w:val="00D770EE"/>
    <w:rsid w:val="00D775A0"/>
    <w:rsid w:val="00D77604"/>
    <w:rsid w:val="00D77E96"/>
    <w:rsid w:val="00D8061D"/>
    <w:rsid w:val="00D80679"/>
    <w:rsid w:val="00D80E52"/>
    <w:rsid w:val="00D80E96"/>
    <w:rsid w:val="00D8167B"/>
    <w:rsid w:val="00D81723"/>
    <w:rsid w:val="00D81844"/>
    <w:rsid w:val="00D81A55"/>
    <w:rsid w:val="00D81C7F"/>
    <w:rsid w:val="00D825A0"/>
    <w:rsid w:val="00D82862"/>
    <w:rsid w:val="00D82918"/>
    <w:rsid w:val="00D82B48"/>
    <w:rsid w:val="00D83337"/>
    <w:rsid w:val="00D836EE"/>
    <w:rsid w:val="00D8378C"/>
    <w:rsid w:val="00D83F45"/>
    <w:rsid w:val="00D8400A"/>
    <w:rsid w:val="00D84164"/>
    <w:rsid w:val="00D8434C"/>
    <w:rsid w:val="00D84679"/>
    <w:rsid w:val="00D84769"/>
    <w:rsid w:val="00D85431"/>
    <w:rsid w:val="00D85594"/>
    <w:rsid w:val="00D8596F"/>
    <w:rsid w:val="00D85F49"/>
    <w:rsid w:val="00D86DAE"/>
    <w:rsid w:val="00D877D6"/>
    <w:rsid w:val="00D8780D"/>
    <w:rsid w:val="00D87B26"/>
    <w:rsid w:val="00D87B90"/>
    <w:rsid w:val="00D901E7"/>
    <w:rsid w:val="00D90216"/>
    <w:rsid w:val="00D90775"/>
    <w:rsid w:val="00D9108D"/>
    <w:rsid w:val="00D91693"/>
    <w:rsid w:val="00D91F79"/>
    <w:rsid w:val="00D92048"/>
    <w:rsid w:val="00D9209D"/>
    <w:rsid w:val="00D925E8"/>
    <w:rsid w:val="00D926BD"/>
    <w:rsid w:val="00D92F23"/>
    <w:rsid w:val="00D938B0"/>
    <w:rsid w:val="00D93955"/>
    <w:rsid w:val="00D949C5"/>
    <w:rsid w:val="00D94B5C"/>
    <w:rsid w:val="00D94B7F"/>
    <w:rsid w:val="00D94FA0"/>
    <w:rsid w:val="00D95D75"/>
    <w:rsid w:val="00D96D81"/>
    <w:rsid w:val="00D96F50"/>
    <w:rsid w:val="00DA0870"/>
    <w:rsid w:val="00DA1302"/>
    <w:rsid w:val="00DA1970"/>
    <w:rsid w:val="00DA1F4B"/>
    <w:rsid w:val="00DA279B"/>
    <w:rsid w:val="00DA293B"/>
    <w:rsid w:val="00DA30F1"/>
    <w:rsid w:val="00DA3170"/>
    <w:rsid w:val="00DA3296"/>
    <w:rsid w:val="00DA32FA"/>
    <w:rsid w:val="00DA3F12"/>
    <w:rsid w:val="00DA3F33"/>
    <w:rsid w:val="00DA413B"/>
    <w:rsid w:val="00DA43F5"/>
    <w:rsid w:val="00DA495D"/>
    <w:rsid w:val="00DA4A1F"/>
    <w:rsid w:val="00DA4BD5"/>
    <w:rsid w:val="00DA4CF8"/>
    <w:rsid w:val="00DA5602"/>
    <w:rsid w:val="00DA58D9"/>
    <w:rsid w:val="00DA5BF1"/>
    <w:rsid w:val="00DA60ED"/>
    <w:rsid w:val="00DA63AB"/>
    <w:rsid w:val="00DA6450"/>
    <w:rsid w:val="00DA64C3"/>
    <w:rsid w:val="00DA6664"/>
    <w:rsid w:val="00DA674A"/>
    <w:rsid w:val="00DA6C87"/>
    <w:rsid w:val="00DA7DD6"/>
    <w:rsid w:val="00DB08D6"/>
    <w:rsid w:val="00DB08DD"/>
    <w:rsid w:val="00DB0B69"/>
    <w:rsid w:val="00DB0CA8"/>
    <w:rsid w:val="00DB158D"/>
    <w:rsid w:val="00DB17C4"/>
    <w:rsid w:val="00DB17CE"/>
    <w:rsid w:val="00DB1878"/>
    <w:rsid w:val="00DB204F"/>
    <w:rsid w:val="00DB20E9"/>
    <w:rsid w:val="00DB242D"/>
    <w:rsid w:val="00DB2852"/>
    <w:rsid w:val="00DB2C9D"/>
    <w:rsid w:val="00DB2DC2"/>
    <w:rsid w:val="00DB39FF"/>
    <w:rsid w:val="00DB3D71"/>
    <w:rsid w:val="00DB50EA"/>
    <w:rsid w:val="00DB5163"/>
    <w:rsid w:val="00DB567B"/>
    <w:rsid w:val="00DB5749"/>
    <w:rsid w:val="00DB5820"/>
    <w:rsid w:val="00DB6333"/>
    <w:rsid w:val="00DB6494"/>
    <w:rsid w:val="00DB6568"/>
    <w:rsid w:val="00DB6ED3"/>
    <w:rsid w:val="00DB7144"/>
    <w:rsid w:val="00DB7323"/>
    <w:rsid w:val="00DB744A"/>
    <w:rsid w:val="00DB7F38"/>
    <w:rsid w:val="00DC04B5"/>
    <w:rsid w:val="00DC0DB6"/>
    <w:rsid w:val="00DC0EEF"/>
    <w:rsid w:val="00DC1999"/>
    <w:rsid w:val="00DC1F00"/>
    <w:rsid w:val="00DC24E7"/>
    <w:rsid w:val="00DC27FE"/>
    <w:rsid w:val="00DC34B1"/>
    <w:rsid w:val="00DC39E6"/>
    <w:rsid w:val="00DC3A4C"/>
    <w:rsid w:val="00DC45F7"/>
    <w:rsid w:val="00DC4968"/>
    <w:rsid w:val="00DC4DEC"/>
    <w:rsid w:val="00DC5354"/>
    <w:rsid w:val="00DC54A6"/>
    <w:rsid w:val="00DC554F"/>
    <w:rsid w:val="00DC5886"/>
    <w:rsid w:val="00DC5963"/>
    <w:rsid w:val="00DC5E89"/>
    <w:rsid w:val="00DC6AD6"/>
    <w:rsid w:val="00DC7328"/>
    <w:rsid w:val="00DC743B"/>
    <w:rsid w:val="00DD025E"/>
    <w:rsid w:val="00DD09E2"/>
    <w:rsid w:val="00DD0CD2"/>
    <w:rsid w:val="00DD0E40"/>
    <w:rsid w:val="00DD1300"/>
    <w:rsid w:val="00DD14C4"/>
    <w:rsid w:val="00DD1C08"/>
    <w:rsid w:val="00DD1C0C"/>
    <w:rsid w:val="00DD2082"/>
    <w:rsid w:val="00DD22B4"/>
    <w:rsid w:val="00DD281B"/>
    <w:rsid w:val="00DD2CA7"/>
    <w:rsid w:val="00DD2E22"/>
    <w:rsid w:val="00DD3629"/>
    <w:rsid w:val="00DD3A49"/>
    <w:rsid w:val="00DD3C43"/>
    <w:rsid w:val="00DD4041"/>
    <w:rsid w:val="00DD4891"/>
    <w:rsid w:val="00DD4EE0"/>
    <w:rsid w:val="00DD547F"/>
    <w:rsid w:val="00DD5A53"/>
    <w:rsid w:val="00DD5D79"/>
    <w:rsid w:val="00DD5E75"/>
    <w:rsid w:val="00DD5F8D"/>
    <w:rsid w:val="00DD6CB1"/>
    <w:rsid w:val="00DD6E8A"/>
    <w:rsid w:val="00DD6E95"/>
    <w:rsid w:val="00DD70A2"/>
    <w:rsid w:val="00DD70FE"/>
    <w:rsid w:val="00DD76F9"/>
    <w:rsid w:val="00DD79C8"/>
    <w:rsid w:val="00DD79E0"/>
    <w:rsid w:val="00DD79E4"/>
    <w:rsid w:val="00DE024A"/>
    <w:rsid w:val="00DE0436"/>
    <w:rsid w:val="00DE0E06"/>
    <w:rsid w:val="00DE1185"/>
    <w:rsid w:val="00DE131D"/>
    <w:rsid w:val="00DE155D"/>
    <w:rsid w:val="00DE158B"/>
    <w:rsid w:val="00DE1652"/>
    <w:rsid w:val="00DE1B7C"/>
    <w:rsid w:val="00DE1F1D"/>
    <w:rsid w:val="00DE2C16"/>
    <w:rsid w:val="00DE2C93"/>
    <w:rsid w:val="00DE2D0A"/>
    <w:rsid w:val="00DE2FE0"/>
    <w:rsid w:val="00DE3B7C"/>
    <w:rsid w:val="00DE40A9"/>
    <w:rsid w:val="00DE4431"/>
    <w:rsid w:val="00DE5F85"/>
    <w:rsid w:val="00DE67A7"/>
    <w:rsid w:val="00DE68A9"/>
    <w:rsid w:val="00DE6FDA"/>
    <w:rsid w:val="00DE721A"/>
    <w:rsid w:val="00DE746E"/>
    <w:rsid w:val="00DE79AB"/>
    <w:rsid w:val="00DE7C05"/>
    <w:rsid w:val="00DE7D98"/>
    <w:rsid w:val="00DE7F3E"/>
    <w:rsid w:val="00DE7F5D"/>
    <w:rsid w:val="00DE7FA5"/>
    <w:rsid w:val="00DF01C7"/>
    <w:rsid w:val="00DF0377"/>
    <w:rsid w:val="00DF12E9"/>
    <w:rsid w:val="00DF14DE"/>
    <w:rsid w:val="00DF161D"/>
    <w:rsid w:val="00DF17DE"/>
    <w:rsid w:val="00DF2241"/>
    <w:rsid w:val="00DF2283"/>
    <w:rsid w:val="00DF24D5"/>
    <w:rsid w:val="00DF2E0C"/>
    <w:rsid w:val="00DF353B"/>
    <w:rsid w:val="00DF43A1"/>
    <w:rsid w:val="00DF5272"/>
    <w:rsid w:val="00DF6572"/>
    <w:rsid w:val="00DF6D83"/>
    <w:rsid w:val="00DF6F97"/>
    <w:rsid w:val="00DF7084"/>
    <w:rsid w:val="00DF74AF"/>
    <w:rsid w:val="00DF76DC"/>
    <w:rsid w:val="00DF7B18"/>
    <w:rsid w:val="00E0013F"/>
    <w:rsid w:val="00E0024B"/>
    <w:rsid w:val="00E00740"/>
    <w:rsid w:val="00E0088D"/>
    <w:rsid w:val="00E00CD1"/>
    <w:rsid w:val="00E020F5"/>
    <w:rsid w:val="00E02737"/>
    <w:rsid w:val="00E02841"/>
    <w:rsid w:val="00E02F47"/>
    <w:rsid w:val="00E0340C"/>
    <w:rsid w:val="00E04032"/>
    <w:rsid w:val="00E04673"/>
    <w:rsid w:val="00E04873"/>
    <w:rsid w:val="00E04A78"/>
    <w:rsid w:val="00E04BC8"/>
    <w:rsid w:val="00E04CA0"/>
    <w:rsid w:val="00E050D2"/>
    <w:rsid w:val="00E06019"/>
    <w:rsid w:val="00E0648C"/>
    <w:rsid w:val="00E067DF"/>
    <w:rsid w:val="00E06809"/>
    <w:rsid w:val="00E06BE1"/>
    <w:rsid w:val="00E06D2D"/>
    <w:rsid w:val="00E06E42"/>
    <w:rsid w:val="00E071D9"/>
    <w:rsid w:val="00E07320"/>
    <w:rsid w:val="00E07B71"/>
    <w:rsid w:val="00E1088A"/>
    <w:rsid w:val="00E10C10"/>
    <w:rsid w:val="00E10D8D"/>
    <w:rsid w:val="00E10DF9"/>
    <w:rsid w:val="00E11293"/>
    <w:rsid w:val="00E11312"/>
    <w:rsid w:val="00E11440"/>
    <w:rsid w:val="00E11A9F"/>
    <w:rsid w:val="00E12EAF"/>
    <w:rsid w:val="00E12F82"/>
    <w:rsid w:val="00E1313D"/>
    <w:rsid w:val="00E13A43"/>
    <w:rsid w:val="00E13EEF"/>
    <w:rsid w:val="00E14048"/>
    <w:rsid w:val="00E1506A"/>
    <w:rsid w:val="00E15FE4"/>
    <w:rsid w:val="00E163F1"/>
    <w:rsid w:val="00E169BB"/>
    <w:rsid w:val="00E16A4E"/>
    <w:rsid w:val="00E16D62"/>
    <w:rsid w:val="00E1724D"/>
    <w:rsid w:val="00E17C6C"/>
    <w:rsid w:val="00E17D45"/>
    <w:rsid w:val="00E2035C"/>
    <w:rsid w:val="00E20F60"/>
    <w:rsid w:val="00E2113E"/>
    <w:rsid w:val="00E212B8"/>
    <w:rsid w:val="00E21391"/>
    <w:rsid w:val="00E21D0F"/>
    <w:rsid w:val="00E221A8"/>
    <w:rsid w:val="00E22366"/>
    <w:rsid w:val="00E23039"/>
    <w:rsid w:val="00E231F8"/>
    <w:rsid w:val="00E232C7"/>
    <w:rsid w:val="00E2373D"/>
    <w:rsid w:val="00E23794"/>
    <w:rsid w:val="00E23A85"/>
    <w:rsid w:val="00E244A3"/>
    <w:rsid w:val="00E2474F"/>
    <w:rsid w:val="00E2477D"/>
    <w:rsid w:val="00E249B4"/>
    <w:rsid w:val="00E24A1E"/>
    <w:rsid w:val="00E24A6A"/>
    <w:rsid w:val="00E24E57"/>
    <w:rsid w:val="00E25133"/>
    <w:rsid w:val="00E253DA"/>
    <w:rsid w:val="00E25528"/>
    <w:rsid w:val="00E257E7"/>
    <w:rsid w:val="00E25FA7"/>
    <w:rsid w:val="00E260F4"/>
    <w:rsid w:val="00E2625F"/>
    <w:rsid w:val="00E263E5"/>
    <w:rsid w:val="00E2698A"/>
    <w:rsid w:val="00E26D57"/>
    <w:rsid w:val="00E271BF"/>
    <w:rsid w:val="00E2730D"/>
    <w:rsid w:val="00E27973"/>
    <w:rsid w:val="00E27C90"/>
    <w:rsid w:val="00E306B4"/>
    <w:rsid w:val="00E308EB"/>
    <w:rsid w:val="00E30AF7"/>
    <w:rsid w:val="00E30B1F"/>
    <w:rsid w:val="00E30C82"/>
    <w:rsid w:val="00E30E61"/>
    <w:rsid w:val="00E31242"/>
    <w:rsid w:val="00E3159C"/>
    <w:rsid w:val="00E31862"/>
    <w:rsid w:val="00E31D9E"/>
    <w:rsid w:val="00E32247"/>
    <w:rsid w:val="00E322EC"/>
    <w:rsid w:val="00E32767"/>
    <w:rsid w:val="00E328C3"/>
    <w:rsid w:val="00E32C55"/>
    <w:rsid w:val="00E33652"/>
    <w:rsid w:val="00E33862"/>
    <w:rsid w:val="00E34072"/>
    <w:rsid w:val="00E34694"/>
    <w:rsid w:val="00E3479D"/>
    <w:rsid w:val="00E34EA5"/>
    <w:rsid w:val="00E35178"/>
    <w:rsid w:val="00E36AF9"/>
    <w:rsid w:val="00E36D41"/>
    <w:rsid w:val="00E37600"/>
    <w:rsid w:val="00E37AFB"/>
    <w:rsid w:val="00E37ED4"/>
    <w:rsid w:val="00E4018C"/>
    <w:rsid w:val="00E40AC0"/>
    <w:rsid w:val="00E40C56"/>
    <w:rsid w:val="00E40F1B"/>
    <w:rsid w:val="00E413F9"/>
    <w:rsid w:val="00E4196F"/>
    <w:rsid w:val="00E420F6"/>
    <w:rsid w:val="00E42249"/>
    <w:rsid w:val="00E42DE5"/>
    <w:rsid w:val="00E4326B"/>
    <w:rsid w:val="00E43E60"/>
    <w:rsid w:val="00E4403F"/>
    <w:rsid w:val="00E444E3"/>
    <w:rsid w:val="00E45184"/>
    <w:rsid w:val="00E45282"/>
    <w:rsid w:val="00E4537B"/>
    <w:rsid w:val="00E45C5A"/>
    <w:rsid w:val="00E46165"/>
    <w:rsid w:val="00E46330"/>
    <w:rsid w:val="00E464A1"/>
    <w:rsid w:val="00E46947"/>
    <w:rsid w:val="00E46B15"/>
    <w:rsid w:val="00E46D0E"/>
    <w:rsid w:val="00E47803"/>
    <w:rsid w:val="00E47B1C"/>
    <w:rsid w:val="00E47F07"/>
    <w:rsid w:val="00E5024D"/>
    <w:rsid w:val="00E50474"/>
    <w:rsid w:val="00E5050A"/>
    <w:rsid w:val="00E5063D"/>
    <w:rsid w:val="00E506CE"/>
    <w:rsid w:val="00E50915"/>
    <w:rsid w:val="00E5118E"/>
    <w:rsid w:val="00E511AC"/>
    <w:rsid w:val="00E51445"/>
    <w:rsid w:val="00E516DE"/>
    <w:rsid w:val="00E51AE5"/>
    <w:rsid w:val="00E52130"/>
    <w:rsid w:val="00E522C1"/>
    <w:rsid w:val="00E52363"/>
    <w:rsid w:val="00E528ED"/>
    <w:rsid w:val="00E54361"/>
    <w:rsid w:val="00E5493E"/>
    <w:rsid w:val="00E558A0"/>
    <w:rsid w:val="00E55E4F"/>
    <w:rsid w:val="00E5678E"/>
    <w:rsid w:val="00E56E7D"/>
    <w:rsid w:val="00E5706F"/>
    <w:rsid w:val="00E5733C"/>
    <w:rsid w:val="00E573C7"/>
    <w:rsid w:val="00E57405"/>
    <w:rsid w:val="00E57552"/>
    <w:rsid w:val="00E5794F"/>
    <w:rsid w:val="00E579BE"/>
    <w:rsid w:val="00E57C00"/>
    <w:rsid w:val="00E57F71"/>
    <w:rsid w:val="00E60107"/>
    <w:rsid w:val="00E60387"/>
    <w:rsid w:val="00E607C1"/>
    <w:rsid w:val="00E6091A"/>
    <w:rsid w:val="00E60AFE"/>
    <w:rsid w:val="00E60F3F"/>
    <w:rsid w:val="00E625C0"/>
    <w:rsid w:val="00E62855"/>
    <w:rsid w:val="00E62F70"/>
    <w:rsid w:val="00E631CD"/>
    <w:rsid w:val="00E63C45"/>
    <w:rsid w:val="00E63CB8"/>
    <w:rsid w:val="00E64144"/>
    <w:rsid w:val="00E6452B"/>
    <w:rsid w:val="00E64839"/>
    <w:rsid w:val="00E64FB1"/>
    <w:rsid w:val="00E653E5"/>
    <w:rsid w:val="00E65823"/>
    <w:rsid w:val="00E65A4E"/>
    <w:rsid w:val="00E6741D"/>
    <w:rsid w:val="00E67471"/>
    <w:rsid w:val="00E67482"/>
    <w:rsid w:val="00E67EB2"/>
    <w:rsid w:val="00E70608"/>
    <w:rsid w:val="00E7066B"/>
    <w:rsid w:val="00E707D4"/>
    <w:rsid w:val="00E7084F"/>
    <w:rsid w:val="00E70A83"/>
    <w:rsid w:val="00E7117B"/>
    <w:rsid w:val="00E715F7"/>
    <w:rsid w:val="00E715F9"/>
    <w:rsid w:val="00E716BD"/>
    <w:rsid w:val="00E7184B"/>
    <w:rsid w:val="00E71A47"/>
    <w:rsid w:val="00E721AC"/>
    <w:rsid w:val="00E7261A"/>
    <w:rsid w:val="00E730A1"/>
    <w:rsid w:val="00E73373"/>
    <w:rsid w:val="00E735ED"/>
    <w:rsid w:val="00E736DD"/>
    <w:rsid w:val="00E73AB7"/>
    <w:rsid w:val="00E73C98"/>
    <w:rsid w:val="00E73FD5"/>
    <w:rsid w:val="00E74109"/>
    <w:rsid w:val="00E75AB6"/>
    <w:rsid w:val="00E75C26"/>
    <w:rsid w:val="00E75D5D"/>
    <w:rsid w:val="00E764F5"/>
    <w:rsid w:val="00E76966"/>
    <w:rsid w:val="00E76C8B"/>
    <w:rsid w:val="00E77EAA"/>
    <w:rsid w:val="00E77F4D"/>
    <w:rsid w:val="00E806FD"/>
    <w:rsid w:val="00E80AE3"/>
    <w:rsid w:val="00E814D6"/>
    <w:rsid w:val="00E81DD7"/>
    <w:rsid w:val="00E81E04"/>
    <w:rsid w:val="00E82A3B"/>
    <w:rsid w:val="00E83A07"/>
    <w:rsid w:val="00E83C7A"/>
    <w:rsid w:val="00E840DF"/>
    <w:rsid w:val="00E84361"/>
    <w:rsid w:val="00E84593"/>
    <w:rsid w:val="00E84BDB"/>
    <w:rsid w:val="00E85393"/>
    <w:rsid w:val="00E85DDB"/>
    <w:rsid w:val="00E860DF"/>
    <w:rsid w:val="00E86124"/>
    <w:rsid w:val="00E8625F"/>
    <w:rsid w:val="00E867F9"/>
    <w:rsid w:val="00E86AEA"/>
    <w:rsid w:val="00E86D54"/>
    <w:rsid w:val="00E86D5B"/>
    <w:rsid w:val="00E870BC"/>
    <w:rsid w:val="00E87AE9"/>
    <w:rsid w:val="00E87BB5"/>
    <w:rsid w:val="00E90314"/>
    <w:rsid w:val="00E90C10"/>
    <w:rsid w:val="00E90D2C"/>
    <w:rsid w:val="00E913A5"/>
    <w:rsid w:val="00E91706"/>
    <w:rsid w:val="00E918CE"/>
    <w:rsid w:val="00E91C93"/>
    <w:rsid w:val="00E9254D"/>
    <w:rsid w:val="00E92AD3"/>
    <w:rsid w:val="00E92B25"/>
    <w:rsid w:val="00E92DFB"/>
    <w:rsid w:val="00E92E47"/>
    <w:rsid w:val="00E92FEA"/>
    <w:rsid w:val="00E93426"/>
    <w:rsid w:val="00E93B23"/>
    <w:rsid w:val="00E93B2A"/>
    <w:rsid w:val="00E93F1E"/>
    <w:rsid w:val="00E94487"/>
    <w:rsid w:val="00E94643"/>
    <w:rsid w:val="00E94843"/>
    <w:rsid w:val="00E94EBA"/>
    <w:rsid w:val="00E954CC"/>
    <w:rsid w:val="00E95685"/>
    <w:rsid w:val="00E95830"/>
    <w:rsid w:val="00E9586E"/>
    <w:rsid w:val="00E95CAA"/>
    <w:rsid w:val="00E95D64"/>
    <w:rsid w:val="00E96566"/>
    <w:rsid w:val="00E966BD"/>
    <w:rsid w:val="00E96798"/>
    <w:rsid w:val="00E9689D"/>
    <w:rsid w:val="00E96B91"/>
    <w:rsid w:val="00E96EE6"/>
    <w:rsid w:val="00E9732D"/>
    <w:rsid w:val="00E975DB"/>
    <w:rsid w:val="00E97838"/>
    <w:rsid w:val="00E979E4"/>
    <w:rsid w:val="00E97ACD"/>
    <w:rsid w:val="00E97C78"/>
    <w:rsid w:val="00E97DF4"/>
    <w:rsid w:val="00E97F0C"/>
    <w:rsid w:val="00E97FDE"/>
    <w:rsid w:val="00EA00F9"/>
    <w:rsid w:val="00EA099A"/>
    <w:rsid w:val="00EA0B37"/>
    <w:rsid w:val="00EA109A"/>
    <w:rsid w:val="00EA11C0"/>
    <w:rsid w:val="00EA18E3"/>
    <w:rsid w:val="00EA1C2E"/>
    <w:rsid w:val="00EA1DAC"/>
    <w:rsid w:val="00EA216B"/>
    <w:rsid w:val="00EA2571"/>
    <w:rsid w:val="00EA2585"/>
    <w:rsid w:val="00EA2A36"/>
    <w:rsid w:val="00EA3120"/>
    <w:rsid w:val="00EA341E"/>
    <w:rsid w:val="00EA3765"/>
    <w:rsid w:val="00EA382B"/>
    <w:rsid w:val="00EA39A7"/>
    <w:rsid w:val="00EA3AD6"/>
    <w:rsid w:val="00EA3F63"/>
    <w:rsid w:val="00EA46DD"/>
    <w:rsid w:val="00EA4C88"/>
    <w:rsid w:val="00EA4E35"/>
    <w:rsid w:val="00EA509A"/>
    <w:rsid w:val="00EA5778"/>
    <w:rsid w:val="00EA5972"/>
    <w:rsid w:val="00EA64B8"/>
    <w:rsid w:val="00EA6532"/>
    <w:rsid w:val="00EA696B"/>
    <w:rsid w:val="00EA6D42"/>
    <w:rsid w:val="00EA750D"/>
    <w:rsid w:val="00EA7703"/>
    <w:rsid w:val="00EA7DB9"/>
    <w:rsid w:val="00EB0B74"/>
    <w:rsid w:val="00EB0C56"/>
    <w:rsid w:val="00EB0C66"/>
    <w:rsid w:val="00EB13F9"/>
    <w:rsid w:val="00EB1516"/>
    <w:rsid w:val="00EB28EF"/>
    <w:rsid w:val="00EB29A9"/>
    <w:rsid w:val="00EB2BD3"/>
    <w:rsid w:val="00EB2EE1"/>
    <w:rsid w:val="00EB34DE"/>
    <w:rsid w:val="00EB3A8B"/>
    <w:rsid w:val="00EB3C6C"/>
    <w:rsid w:val="00EB45C7"/>
    <w:rsid w:val="00EB4809"/>
    <w:rsid w:val="00EB488E"/>
    <w:rsid w:val="00EB49A0"/>
    <w:rsid w:val="00EB4E0A"/>
    <w:rsid w:val="00EB5080"/>
    <w:rsid w:val="00EB52E3"/>
    <w:rsid w:val="00EB5BB1"/>
    <w:rsid w:val="00EB65BF"/>
    <w:rsid w:val="00EB6BE8"/>
    <w:rsid w:val="00EB6F1F"/>
    <w:rsid w:val="00EB7703"/>
    <w:rsid w:val="00EB7BD8"/>
    <w:rsid w:val="00EB7BE6"/>
    <w:rsid w:val="00EB7C17"/>
    <w:rsid w:val="00EB7CFE"/>
    <w:rsid w:val="00EB7FAB"/>
    <w:rsid w:val="00EC0670"/>
    <w:rsid w:val="00EC11D6"/>
    <w:rsid w:val="00EC125B"/>
    <w:rsid w:val="00EC191F"/>
    <w:rsid w:val="00EC220E"/>
    <w:rsid w:val="00EC2807"/>
    <w:rsid w:val="00EC2CE7"/>
    <w:rsid w:val="00EC2DD6"/>
    <w:rsid w:val="00EC376B"/>
    <w:rsid w:val="00EC43E7"/>
    <w:rsid w:val="00EC4639"/>
    <w:rsid w:val="00EC4797"/>
    <w:rsid w:val="00EC48F4"/>
    <w:rsid w:val="00EC4E41"/>
    <w:rsid w:val="00EC531A"/>
    <w:rsid w:val="00EC5495"/>
    <w:rsid w:val="00EC5546"/>
    <w:rsid w:val="00EC5829"/>
    <w:rsid w:val="00EC582F"/>
    <w:rsid w:val="00EC598C"/>
    <w:rsid w:val="00EC5FF5"/>
    <w:rsid w:val="00EC6C8E"/>
    <w:rsid w:val="00EC6CBF"/>
    <w:rsid w:val="00EC7145"/>
    <w:rsid w:val="00EC7407"/>
    <w:rsid w:val="00EC796F"/>
    <w:rsid w:val="00EC79B8"/>
    <w:rsid w:val="00EC79C4"/>
    <w:rsid w:val="00EC7BEF"/>
    <w:rsid w:val="00EC7DA9"/>
    <w:rsid w:val="00ED0389"/>
    <w:rsid w:val="00ED1652"/>
    <w:rsid w:val="00ED1702"/>
    <w:rsid w:val="00ED173A"/>
    <w:rsid w:val="00ED194A"/>
    <w:rsid w:val="00ED2007"/>
    <w:rsid w:val="00ED2B02"/>
    <w:rsid w:val="00ED3529"/>
    <w:rsid w:val="00ED4D19"/>
    <w:rsid w:val="00ED4D59"/>
    <w:rsid w:val="00ED4D9D"/>
    <w:rsid w:val="00ED52BB"/>
    <w:rsid w:val="00ED5630"/>
    <w:rsid w:val="00ED5D5C"/>
    <w:rsid w:val="00ED5F27"/>
    <w:rsid w:val="00ED64A1"/>
    <w:rsid w:val="00ED6632"/>
    <w:rsid w:val="00ED6661"/>
    <w:rsid w:val="00ED687F"/>
    <w:rsid w:val="00ED68E2"/>
    <w:rsid w:val="00ED73D9"/>
    <w:rsid w:val="00ED74C6"/>
    <w:rsid w:val="00ED77AF"/>
    <w:rsid w:val="00EE0117"/>
    <w:rsid w:val="00EE04DC"/>
    <w:rsid w:val="00EE0BDB"/>
    <w:rsid w:val="00EE0CD0"/>
    <w:rsid w:val="00EE123A"/>
    <w:rsid w:val="00EE1AE6"/>
    <w:rsid w:val="00EE1CAE"/>
    <w:rsid w:val="00EE2197"/>
    <w:rsid w:val="00EE244B"/>
    <w:rsid w:val="00EE24BD"/>
    <w:rsid w:val="00EE2883"/>
    <w:rsid w:val="00EE28C3"/>
    <w:rsid w:val="00EE2944"/>
    <w:rsid w:val="00EE2B57"/>
    <w:rsid w:val="00EE362A"/>
    <w:rsid w:val="00EE3E82"/>
    <w:rsid w:val="00EE41C7"/>
    <w:rsid w:val="00EE42ED"/>
    <w:rsid w:val="00EE468C"/>
    <w:rsid w:val="00EE4889"/>
    <w:rsid w:val="00EE4E70"/>
    <w:rsid w:val="00EE5A34"/>
    <w:rsid w:val="00EE5A6B"/>
    <w:rsid w:val="00EE5BA0"/>
    <w:rsid w:val="00EE5E74"/>
    <w:rsid w:val="00EE62A2"/>
    <w:rsid w:val="00EE6A7D"/>
    <w:rsid w:val="00EE6B71"/>
    <w:rsid w:val="00EE76B5"/>
    <w:rsid w:val="00EE7768"/>
    <w:rsid w:val="00EE7982"/>
    <w:rsid w:val="00EE7B6D"/>
    <w:rsid w:val="00EE7E20"/>
    <w:rsid w:val="00EF02E3"/>
    <w:rsid w:val="00EF05C6"/>
    <w:rsid w:val="00EF0A63"/>
    <w:rsid w:val="00EF0B4A"/>
    <w:rsid w:val="00EF0F7B"/>
    <w:rsid w:val="00EF169C"/>
    <w:rsid w:val="00EF1729"/>
    <w:rsid w:val="00EF20DE"/>
    <w:rsid w:val="00EF2A68"/>
    <w:rsid w:val="00EF2B2C"/>
    <w:rsid w:val="00EF2E41"/>
    <w:rsid w:val="00EF3563"/>
    <w:rsid w:val="00EF3B49"/>
    <w:rsid w:val="00EF3B72"/>
    <w:rsid w:val="00EF45DB"/>
    <w:rsid w:val="00EF47DF"/>
    <w:rsid w:val="00EF4F37"/>
    <w:rsid w:val="00EF5D05"/>
    <w:rsid w:val="00EF5E26"/>
    <w:rsid w:val="00EF61F1"/>
    <w:rsid w:val="00EF6326"/>
    <w:rsid w:val="00EF673A"/>
    <w:rsid w:val="00EF6B44"/>
    <w:rsid w:val="00EF7143"/>
    <w:rsid w:val="00EF793B"/>
    <w:rsid w:val="00EF798B"/>
    <w:rsid w:val="00F006FA"/>
    <w:rsid w:val="00F00B4F"/>
    <w:rsid w:val="00F00C0B"/>
    <w:rsid w:val="00F01071"/>
    <w:rsid w:val="00F0108D"/>
    <w:rsid w:val="00F013DB"/>
    <w:rsid w:val="00F01F5F"/>
    <w:rsid w:val="00F022DC"/>
    <w:rsid w:val="00F02387"/>
    <w:rsid w:val="00F0260A"/>
    <w:rsid w:val="00F02635"/>
    <w:rsid w:val="00F02784"/>
    <w:rsid w:val="00F02B05"/>
    <w:rsid w:val="00F02BD2"/>
    <w:rsid w:val="00F02D56"/>
    <w:rsid w:val="00F02D66"/>
    <w:rsid w:val="00F0304E"/>
    <w:rsid w:val="00F03063"/>
    <w:rsid w:val="00F03316"/>
    <w:rsid w:val="00F03B07"/>
    <w:rsid w:val="00F03F74"/>
    <w:rsid w:val="00F0430A"/>
    <w:rsid w:val="00F045E2"/>
    <w:rsid w:val="00F049DF"/>
    <w:rsid w:val="00F0539A"/>
    <w:rsid w:val="00F05593"/>
    <w:rsid w:val="00F05D08"/>
    <w:rsid w:val="00F06162"/>
    <w:rsid w:val="00F06164"/>
    <w:rsid w:val="00F068F1"/>
    <w:rsid w:val="00F06FE2"/>
    <w:rsid w:val="00F076A3"/>
    <w:rsid w:val="00F07EFC"/>
    <w:rsid w:val="00F10F63"/>
    <w:rsid w:val="00F11D0F"/>
    <w:rsid w:val="00F1205A"/>
    <w:rsid w:val="00F121D4"/>
    <w:rsid w:val="00F125CA"/>
    <w:rsid w:val="00F12685"/>
    <w:rsid w:val="00F12B2D"/>
    <w:rsid w:val="00F12C80"/>
    <w:rsid w:val="00F12D2A"/>
    <w:rsid w:val="00F1300F"/>
    <w:rsid w:val="00F13200"/>
    <w:rsid w:val="00F13B85"/>
    <w:rsid w:val="00F13DAE"/>
    <w:rsid w:val="00F13E8F"/>
    <w:rsid w:val="00F148B4"/>
    <w:rsid w:val="00F14A39"/>
    <w:rsid w:val="00F14C4A"/>
    <w:rsid w:val="00F14CF4"/>
    <w:rsid w:val="00F153E2"/>
    <w:rsid w:val="00F1543E"/>
    <w:rsid w:val="00F15D83"/>
    <w:rsid w:val="00F1626F"/>
    <w:rsid w:val="00F167BC"/>
    <w:rsid w:val="00F16DF0"/>
    <w:rsid w:val="00F1702B"/>
    <w:rsid w:val="00F1757A"/>
    <w:rsid w:val="00F175BA"/>
    <w:rsid w:val="00F17BA5"/>
    <w:rsid w:val="00F20CC9"/>
    <w:rsid w:val="00F20D0F"/>
    <w:rsid w:val="00F2105D"/>
    <w:rsid w:val="00F21BEB"/>
    <w:rsid w:val="00F21CD9"/>
    <w:rsid w:val="00F222CE"/>
    <w:rsid w:val="00F22987"/>
    <w:rsid w:val="00F23E13"/>
    <w:rsid w:val="00F24265"/>
    <w:rsid w:val="00F24288"/>
    <w:rsid w:val="00F24769"/>
    <w:rsid w:val="00F24EB9"/>
    <w:rsid w:val="00F250BC"/>
    <w:rsid w:val="00F254AA"/>
    <w:rsid w:val="00F25948"/>
    <w:rsid w:val="00F25D96"/>
    <w:rsid w:val="00F26092"/>
    <w:rsid w:val="00F26E74"/>
    <w:rsid w:val="00F2701A"/>
    <w:rsid w:val="00F27610"/>
    <w:rsid w:val="00F277FF"/>
    <w:rsid w:val="00F278DA"/>
    <w:rsid w:val="00F27B42"/>
    <w:rsid w:val="00F27C19"/>
    <w:rsid w:val="00F30939"/>
    <w:rsid w:val="00F311DD"/>
    <w:rsid w:val="00F31200"/>
    <w:rsid w:val="00F31348"/>
    <w:rsid w:val="00F320D9"/>
    <w:rsid w:val="00F320DD"/>
    <w:rsid w:val="00F32440"/>
    <w:rsid w:val="00F324D7"/>
    <w:rsid w:val="00F33185"/>
    <w:rsid w:val="00F3335D"/>
    <w:rsid w:val="00F3374C"/>
    <w:rsid w:val="00F33773"/>
    <w:rsid w:val="00F33E3C"/>
    <w:rsid w:val="00F340B6"/>
    <w:rsid w:val="00F342E1"/>
    <w:rsid w:val="00F3472B"/>
    <w:rsid w:val="00F34D8D"/>
    <w:rsid w:val="00F34F8A"/>
    <w:rsid w:val="00F35049"/>
    <w:rsid w:val="00F35220"/>
    <w:rsid w:val="00F35449"/>
    <w:rsid w:val="00F354F9"/>
    <w:rsid w:val="00F35616"/>
    <w:rsid w:val="00F3605D"/>
    <w:rsid w:val="00F36872"/>
    <w:rsid w:val="00F37219"/>
    <w:rsid w:val="00F37430"/>
    <w:rsid w:val="00F37531"/>
    <w:rsid w:val="00F378A9"/>
    <w:rsid w:val="00F37C52"/>
    <w:rsid w:val="00F37D9F"/>
    <w:rsid w:val="00F4002E"/>
    <w:rsid w:val="00F40119"/>
    <w:rsid w:val="00F40457"/>
    <w:rsid w:val="00F4054B"/>
    <w:rsid w:val="00F411B2"/>
    <w:rsid w:val="00F41AAB"/>
    <w:rsid w:val="00F41BD7"/>
    <w:rsid w:val="00F41F4F"/>
    <w:rsid w:val="00F427E2"/>
    <w:rsid w:val="00F430ED"/>
    <w:rsid w:val="00F43116"/>
    <w:rsid w:val="00F4366B"/>
    <w:rsid w:val="00F43808"/>
    <w:rsid w:val="00F43A2A"/>
    <w:rsid w:val="00F44102"/>
    <w:rsid w:val="00F443E6"/>
    <w:rsid w:val="00F4452A"/>
    <w:rsid w:val="00F44842"/>
    <w:rsid w:val="00F449CF"/>
    <w:rsid w:val="00F44DEB"/>
    <w:rsid w:val="00F44F3F"/>
    <w:rsid w:val="00F45275"/>
    <w:rsid w:val="00F4527E"/>
    <w:rsid w:val="00F457AC"/>
    <w:rsid w:val="00F458CC"/>
    <w:rsid w:val="00F45CC9"/>
    <w:rsid w:val="00F46419"/>
    <w:rsid w:val="00F46774"/>
    <w:rsid w:val="00F46C7C"/>
    <w:rsid w:val="00F470F3"/>
    <w:rsid w:val="00F471AC"/>
    <w:rsid w:val="00F479F8"/>
    <w:rsid w:val="00F5003A"/>
    <w:rsid w:val="00F50DF3"/>
    <w:rsid w:val="00F5201F"/>
    <w:rsid w:val="00F52198"/>
    <w:rsid w:val="00F52588"/>
    <w:rsid w:val="00F52933"/>
    <w:rsid w:val="00F5293E"/>
    <w:rsid w:val="00F52A7C"/>
    <w:rsid w:val="00F52EA8"/>
    <w:rsid w:val="00F52FD6"/>
    <w:rsid w:val="00F532E4"/>
    <w:rsid w:val="00F5343E"/>
    <w:rsid w:val="00F53B5A"/>
    <w:rsid w:val="00F53B8B"/>
    <w:rsid w:val="00F546AF"/>
    <w:rsid w:val="00F54BE0"/>
    <w:rsid w:val="00F54CAD"/>
    <w:rsid w:val="00F54EC4"/>
    <w:rsid w:val="00F5554B"/>
    <w:rsid w:val="00F56BB4"/>
    <w:rsid w:val="00F56D51"/>
    <w:rsid w:val="00F57CBC"/>
    <w:rsid w:val="00F60165"/>
    <w:rsid w:val="00F60BAE"/>
    <w:rsid w:val="00F60EE4"/>
    <w:rsid w:val="00F6162A"/>
    <w:rsid w:val="00F61759"/>
    <w:rsid w:val="00F618D4"/>
    <w:rsid w:val="00F61AA3"/>
    <w:rsid w:val="00F61C56"/>
    <w:rsid w:val="00F61FD7"/>
    <w:rsid w:val="00F6276A"/>
    <w:rsid w:val="00F62960"/>
    <w:rsid w:val="00F6299C"/>
    <w:rsid w:val="00F631BE"/>
    <w:rsid w:val="00F63710"/>
    <w:rsid w:val="00F6403C"/>
    <w:rsid w:val="00F64122"/>
    <w:rsid w:val="00F646DF"/>
    <w:rsid w:val="00F646FD"/>
    <w:rsid w:val="00F6485B"/>
    <w:rsid w:val="00F648DD"/>
    <w:rsid w:val="00F64E10"/>
    <w:rsid w:val="00F65EAB"/>
    <w:rsid w:val="00F66645"/>
    <w:rsid w:val="00F66C74"/>
    <w:rsid w:val="00F66D47"/>
    <w:rsid w:val="00F66EAA"/>
    <w:rsid w:val="00F6700B"/>
    <w:rsid w:val="00F670A6"/>
    <w:rsid w:val="00F674F3"/>
    <w:rsid w:val="00F67665"/>
    <w:rsid w:val="00F6789F"/>
    <w:rsid w:val="00F67E5E"/>
    <w:rsid w:val="00F700CA"/>
    <w:rsid w:val="00F7091E"/>
    <w:rsid w:val="00F70ACD"/>
    <w:rsid w:val="00F712B5"/>
    <w:rsid w:val="00F72B52"/>
    <w:rsid w:val="00F731F7"/>
    <w:rsid w:val="00F73652"/>
    <w:rsid w:val="00F73659"/>
    <w:rsid w:val="00F7390E"/>
    <w:rsid w:val="00F73945"/>
    <w:rsid w:val="00F74638"/>
    <w:rsid w:val="00F74BA8"/>
    <w:rsid w:val="00F74C95"/>
    <w:rsid w:val="00F75184"/>
    <w:rsid w:val="00F75705"/>
    <w:rsid w:val="00F7649E"/>
    <w:rsid w:val="00F76A32"/>
    <w:rsid w:val="00F76D24"/>
    <w:rsid w:val="00F7702B"/>
    <w:rsid w:val="00F778FA"/>
    <w:rsid w:val="00F77A9B"/>
    <w:rsid w:val="00F77AD8"/>
    <w:rsid w:val="00F77CEA"/>
    <w:rsid w:val="00F77FFA"/>
    <w:rsid w:val="00F80D0A"/>
    <w:rsid w:val="00F81294"/>
    <w:rsid w:val="00F81374"/>
    <w:rsid w:val="00F81709"/>
    <w:rsid w:val="00F819C2"/>
    <w:rsid w:val="00F81A0B"/>
    <w:rsid w:val="00F82571"/>
    <w:rsid w:val="00F8263B"/>
    <w:rsid w:val="00F83592"/>
    <w:rsid w:val="00F8401F"/>
    <w:rsid w:val="00F849CB"/>
    <w:rsid w:val="00F850EA"/>
    <w:rsid w:val="00F854AB"/>
    <w:rsid w:val="00F8698C"/>
    <w:rsid w:val="00F86A43"/>
    <w:rsid w:val="00F87529"/>
    <w:rsid w:val="00F87B11"/>
    <w:rsid w:val="00F904D7"/>
    <w:rsid w:val="00F905E5"/>
    <w:rsid w:val="00F9079E"/>
    <w:rsid w:val="00F909A9"/>
    <w:rsid w:val="00F90CE7"/>
    <w:rsid w:val="00F90D1D"/>
    <w:rsid w:val="00F90F13"/>
    <w:rsid w:val="00F912F8"/>
    <w:rsid w:val="00F91956"/>
    <w:rsid w:val="00F91B5D"/>
    <w:rsid w:val="00F920C9"/>
    <w:rsid w:val="00F929F0"/>
    <w:rsid w:val="00F92A98"/>
    <w:rsid w:val="00F92B48"/>
    <w:rsid w:val="00F9309B"/>
    <w:rsid w:val="00F93736"/>
    <w:rsid w:val="00F94F54"/>
    <w:rsid w:val="00F94F81"/>
    <w:rsid w:val="00F96064"/>
    <w:rsid w:val="00F961A6"/>
    <w:rsid w:val="00F964CC"/>
    <w:rsid w:val="00F968C1"/>
    <w:rsid w:val="00F9721C"/>
    <w:rsid w:val="00F97538"/>
    <w:rsid w:val="00F9784E"/>
    <w:rsid w:val="00F97CC2"/>
    <w:rsid w:val="00F97CC9"/>
    <w:rsid w:val="00FA0141"/>
    <w:rsid w:val="00FA032F"/>
    <w:rsid w:val="00FA1167"/>
    <w:rsid w:val="00FA1262"/>
    <w:rsid w:val="00FA1E6C"/>
    <w:rsid w:val="00FA2273"/>
    <w:rsid w:val="00FA2339"/>
    <w:rsid w:val="00FA27CB"/>
    <w:rsid w:val="00FA2821"/>
    <w:rsid w:val="00FA34F6"/>
    <w:rsid w:val="00FA367B"/>
    <w:rsid w:val="00FA373F"/>
    <w:rsid w:val="00FA396A"/>
    <w:rsid w:val="00FA3B86"/>
    <w:rsid w:val="00FA3D09"/>
    <w:rsid w:val="00FA3D3B"/>
    <w:rsid w:val="00FA3DF3"/>
    <w:rsid w:val="00FA40FA"/>
    <w:rsid w:val="00FA4515"/>
    <w:rsid w:val="00FA4E75"/>
    <w:rsid w:val="00FA5075"/>
    <w:rsid w:val="00FA5334"/>
    <w:rsid w:val="00FA550A"/>
    <w:rsid w:val="00FA55A0"/>
    <w:rsid w:val="00FA5EE3"/>
    <w:rsid w:val="00FA67A3"/>
    <w:rsid w:val="00FA6B41"/>
    <w:rsid w:val="00FA6D48"/>
    <w:rsid w:val="00FA7C13"/>
    <w:rsid w:val="00FA7D3A"/>
    <w:rsid w:val="00FB0489"/>
    <w:rsid w:val="00FB078D"/>
    <w:rsid w:val="00FB0D1C"/>
    <w:rsid w:val="00FB0FC4"/>
    <w:rsid w:val="00FB13CC"/>
    <w:rsid w:val="00FB1620"/>
    <w:rsid w:val="00FB1AB2"/>
    <w:rsid w:val="00FB1FC9"/>
    <w:rsid w:val="00FB22AE"/>
    <w:rsid w:val="00FB2C19"/>
    <w:rsid w:val="00FB301C"/>
    <w:rsid w:val="00FB33C5"/>
    <w:rsid w:val="00FB39B2"/>
    <w:rsid w:val="00FB3E86"/>
    <w:rsid w:val="00FB4843"/>
    <w:rsid w:val="00FB4C60"/>
    <w:rsid w:val="00FB4C7D"/>
    <w:rsid w:val="00FB5028"/>
    <w:rsid w:val="00FB53D7"/>
    <w:rsid w:val="00FB619E"/>
    <w:rsid w:val="00FB6285"/>
    <w:rsid w:val="00FB66E8"/>
    <w:rsid w:val="00FB6A67"/>
    <w:rsid w:val="00FB6D24"/>
    <w:rsid w:val="00FB6ED9"/>
    <w:rsid w:val="00FB750C"/>
    <w:rsid w:val="00FB756D"/>
    <w:rsid w:val="00FB77A9"/>
    <w:rsid w:val="00FB7837"/>
    <w:rsid w:val="00FB7908"/>
    <w:rsid w:val="00FC00E6"/>
    <w:rsid w:val="00FC0657"/>
    <w:rsid w:val="00FC0BA8"/>
    <w:rsid w:val="00FC0DFA"/>
    <w:rsid w:val="00FC0EEB"/>
    <w:rsid w:val="00FC15E9"/>
    <w:rsid w:val="00FC2871"/>
    <w:rsid w:val="00FC32DE"/>
    <w:rsid w:val="00FC3465"/>
    <w:rsid w:val="00FC3CC4"/>
    <w:rsid w:val="00FC417A"/>
    <w:rsid w:val="00FC443E"/>
    <w:rsid w:val="00FC4A4B"/>
    <w:rsid w:val="00FC4AEC"/>
    <w:rsid w:val="00FC4CBD"/>
    <w:rsid w:val="00FC51D2"/>
    <w:rsid w:val="00FC537F"/>
    <w:rsid w:val="00FC5507"/>
    <w:rsid w:val="00FC5FCF"/>
    <w:rsid w:val="00FC6156"/>
    <w:rsid w:val="00FC65A7"/>
    <w:rsid w:val="00FC6E70"/>
    <w:rsid w:val="00FC74F7"/>
    <w:rsid w:val="00FC7953"/>
    <w:rsid w:val="00FD0347"/>
    <w:rsid w:val="00FD05E8"/>
    <w:rsid w:val="00FD0991"/>
    <w:rsid w:val="00FD0C0A"/>
    <w:rsid w:val="00FD0DD0"/>
    <w:rsid w:val="00FD0E93"/>
    <w:rsid w:val="00FD1265"/>
    <w:rsid w:val="00FD17D6"/>
    <w:rsid w:val="00FD1D66"/>
    <w:rsid w:val="00FD2C02"/>
    <w:rsid w:val="00FD2F00"/>
    <w:rsid w:val="00FD3055"/>
    <w:rsid w:val="00FD3590"/>
    <w:rsid w:val="00FD37E7"/>
    <w:rsid w:val="00FD380B"/>
    <w:rsid w:val="00FD3D75"/>
    <w:rsid w:val="00FD3E8C"/>
    <w:rsid w:val="00FD3FCF"/>
    <w:rsid w:val="00FD4AFC"/>
    <w:rsid w:val="00FD4C2E"/>
    <w:rsid w:val="00FD4C8F"/>
    <w:rsid w:val="00FD4FA1"/>
    <w:rsid w:val="00FD5021"/>
    <w:rsid w:val="00FD5379"/>
    <w:rsid w:val="00FD53B1"/>
    <w:rsid w:val="00FD6277"/>
    <w:rsid w:val="00FD6542"/>
    <w:rsid w:val="00FD6CD4"/>
    <w:rsid w:val="00FD7BF4"/>
    <w:rsid w:val="00FE032D"/>
    <w:rsid w:val="00FE04BF"/>
    <w:rsid w:val="00FE0C80"/>
    <w:rsid w:val="00FE0F70"/>
    <w:rsid w:val="00FE1063"/>
    <w:rsid w:val="00FE10EA"/>
    <w:rsid w:val="00FE27AB"/>
    <w:rsid w:val="00FE2B4F"/>
    <w:rsid w:val="00FE3510"/>
    <w:rsid w:val="00FE44B8"/>
    <w:rsid w:val="00FE44F8"/>
    <w:rsid w:val="00FE484B"/>
    <w:rsid w:val="00FE4B53"/>
    <w:rsid w:val="00FE52B3"/>
    <w:rsid w:val="00FE5D08"/>
    <w:rsid w:val="00FE65D8"/>
    <w:rsid w:val="00FE69B3"/>
    <w:rsid w:val="00FE6E8C"/>
    <w:rsid w:val="00FE6EB8"/>
    <w:rsid w:val="00FF0344"/>
    <w:rsid w:val="00FF065A"/>
    <w:rsid w:val="00FF07DD"/>
    <w:rsid w:val="00FF07FF"/>
    <w:rsid w:val="00FF09DA"/>
    <w:rsid w:val="00FF1134"/>
    <w:rsid w:val="00FF12D3"/>
    <w:rsid w:val="00FF1324"/>
    <w:rsid w:val="00FF18BC"/>
    <w:rsid w:val="00FF1A4E"/>
    <w:rsid w:val="00FF1CD5"/>
    <w:rsid w:val="00FF23BE"/>
    <w:rsid w:val="00FF27C8"/>
    <w:rsid w:val="00FF27E7"/>
    <w:rsid w:val="00FF27EB"/>
    <w:rsid w:val="00FF2A11"/>
    <w:rsid w:val="00FF2B13"/>
    <w:rsid w:val="00FF3DF5"/>
    <w:rsid w:val="00FF3E5B"/>
    <w:rsid w:val="00FF46C9"/>
    <w:rsid w:val="00FF47E0"/>
    <w:rsid w:val="00FF4B66"/>
    <w:rsid w:val="00FF6115"/>
    <w:rsid w:val="00FF61D0"/>
    <w:rsid w:val="00FF6D37"/>
    <w:rsid w:val="00FF7638"/>
    <w:rsid w:val="00FF788B"/>
    <w:rsid w:val="00FF7B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012E1"/>
  <w15:docId w15:val="{DEF87C04-B898-43F2-8F35-597A3650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1623"/>
    <w:rPr>
      <w:sz w:val="24"/>
      <w:szCs w:val="24"/>
    </w:rPr>
  </w:style>
  <w:style w:type="paragraph" w:styleId="Cmsor1">
    <w:name w:val="heading 1"/>
    <w:basedOn w:val="Norml"/>
    <w:next w:val="Norml"/>
    <w:link w:val="Cmsor1Char"/>
    <w:uiPriority w:val="99"/>
    <w:qFormat/>
    <w:rsid w:val="00C44C4B"/>
    <w:pPr>
      <w:keepNext/>
      <w:tabs>
        <w:tab w:val="num" w:pos="999"/>
      </w:tabs>
      <w:ind w:left="999" w:hanging="432"/>
      <w:jc w:val="center"/>
      <w:outlineLvl w:val="0"/>
    </w:pPr>
  </w:style>
  <w:style w:type="paragraph" w:styleId="Cmsor2">
    <w:name w:val="heading 2"/>
    <w:basedOn w:val="Norml"/>
    <w:next w:val="Lista3"/>
    <w:link w:val="Cmsor2Char"/>
    <w:autoRedefine/>
    <w:uiPriority w:val="99"/>
    <w:qFormat/>
    <w:rsid w:val="001E0F17"/>
    <w:pPr>
      <w:keepLines/>
      <w:tabs>
        <w:tab w:val="left" w:pos="500"/>
      </w:tabs>
      <w:spacing w:before="360"/>
      <w:ind w:left="360"/>
      <w:jc w:val="both"/>
      <w:outlineLvl w:val="1"/>
    </w:pPr>
    <w:rPr>
      <w:rFonts w:asciiTheme="minorHAnsi" w:hAnsiTheme="minorHAnsi" w:cstheme="minorHAnsi"/>
      <w:b/>
      <w:u w:val="single"/>
    </w:rPr>
  </w:style>
  <w:style w:type="paragraph" w:styleId="Cmsor3">
    <w:name w:val="heading 3"/>
    <w:basedOn w:val="Norml"/>
    <w:next w:val="Lista3"/>
    <w:link w:val="Cmsor3Char"/>
    <w:uiPriority w:val="99"/>
    <w:qFormat/>
    <w:rsid w:val="008E64B3"/>
    <w:pPr>
      <w:keepNext/>
      <w:tabs>
        <w:tab w:val="num" w:pos="2007"/>
      </w:tabs>
      <w:ind w:left="2007" w:hanging="720"/>
      <w:outlineLvl w:val="2"/>
    </w:pPr>
    <w:rPr>
      <w:b/>
      <w:bCs/>
      <w:szCs w:val="26"/>
    </w:rPr>
  </w:style>
  <w:style w:type="paragraph" w:styleId="Cmsor4">
    <w:name w:val="heading 4"/>
    <w:basedOn w:val="Norml"/>
    <w:next w:val="Norml"/>
    <w:link w:val="Cmsor4Char"/>
    <w:uiPriority w:val="99"/>
    <w:qFormat/>
    <w:rsid w:val="00C44C4B"/>
    <w:pPr>
      <w:keepNext/>
      <w:tabs>
        <w:tab w:val="num" w:pos="1431"/>
      </w:tabs>
      <w:spacing w:before="240" w:after="60"/>
      <w:ind w:left="1431" w:hanging="864"/>
      <w:outlineLvl w:val="3"/>
    </w:pPr>
    <w:rPr>
      <w:b/>
      <w:bCs/>
      <w:sz w:val="28"/>
      <w:szCs w:val="28"/>
    </w:rPr>
  </w:style>
  <w:style w:type="paragraph" w:styleId="Cmsor5">
    <w:name w:val="heading 5"/>
    <w:basedOn w:val="Norml"/>
    <w:next w:val="Norml"/>
    <w:link w:val="Cmsor5Char"/>
    <w:uiPriority w:val="99"/>
    <w:qFormat/>
    <w:rsid w:val="00974064"/>
    <w:pPr>
      <w:tabs>
        <w:tab w:val="num" w:pos="1575"/>
      </w:tabs>
      <w:spacing w:before="240" w:after="60"/>
      <w:ind w:left="1575" w:hanging="1008"/>
      <w:outlineLvl w:val="4"/>
    </w:pPr>
    <w:rPr>
      <w:rFonts w:ascii="Calibri" w:hAnsi="Calibri"/>
      <w:b/>
      <w:bCs/>
      <w:i/>
      <w:iCs/>
      <w:sz w:val="26"/>
      <w:szCs w:val="26"/>
    </w:rPr>
  </w:style>
  <w:style w:type="paragraph" w:styleId="Cmsor6">
    <w:name w:val="heading 6"/>
    <w:basedOn w:val="Norml"/>
    <w:next w:val="Norml"/>
    <w:link w:val="Cmsor6Char"/>
    <w:uiPriority w:val="99"/>
    <w:qFormat/>
    <w:rsid w:val="00974064"/>
    <w:pPr>
      <w:tabs>
        <w:tab w:val="num" w:pos="1719"/>
      </w:tabs>
      <w:spacing w:before="240" w:after="60"/>
      <w:ind w:left="1719" w:hanging="1152"/>
      <w:outlineLvl w:val="5"/>
    </w:pPr>
    <w:rPr>
      <w:rFonts w:ascii="Calibri" w:hAnsi="Calibri"/>
      <w:b/>
      <w:bCs/>
      <w:sz w:val="20"/>
      <w:szCs w:val="20"/>
    </w:rPr>
  </w:style>
  <w:style w:type="paragraph" w:styleId="Cmsor7">
    <w:name w:val="heading 7"/>
    <w:basedOn w:val="Norml"/>
    <w:next w:val="Norml"/>
    <w:link w:val="Cmsor7Char"/>
    <w:uiPriority w:val="99"/>
    <w:qFormat/>
    <w:rsid w:val="00974064"/>
    <w:pPr>
      <w:tabs>
        <w:tab w:val="num" w:pos="1863"/>
      </w:tabs>
      <w:spacing w:before="240" w:after="60"/>
      <w:ind w:left="1863" w:hanging="1296"/>
      <w:outlineLvl w:val="6"/>
    </w:pPr>
    <w:rPr>
      <w:rFonts w:ascii="Calibri" w:hAnsi="Calibri"/>
    </w:rPr>
  </w:style>
  <w:style w:type="paragraph" w:styleId="Cmsor8">
    <w:name w:val="heading 8"/>
    <w:basedOn w:val="Norml"/>
    <w:next w:val="Norml"/>
    <w:link w:val="Cmsor8Char"/>
    <w:uiPriority w:val="99"/>
    <w:qFormat/>
    <w:rsid w:val="00974064"/>
    <w:pPr>
      <w:tabs>
        <w:tab w:val="num" w:pos="2007"/>
      </w:tabs>
      <w:spacing w:before="240" w:after="60"/>
      <w:ind w:left="2007" w:hanging="1440"/>
      <w:outlineLvl w:val="7"/>
    </w:pPr>
    <w:rPr>
      <w:rFonts w:ascii="Calibri" w:hAnsi="Calibri"/>
      <w:i/>
      <w:iCs/>
    </w:rPr>
  </w:style>
  <w:style w:type="paragraph" w:styleId="Cmsor9">
    <w:name w:val="heading 9"/>
    <w:basedOn w:val="Norml"/>
    <w:next w:val="Norml"/>
    <w:link w:val="Cmsor9Char"/>
    <w:uiPriority w:val="99"/>
    <w:qFormat/>
    <w:rsid w:val="00974064"/>
    <w:pPr>
      <w:tabs>
        <w:tab w:val="num" w:pos="2151"/>
      </w:tabs>
      <w:spacing w:before="240" w:after="60"/>
      <w:ind w:left="2151" w:hanging="1584"/>
      <w:outlineLvl w:val="8"/>
    </w:pPr>
    <w:rPr>
      <w:rFonts w:ascii="Cambria" w:hAnsi="Cambria"/>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C44C4B"/>
    <w:rPr>
      <w:rFonts w:cs="Times New Roman"/>
      <w:sz w:val="24"/>
    </w:rPr>
  </w:style>
  <w:style w:type="character" w:customStyle="1" w:styleId="Cmsor2Char">
    <w:name w:val="Címsor 2 Char"/>
    <w:link w:val="Cmsor2"/>
    <w:uiPriority w:val="99"/>
    <w:locked/>
    <w:rsid w:val="001E0F17"/>
    <w:rPr>
      <w:rFonts w:asciiTheme="minorHAnsi" w:hAnsiTheme="minorHAnsi" w:cstheme="minorHAnsi"/>
      <w:b/>
      <w:sz w:val="24"/>
      <w:szCs w:val="24"/>
      <w:u w:val="single"/>
    </w:rPr>
  </w:style>
  <w:style w:type="character" w:customStyle="1" w:styleId="Cmsor3Char">
    <w:name w:val="Címsor 3 Char"/>
    <w:link w:val="Cmsor3"/>
    <w:uiPriority w:val="99"/>
    <w:locked/>
    <w:rsid w:val="008E64B3"/>
    <w:rPr>
      <w:rFonts w:cs="Times New Roman"/>
      <w:b/>
      <w:sz w:val="26"/>
    </w:rPr>
  </w:style>
  <w:style w:type="character" w:customStyle="1" w:styleId="Cmsor4Char">
    <w:name w:val="Címsor 4 Char"/>
    <w:link w:val="Cmsor4"/>
    <w:uiPriority w:val="99"/>
    <w:locked/>
    <w:rsid w:val="00C44C4B"/>
    <w:rPr>
      <w:rFonts w:cs="Times New Roman"/>
      <w:b/>
      <w:sz w:val="28"/>
    </w:rPr>
  </w:style>
  <w:style w:type="character" w:customStyle="1" w:styleId="Cmsor5Char">
    <w:name w:val="Címsor 5 Char"/>
    <w:link w:val="Cmsor5"/>
    <w:uiPriority w:val="99"/>
    <w:locked/>
    <w:rsid w:val="00974064"/>
    <w:rPr>
      <w:rFonts w:ascii="Calibri" w:hAnsi="Calibri" w:cs="Times New Roman"/>
      <w:b/>
      <w:i/>
      <w:sz w:val="26"/>
    </w:rPr>
  </w:style>
  <w:style w:type="character" w:customStyle="1" w:styleId="Cmsor6Char">
    <w:name w:val="Címsor 6 Char"/>
    <w:link w:val="Cmsor6"/>
    <w:uiPriority w:val="99"/>
    <w:locked/>
    <w:rsid w:val="00974064"/>
    <w:rPr>
      <w:rFonts w:ascii="Calibri" w:hAnsi="Calibri" w:cs="Times New Roman"/>
      <w:b/>
    </w:rPr>
  </w:style>
  <w:style w:type="character" w:customStyle="1" w:styleId="Cmsor7Char">
    <w:name w:val="Címsor 7 Char"/>
    <w:link w:val="Cmsor7"/>
    <w:uiPriority w:val="99"/>
    <w:locked/>
    <w:rsid w:val="00974064"/>
    <w:rPr>
      <w:rFonts w:ascii="Calibri" w:hAnsi="Calibri" w:cs="Times New Roman"/>
      <w:sz w:val="24"/>
    </w:rPr>
  </w:style>
  <w:style w:type="character" w:customStyle="1" w:styleId="Cmsor8Char">
    <w:name w:val="Címsor 8 Char"/>
    <w:link w:val="Cmsor8"/>
    <w:uiPriority w:val="99"/>
    <w:locked/>
    <w:rsid w:val="00974064"/>
    <w:rPr>
      <w:rFonts w:ascii="Calibri" w:hAnsi="Calibri" w:cs="Times New Roman"/>
      <w:i/>
      <w:sz w:val="24"/>
    </w:rPr>
  </w:style>
  <w:style w:type="character" w:customStyle="1" w:styleId="Cmsor9Char">
    <w:name w:val="Címsor 9 Char"/>
    <w:link w:val="Cmsor9"/>
    <w:uiPriority w:val="99"/>
    <w:locked/>
    <w:rsid w:val="00974064"/>
    <w:rPr>
      <w:rFonts w:ascii="Cambria" w:hAnsi="Cambria" w:cs="Times New Roman"/>
    </w:rPr>
  </w:style>
  <w:style w:type="paragraph" w:styleId="Lista3">
    <w:name w:val="List 3"/>
    <w:basedOn w:val="Norml"/>
    <w:rsid w:val="00C44C4B"/>
    <w:pPr>
      <w:ind w:left="849" w:hanging="283"/>
      <w:contextualSpacing/>
    </w:pPr>
  </w:style>
  <w:style w:type="paragraph" w:styleId="TJ1">
    <w:name w:val="toc 1"/>
    <w:basedOn w:val="Norml"/>
    <w:next w:val="Norml"/>
    <w:autoRedefine/>
    <w:uiPriority w:val="39"/>
    <w:rsid w:val="00B24AFB"/>
    <w:pPr>
      <w:tabs>
        <w:tab w:val="left" w:pos="660"/>
        <w:tab w:val="right" w:leader="dot" w:pos="9060"/>
      </w:tabs>
      <w:spacing w:before="120" w:after="120"/>
    </w:pPr>
    <w:rPr>
      <w:rFonts w:asciiTheme="minorHAnsi" w:hAnsiTheme="minorHAnsi" w:cstheme="minorHAnsi"/>
      <w:b/>
      <w:bCs/>
      <w:noProof/>
    </w:rPr>
  </w:style>
  <w:style w:type="paragraph" w:styleId="TJ2">
    <w:name w:val="toc 2"/>
    <w:basedOn w:val="Norml"/>
    <w:next w:val="Norml"/>
    <w:autoRedefine/>
    <w:uiPriority w:val="39"/>
    <w:rsid w:val="0039433F"/>
    <w:pPr>
      <w:tabs>
        <w:tab w:val="left" w:pos="709"/>
        <w:tab w:val="right" w:leader="dot" w:pos="9060"/>
      </w:tabs>
    </w:pPr>
    <w:rPr>
      <w:bCs/>
      <w:szCs w:val="20"/>
    </w:rPr>
  </w:style>
  <w:style w:type="paragraph" w:styleId="Buborkszveg">
    <w:name w:val="Balloon Text"/>
    <w:basedOn w:val="Norml"/>
    <w:link w:val="BuborkszvegChar"/>
    <w:uiPriority w:val="99"/>
    <w:rsid w:val="00C44C4B"/>
    <w:rPr>
      <w:rFonts w:ascii="Tahoma" w:hAnsi="Tahoma"/>
      <w:sz w:val="16"/>
      <w:szCs w:val="20"/>
    </w:rPr>
  </w:style>
  <w:style w:type="character" w:customStyle="1" w:styleId="BuborkszvegChar">
    <w:name w:val="Buborékszöveg Char"/>
    <w:link w:val="Buborkszveg"/>
    <w:uiPriority w:val="99"/>
    <w:locked/>
    <w:rsid w:val="00C44C4B"/>
    <w:rPr>
      <w:rFonts w:ascii="Tahoma" w:hAnsi="Tahoma" w:cs="Times New Roman"/>
      <w:sz w:val="16"/>
      <w:lang w:val="hu-HU" w:eastAsia="hu-HU"/>
    </w:rPr>
  </w:style>
  <w:style w:type="character" w:customStyle="1" w:styleId="Stlus45ptKiskapitlis">
    <w:name w:val="Stílus 45 pt Kiskapitális"/>
    <w:uiPriority w:val="99"/>
    <w:rsid w:val="00C44C4B"/>
    <w:rPr>
      <w:smallCaps/>
      <w:spacing w:val="14"/>
      <w:sz w:val="90"/>
    </w:rPr>
  </w:style>
  <w:style w:type="character" w:customStyle="1" w:styleId="Stlus60ptKiskapitlis">
    <w:name w:val="Stílus 60 pt Kiskapitális"/>
    <w:uiPriority w:val="99"/>
    <w:rsid w:val="00C44C4B"/>
    <w:rPr>
      <w:smallCaps/>
      <w:spacing w:val="14"/>
      <w:sz w:val="120"/>
    </w:rPr>
  </w:style>
  <w:style w:type="paragraph" w:customStyle="1" w:styleId="Stlus1">
    <w:name w:val="Stílus1"/>
    <w:basedOn w:val="lfej"/>
    <w:uiPriority w:val="99"/>
    <w:rsid w:val="00C44C4B"/>
    <w:pPr>
      <w:tabs>
        <w:tab w:val="left" w:pos="1701"/>
      </w:tabs>
      <w:ind w:left="1701" w:hanging="1881"/>
      <w:jc w:val="center"/>
    </w:pPr>
    <w:rPr>
      <w:b/>
    </w:rPr>
  </w:style>
  <w:style w:type="paragraph" w:styleId="lfej">
    <w:name w:val="header"/>
    <w:basedOn w:val="Norml"/>
    <w:link w:val="lfejChar"/>
    <w:uiPriority w:val="99"/>
    <w:rsid w:val="00C44C4B"/>
    <w:pPr>
      <w:tabs>
        <w:tab w:val="center" w:pos="4536"/>
        <w:tab w:val="right" w:pos="9072"/>
      </w:tabs>
    </w:pPr>
    <w:rPr>
      <w:szCs w:val="20"/>
    </w:rPr>
  </w:style>
  <w:style w:type="character" w:customStyle="1" w:styleId="HeaderChar">
    <w:name w:val="Header Char"/>
    <w:uiPriority w:val="99"/>
    <w:locked/>
    <w:rsid w:val="00A8104C"/>
    <w:rPr>
      <w:rFonts w:cs="Times New Roman"/>
      <w:sz w:val="24"/>
      <w:lang w:val="hu-HU" w:eastAsia="hu-HU"/>
    </w:rPr>
  </w:style>
  <w:style w:type="character" w:customStyle="1" w:styleId="lfejChar">
    <w:name w:val="Élőfej Char"/>
    <w:link w:val="lfej"/>
    <w:uiPriority w:val="99"/>
    <w:locked/>
    <w:rsid w:val="00C44C4B"/>
    <w:rPr>
      <w:sz w:val="24"/>
      <w:lang w:val="hu-HU" w:eastAsia="hu-HU"/>
    </w:rPr>
  </w:style>
  <w:style w:type="paragraph" w:customStyle="1" w:styleId="Stlus7">
    <w:name w:val="Stílus7"/>
    <w:basedOn w:val="Norml"/>
    <w:autoRedefine/>
    <w:uiPriority w:val="99"/>
    <w:rsid w:val="00C44C4B"/>
    <w:pPr>
      <w:tabs>
        <w:tab w:val="left" w:pos="2700"/>
      </w:tabs>
      <w:spacing w:after="240"/>
      <w:ind w:left="2268" w:hanging="2268"/>
    </w:pPr>
    <w:rPr>
      <w:b/>
      <w:i/>
    </w:rPr>
  </w:style>
  <w:style w:type="paragraph" w:customStyle="1" w:styleId="Stlus8">
    <w:name w:val="Stílus8"/>
    <w:basedOn w:val="Norml"/>
    <w:autoRedefine/>
    <w:uiPriority w:val="99"/>
    <w:rsid w:val="00C44C4B"/>
    <w:pPr>
      <w:tabs>
        <w:tab w:val="left" w:pos="2700"/>
      </w:tabs>
      <w:spacing w:after="240"/>
      <w:ind w:left="2268" w:hanging="2268"/>
    </w:pPr>
  </w:style>
  <w:style w:type="paragraph" w:customStyle="1" w:styleId="Stlus9">
    <w:name w:val="Stílus9"/>
    <w:basedOn w:val="Norml"/>
    <w:autoRedefine/>
    <w:uiPriority w:val="99"/>
    <w:rsid w:val="00C44C4B"/>
    <w:pPr>
      <w:tabs>
        <w:tab w:val="left" w:pos="2700"/>
      </w:tabs>
      <w:spacing w:after="240"/>
      <w:ind w:left="2268" w:hanging="2268"/>
    </w:pPr>
    <w:rPr>
      <w:b/>
      <w:i/>
    </w:rPr>
  </w:style>
  <w:style w:type="paragraph" w:customStyle="1" w:styleId="Stlus10">
    <w:name w:val="Stílus10"/>
    <w:basedOn w:val="Norml"/>
    <w:autoRedefine/>
    <w:uiPriority w:val="99"/>
    <w:rsid w:val="00C44C4B"/>
    <w:pPr>
      <w:tabs>
        <w:tab w:val="left" w:pos="2700"/>
      </w:tabs>
      <w:spacing w:after="240"/>
      <w:ind w:left="2268" w:hanging="2268"/>
    </w:pPr>
  </w:style>
  <w:style w:type="paragraph" w:customStyle="1" w:styleId="Stlus11">
    <w:name w:val="Stílus11"/>
    <w:basedOn w:val="Norml"/>
    <w:autoRedefine/>
    <w:uiPriority w:val="99"/>
    <w:rsid w:val="00C44C4B"/>
    <w:pPr>
      <w:tabs>
        <w:tab w:val="left" w:pos="2340"/>
      </w:tabs>
      <w:spacing w:after="240"/>
      <w:ind w:left="1620" w:hanging="1620"/>
    </w:pPr>
    <w:rPr>
      <w:b/>
      <w:i/>
    </w:rPr>
  </w:style>
  <w:style w:type="paragraph" w:customStyle="1" w:styleId="Stlus12">
    <w:name w:val="Stílus12"/>
    <w:basedOn w:val="Norml"/>
    <w:autoRedefine/>
    <w:uiPriority w:val="99"/>
    <w:rsid w:val="00C44C4B"/>
    <w:pPr>
      <w:tabs>
        <w:tab w:val="left" w:pos="2268"/>
        <w:tab w:val="left" w:pos="2700"/>
        <w:tab w:val="left" w:pos="5760"/>
      </w:tabs>
      <w:ind w:left="1620" w:hanging="1620"/>
    </w:pPr>
    <w:rPr>
      <w:b/>
      <w:i/>
    </w:rPr>
  </w:style>
  <w:style w:type="paragraph" w:customStyle="1" w:styleId="Stlus13">
    <w:name w:val="Stílus13"/>
    <w:basedOn w:val="Norml"/>
    <w:autoRedefine/>
    <w:uiPriority w:val="99"/>
    <w:rsid w:val="00C44C4B"/>
    <w:pPr>
      <w:tabs>
        <w:tab w:val="left" w:pos="2268"/>
        <w:tab w:val="left" w:pos="2700"/>
        <w:tab w:val="left" w:pos="5760"/>
      </w:tabs>
      <w:spacing w:after="120"/>
      <w:ind w:left="1622" w:hanging="1622"/>
    </w:pPr>
    <w:rPr>
      <w:b/>
      <w:i/>
    </w:rPr>
  </w:style>
  <w:style w:type="paragraph" w:customStyle="1" w:styleId="Stlus14">
    <w:name w:val="Stílus14"/>
    <w:basedOn w:val="Norml"/>
    <w:autoRedefine/>
    <w:uiPriority w:val="99"/>
    <w:rsid w:val="00C44C4B"/>
    <w:pPr>
      <w:tabs>
        <w:tab w:val="left" w:pos="2268"/>
        <w:tab w:val="left" w:pos="2700"/>
        <w:tab w:val="left" w:pos="5760"/>
      </w:tabs>
      <w:spacing w:after="240"/>
      <w:ind w:left="1620" w:hanging="1620"/>
    </w:pPr>
  </w:style>
  <w:style w:type="paragraph" w:customStyle="1" w:styleId="Char">
    <w:name w:val="Char"/>
    <w:basedOn w:val="Norml"/>
    <w:uiPriority w:val="99"/>
    <w:rsid w:val="00C44C4B"/>
    <w:pPr>
      <w:spacing w:after="160" w:line="240" w:lineRule="exact"/>
    </w:pPr>
    <w:rPr>
      <w:rFonts w:ascii="Verdana" w:hAnsi="Verdana"/>
      <w:lang w:val="en-US" w:eastAsia="en-US"/>
    </w:rPr>
  </w:style>
  <w:style w:type="character" w:customStyle="1" w:styleId="FontStyle43">
    <w:name w:val="Font Style43"/>
    <w:uiPriority w:val="99"/>
    <w:rsid w:val="00C44C4B"/>
    <w:rPr>
      <w:rFonts w:ascii="Impact" w:hAnsi="Impact"/>
      <w:sz w:val="20"/>
    </w:rPr>
  </w:style>
  <w:style w:type="character" w:styleId="Hiperhivatkozs">
    <w:name w:val="Hyperlink"/>
    <w:uiPriority w:val="99"/>
    <w:rsid w:val="00C44C4B"/>
    <w:rPr>
      <w:rFonts w:cs="Times New Roman"/>
      <w:color w:val="0000FF"/>
      <w:u w:val="single"/>
    </w:rPr>
  </w:style>
  <w:style w:type="paragraph" w:styleId="TJ3">
    <w:name w:val="toc 3"/>
    <w:basedOn w:val="Norml"/>
    <w:next w:val="Norml"/>
    <w:autoRedefine/>
    <w:uiPriority w:val="39"/>
    <w:rsid w:val="00371ABC"/>
    <w:pPr>
      <w:tabs>
        <w:tab w:val="left" w:pos="960"/>
        <w:tab w:val="left" w:pos="2073"/>
        <w:tab w:val="right" w:leader="dot" w:pos="9060"/>
      </w:tabs>
      <w:ind w:left="400"/>
    </w:pPr>
    <w:rPr>
      <w:rFonts w:asciiTheme="minorHAnsi" w:hAnsiTheme="minorHAnsi" w:cstheme="minorHAnsi"/>
      <w:noProof/>
    </w:rPr>
  </w:style>
  <w:style w:type="character" w:customStyle="1" w:styleId="Stlus14ptFlkvrAlhzs">
    <w:name w:val="Stílus 14 pt Félkövér Aláhúzás"/>
    <w:uiPriority w:val="99"/>
    <w:rsid w:val="00C44C4B"/>
    <w:rPr>
      <w:b/>
      <w:i/>
      <w:sz w:val="28"/>
      <w:u w:val="single"/>
    </w:rPr>
  </w:style>
  <w:style w:type="character" w:styleId="Kiemels">
    <w:name w:val="Emphasis"/>
    <w:uiPriority w:val="99"/>
    <w:qFormat/>
    <w:rsid w:val="00C44C4B"/>
    <w:rPr>
      <w:rFonts w:cs="Times New Roman"/>
      <w:i/>
    </w:rPr>
  </w:style>
  <w:style w:type="paragraph" w:customStyle="1" w:styleId="Stlus14ptFlkvrAlhzsKzprezrtEltte48ptUtn">
    <w:name w:val="Stílus 14 pt Félkövér Aláhúzás Középre zárt Előtte:  48 pt Után..."/>
    <w:basedOn w:val="Norml"/>
    <w:uiPriority w:val="99"/>
    <w:rsid w:val="00C44C4B"/>
    <w:pPr>
      <w:spacing w:before="960" w:after="960"/>
    </w:pPr>
    <w:rPr>
      <w:b/>
      <w:bCs/>
      <w:sz w:val="28"/>
      <w:u w:val="single"/>
    </w:rPr>
  </w:style>
  <w:style w:type="paragraph" w:styleId="llb">
    <w:name w:val="footer"/>
    <w:basedOn w:val="Norml"/>
    <w:link w:val="llbChar"/>
    <w:uiPriority w:val="99"/>
    <w:rsid w:val="00C44C4B"/>
    <w:pPr>
      <w:tabs>
        <w:tab w:val="center" w:pos="4536"/>
        <w:tab w:val="right" w:pos="9072"/>
      </w:tabs>
    </w:pPr>
    <w:rPr>
      <w:szCs w:val="20"/>
    </w:rPr>
  </w:style>
  <w:style w:type="character" w:customStyle="1" w:styleId="FooterChar">
    <w:name w:val="Footer Char"/>
    <w:uiPriority w:val="99"/>
    <w:locked/>
    <w:rsid w:val="00A8104C"/>
    <w:rPr>
      <w:rFonts w:cs="Times New Roman"/>
      <w:lang w:val="hu-HU" w:eastAsia="hu-HU"/>
    </w:rPr>
  </w:style>
  <w:style w:type="character" w:customStyle="1" w:styleId="llbChar">
    <w:name w:val="Élőláb Char"/>
    <w:link w:val="llb"/>
    <w:uiPriority w:val="99"/>
    <w:locked/>
    <w:rsid w:val="00C44C4B"/>
    <w:rPr>
      <w:sz w:val="24"/>
      <w:lang w:val="hu-HU" w:eastAsia="hu-HU"/>
    </w:rPr>
  </w:style>
  <w:style w:type="paragraph" w:customStyle="1" w:styleId="Char1CharCharCharCharCharCharCharCharChar">
    <w:name w:val="Char1 Char Char Char Char Char Char Char Char Char"/>
    <w:basedOn w:val="Norml"/>
    <w:uiPriority w:val="99"/>
    <w:rsid w:val="00C44C4B"/>
    <w:pPr>
      <w:spacing w:after="160" w:line="240" w:lineRule="exact"/>
    </w:pPr>
    <w:rPr>
      <w:rFonts w:ascii="Verdana" w:hAnsi="Verdana"/>
      <w:lang w:val="en-US" w:eastAsia="en-US"/>
    </w:rPr>
  </w:style>
  <w:style w:type="paragraph" w:customStyle="1" w:styleId="StlusStlus14ptFlkvrAlhzsNincsalhzs">
    <w:name w:val="Stílus Stílus 14 pt Félkövér Aláhúzás + Nincs aláhúzás"/>
    <w:basedOn w:val="Cmsor1"/>
    <w:link w:val="StlusStlus14ptFlkvrAlhzsNincsalhzsChar"/>
    <w:uiPriority w:val="99"/>
    <w:rsid w:val="00C44C4B"/>
    <w:pPr>
      <w:spacing w:after="600"/>
      <w:jc w:val="left"/>
    </w:pPr>
    <w:rPr>
      <w:szCs w:val="20"/>
    </w:rPr>
  </w:style>
  <w:style w:type="character" w:customStyle="1" w:styleId="StlusStlus14ptFlkvrAlhzsNincsalhzsChar">
    <w:name w:val="Stílus Stílus 14 pt Félkövér Aláhúzás + Nincs aláhúzás Char"/>
    <w:link w:val="StlusStlus14ptFlkvrAlhzsNincsalhzs"/>
    <w:uiPriority w:val="99"/>
    <w:locked/>
    <w:rsid w:val="00C44C4B"/>
    <w:rPr>
      <w:sz w:val="24"/>
    </w:rPr>
  </w:style>
  <w:style w:type="paragraph" w:styleId="Szvegtrzs">
    <w:name w:val="Body Text"/>
    <w:basedOn w:val="Norml"/>
    <w:link w:val="SzvegtrzsChar"/>
    <w:uiPriority w:val="99"/>
    <w:rsid w:val="00C44C4B"/>
    <w:pPr>
      <w:spacing w:after="120"/>
    </w:pPr>
    <w:rPr>
      <w:szCs w:val="20"/>
    </w:rPr>
  </w:style>
  <w:style w:type="character" w:customStyle="1" w:styleId="SzvegtrzsChar">
    <w:name w:val="Szövegtörzs Char"/>
    <w:link w:val="Szvegtrzs"/>
    <w:uiPriority w:val="99"/>
    <w:locked/>
    <w:rsid w:val="00C44C4B"/>
    <w:rPr>
      <w:rFonts w:cs="Times New Roman"/>
      <w:sz w:val="24"/>
      <w:lang w:val="hu-HU" w:eastAsia="hu-HU"/>
    </w:rPr>
  </w:style>
  <w:style w:type="paragraph" w:styleId="Szvegtrzsbehzssal2">
    <w:name w:val="Body Text Indent 2"/>
    <w:basedOn w:val="Norml"/>
    <w:link w:val="Szvegtrzsbehzssal2Char"/>
    <w:uiPriority w:val="99"/>
    <w:rsid w:val="00C44C4B"/>
    <w:pPr>
      <w:spacing w:after="120" w:line="480" w:lineRule="auto"/>
      <w:ind w:left="283"/>
    </w:pPr>
    <w:rPr>
      <w:szCs w:val="20"/>
    </w:rPr>
  </w:style>
  <w:style w:type="character" w:customStyle="1" w:styleId="Szvegtrzsbehzssal2Char">
    <w:name w:val="Szövegtörzs behúzással 2 Char"/>
    <w:link w:val="Szvegtrzsbehzssal2"/>
    <w:uiPriority w:val="99"/>
    <w:semiHidden/>
    <w:locked/>
    <w:rsid w:val="00C44C4B"/>
    <w:rPr>
      <w:rFonts w:cs="Times New Roman"/>
      <w:sz w:val="24"/>
      <w:lang w:val="hu-HU" w:eastAsia="hu-HU"/>
    </w:rPr>
  </w:style>
  <w:style w:type="paragraph" w:customStyle="1" w:styleId="Default">
    <w:name w:val="Default"/>
    <w:uiPriority w:val="99"/>
    <w:rsid w:val="00C44C4B"/>
    <w:pPr>
      <w:autoSpaceDE w:val="0"/>
      <w:autoSpaceDN w:val="0"/>
      <w:adjustRightInd w:val="0"/>
    </w:pPr>
    <w:rPr>
      <w:color w:val="000000"/>
      <w:sz w:val="24"/>
      <w:szCs w:val="24"/>
    </w:rPr>
  </w:style>
  <w:style w:type="paragraph" w:customStyle="1" w:styleId="Char1">
    <w:name w:val="Char1"/>
    <w:basedOn w:val="Norml"/>
    <w:uiPriority w:val="99"/>
    <w:rsid w:val="00C44C4B"/>
    <w:pPr>
      <w:spacing w:after="160" w:line="240" w:lineRule="exact"/>
    </w:pPr>
    <w:rPr>
      <w:rFonts w:ascii="Verdana" w:hAnsi="Verdana"/>
      <w:lang w:val="en-US" w:eastAsia="en-US"/>
    </w:rPr>
  </w:style>
  <w:style w:type="paragraph" w:customStyle="1" w:styleId="zletitervszveg">
    <w:name w:val="Üzleti terv szöveg"/>
    <w:basedOn w:val="Norml"/>
    <w:rsid w:val="00C44C4B"/>
    <w:pPr>
      <w:spacing w:before="240"/>
      <w:ind w:left="567"/>
      <w:jc w:val="both"/>
    </w:pPr>
    <w:rPr>
      <w:rFonts w:ascii="Arial" w:hAnsi="Arial" w:cs="Arial"/>
      <w:sz w:val="22"/>
      <w:szCs w:val="22"/>
      <w:lang w:eastAsia="ru-RU"/>
    </w:rPr>
  </w:style>
  <w:style w:type="paragraph" w:customStyle="1" w:styleId="CharCharCharChar">
    <w:name w:val="Char Char Char Char"/>
    <w:basedOn w:val="Norml"/>
    <w:uiPriority w:val="99"/>
    <w:rsid w:val="00C44C4B"/>
    <w:pPr>
      <w:spacing w:after="160" w:line="240" w:lineRule="exact"/>
    </w:pPr>
    <w:rPr>
      <w:rFonts w:ascii="Verdana" w:hAnsi="Verdana"/>
      <w:lang w:val="en-US" w:eastAsia="en-US"/>
    </w:rPr>
  </w:style>
  <w:style w:type="paragraph" w:customStyle="1" w:styleId="BKV">
    <w:name w:val="BKV"/>
    <w:uiPriority w:val="99"/>
    <w:rsid w:val="00C44C4B"/>
    <w:pPr>
      <w:spacing w:line="360" w:lineRule="auto"/>
      <w:jc w:val="both"/>
    </w:pPr>
    <w:rPr>
      <w:rFonts w:ascii="Arial" w:hAnsi="Arial"/>
      <w:sz w:val="24"/>
      <w:lang w:eastAsia="ru-RU"/>
    </w:rPr>
  </w:style>
  <w:style w:type="character" w:customStyle="1" w:styleId="SubtleEmphasis1">
    <w:name w:val="Subtle Emphasis1"/>
    <w:uiPriority w:val="99"/>
    <w:rsid w:val="00C44C4B"/>
    <w:rPr>
      <w:rFonts w:eastAsia="Times New Roman"/>
      <w:i/>
      <w:color w:val="808080"/>
      <w:sz w:val="22"/>
      <w:lang w:val="hu-HU"/>
    </w:rPr>
  </w:style>
  <w:style w:type="character" w:styleId="Kiemels2">
    <w:name w:val="Strong"/>
    <w:uiPriority w:val="22"/>
    <w:qFormat/>
    <w:rsid w:val="00C44C4B"/>
    <w:rPr>
      <w:rFonts w:cs="Times New Roman"/>
      <w:b/>
    </w:rPr>
  </w:style>
  <w:style w:type="paragraph" w:customStyle="1" w:styleId="zletitervszveg0">
    <w:name w:val="zletitervszveg"/>
    <w:basedOn w:val="Norml"/>
    <w:uiPriority w:val="99"/>
    <w:rsid w:val="00C44C4B"/>
    <w:pPr>
      <w:spacing w:before="240"/>
      <w:ind w:left="567"/>
      <w:jc w:val="both"/>
    </w:pPr>
    <w:rPr>
      <w:rFonts w:ascii="Arial" w:hAnsi="Arial" w:cs="Arial"/>
      <w:sz w:val="22"/>
      <w:szCs w:val="22"/>
    </w:rPr>
  </w:style>
  <w:style w:type="character" w:styleId="Oldalszm">
    <w:name w:val="page number"/>
    <w:uiPriority w:val="99"/>
    <w:rsid w:val="00C44C4B"/>
    <w:rPr>
      <w:rFonts w:cs="Times New Roman"/>
    </w:rPr>
  </w:style>
  <w:style w:type="table" w:styleId="Egyszertblzat1">
    <w:name w:val="Table Simple 1"/>
    <w:basedOn w:val="Normltblzat"/>
    <w:uiPriority w:val="99"/>
    <w:rsid w:val="00C44C4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Cmsorvez">
    <w:name w:val="Címsorvez"/>
    <w:basedOn w:val="Cmsor2"/>
    <w:uiPriority w:val="99"/>
    <w:rsid w:val="005076EF"/>
    <w:pPr>
      <w:spacing w:before="600" w:after="300"/>
    </w:pPr>
    <w:rPr>
      <w:iCs/>
      <w:sz w:val="28"/>
      <w:szCs w:val="28"/>
    </w:rPr>
  </w:style>
  <w:style w:type="paragraph" w:customStyle="1" w:styleId="msonormalcxspmiddle">
    <w:name w:val="msonormalcxspmiddle"/>
    <w:basedOn w:val="Norml"/>
    <w:uiPriority w:val="99"/>
    <w:rsid w:val="00C44C4B"/>
    <w:pPr>
      <w:spacing w:before="100" w:beforeAutospacing="1" w:after="100" w:afterAutospacing="1"/>
    </w:pPr>
  </w:style>
  <w:style w:type="character" w:customStyle="1" w:styleId="kiemelt">
    <w:name w:val="kiemelt"/>
    <w:uiPriority w:val="99"/>
    <w:rsid w:val="00773DFD"/>
    <w:rPr>
      <w:u w:val="single"/>
    </w:rPr>
  </w:style>
  <w:style w:type="character" w:customStyle="1" w:styleId="CharChar6">
    <w:name w:val="Char Char6"/>
    <w:uiPriority w:val="99"/>
    <w:locked/>
    <w:rsid w:val="00CD1E04"/>
    <w:rPr>
      <w:b/>
      <w:sz w:val="24"/>
      <w:lang w:val="hu-HU" w:eastAsia="hu-HU"/>
    </w:rPr>
  </w:style>
  <w:style w:type="table" w:styleId="Rcsostblzat">
    <w:name w:val="Table Grid"/>
    <w:basedOn w:val="Normltblzat"/>
    <w:uiPriority w:val="59"/>
    <w:rsid w:val="00C0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rsid w:val="009C119C"/>
    <w:rPr>
      <w:rFonts w:ascii="Courier New" w:hAnsi="Courier New"/>
      <w:sz w:val="20"/>
      <w:szCs w:val="20"/>
    </w:rPr>
  </w:style>
  <w:style w:type="character" w:customStyle="1" w:styleId="CsakszvegChar">
    <w:name w:val="Csak szöveg Char"/>
    <w:link w:val="Csakszveg"/>
    <w:uiPriority w:val="99"/>
    <w:locked/>
    <w:rsid w:val="00CD179E"/>
    <w:rPr>
      <w:rFonts w:ascii="Courier New" w:hAnsi="Courier New" w:cs="Times New Roman"/>
      <w:lang w:val="hu-HU" w:eastAsia="hu-HU"/>
    </w:rPr>
  </w:style>
  <w:style w:type="paragraph" w:customStyle="1" w:styleId="PBDocTxt">
    <w:name w:val="PBDocTxt"/>
    <w:basedOn w:val="Norml"/>
    <w:uiPriority w:val="99"/>
    <w:rsid w:val="00CD179E"/>
    <w:pPr>
      <w:numPr>
        <w:numId w:val="2"/>
      </w:numPr>
      <w:spacing w:before="240"/>
      <w:jc w:val="both"/>
    </w:pPr>
  </w:style>
  <w:style w:type="paragraph" w:customStyle="1" w:styleId="PBDocTxtL1">
    <w:name w:val="PBDocTxtL1"/>
    <w:basedOn w:val="PBDocTxt"/>
    <w:uiPriority w:val="99"/>
    <w:rsid w:val="00CD179E"/>
    <w:pPr>
      <w:numPr>
        <w:ilvl w:val="1"/>
      </w:numPr>
      <w:spacing w:line="260" w:lineRule="atLeast"/>
    </w:pPr>
  </w:style>
  <w:style w:type="paragraph" w:customStyle="1" w:styleId="PBDocTxtL2">
    <w:name w:val="PBDocTxtL2"/>
    <w:basedOn w:val="PBDocTxt"/>
    <w:uiPriority w:val="99"/>
    <w:rsid w:val="00CD179E"/>
    <w:pPr>
      <w:numPr>
        <w:ilvl w:val="2"/>
      </w:numPr>
      <w:spacing w:line="260" w:lineRule="atLeast"/>
      <w:ind w:left="1440"/>
    </w:pPr>
  </w:style>
  <w:style w:type="paragraph" w:customStyle="1" w:styleId="PBDocTxtL3">
    <w:name w:val="PBDocTxtL3"/>
    <w:basedOn w:val="PBDocTxt"/>
    <w:uiPriority w:val="99"/>
    <w:rsid w:val="00CD179E"/>
    <w:pPr>
      <w:numPr>
        <w:ilvl w:val="3"/>
      </w:numPr>
      <w:spacing w:line="260" w:lineRule="atLeast"/>
      <w:ind w:left="2160"/>
    </w:pPr>
  </w:style>
  <w:style w:type="paragraph" w:customStyle="1" w:styleId="PBDocTxtL4">
    <w:name w:val="PBDocTxtL4"/>
    <w:basedOn w:val="PBDocTxt"/>
    <w:uiPriority w:val="99"/>
    <w:rsid w:val="00CD179E"/>
    <w:pPr>
      <w:numPr>
        <w:ilvl w:val="4"/>
      </w:numPr>
      <w:spacing w:line="260" w:lineRule="atLeast"/>
    </w:pPr>
  </w:style>
  <w:style w:type="paragraph" w:customStyle="1" w:styleId="PBDocTxtL5">
    <w:name w:val="PBDocTxtL5"/>
    <w:basedOn w:val="PBDocTxt"/>
    <w:uiPriority w:val="99"/>
    <w:rsid w:val="00CD179E"/>
    <w:pPr>
      <w:numPr>
        <w:ilvl w:val="5"/>
      </w:numPr>
      <w:spacing w:line="260" w:lineRule="atLeast"/>
      <w:ind w:left="3600"/>
    </w:pPr>
  </w:style>
  <w:style w:type="paragraph" w:customStyle="1" w:styleId="PBDocTxtL6">
    <w:name w:val="PBDocTxtL6"/>
    <w:basedOn w:val="PBDocTxt"/>
    <w:uiPriority w:val="99"/>
    <w:rsid w:val="00CD179E"/>
    <w:pPr>
      <w:numPr>
        <w:ilvl w:val="6"/>
      </w:numPr>
      <w:spacing w:line="260" w:lineRule="atLeast"/>
      <w:ind w:left="4320"/>
    </w:pPr>
  </w:style>
  <w:style w:type="paragraph" w:customStyle="1" w:styleId="PBDocTxtL7">
    <w:name w:val="PBDocTxtL7"/>
    <w:basedOn w:val="PBDocTxt"/>
    <w:uiPriority w:val="99"/>
    <w:rsid w:val="00CD179E"/>
    <w:pPr>
      <w:numPr>
        <w:ilvl w:val="7"/>
      </w:numPr>
      <w:spacing w:line="260" w:lineRule="atLeast"/>
      <w:ind w:left="5040"/>
    </w:pPr>
  </w:style>
  <w:style w:type="paragraph" w:customStyle="1" w:styleId="PBDocTxtL8">
    <w:name w:val="PBDocTxtL8"/>
    <w:basedOn w:val="PBDocTxt"/>
    <w:uiPriority w:val="99"/>
    <w:rsid w:val="00CD179E"/>
    <w:pPr>
      <w:numPr>
        <w:ilvl w:val="8"/>
      </w:numPr>
      <w:spacing w:line="260" w:lineRule="atLeast"/>
    </w:pPr>
  </w:style>
  <w:style w:type="paragraph" w:customStyle="1" w:styleId="Stlus12ptSorkizrt">
    <w:name w:val="Stílus 12 pt Sorkizárt"/>
    <w:basedOn w:val="Norml"/>
    <w:uiPriority w:val="99"/>
    <w:rsid w:val="00CD179E"/>
    <w:pPr>
      <w:jc w:val="both"/>
    </w:pPr>
    <w:rPr>
      <w:szCs w:val="20"/>
    </w:rPr>
  </w:style>
  <w:style w:type="paragraph" w:customStyle="1" w:styleId="section1">
    <w:name w:val="section1"/>
    <w:basedOn w:val="Norml"/>
    <w:uiPriority w:val="99"/>
    <w:rsid w:val="00CD179E"/>
    <w:pPr>
      <w:spacing w:before="100" w:beforeAutospacing="1" w:after="100" w:afterAutospacing="1"/>
    </w:pPr>
  </w:style>
  <w:style w:type="paragraph" w:customStyle="1" w:styleId="bkv0">
    <w:name w:val="bkv"/>
    <w:basedOn w:val="Norml"/>
    <w:uiPriority w:val="99"/>
    <w:rsid w:val="00CD179E"/>
    <w:pPr>
      <w:spacing w:line="360" w:lineRule="auto"/>
      <w:jc w:val="both"/>
    </w:pPr>
    <w:rPr>
      <w:rFonts w:ascii="Arial" w:hAnsi="Arial" w:cs="Arial"/>
    </w:rPr>
  </w:style>
  <w:style w:type="character" w:styleId="Jegyzethivatkozs">
    <w:name w:val="annotation reference"/>
    <w:uiPriority w:val="99"/>
    <w:semiHidden/>
    <w:rsid w:val="0073690E"/>
    <w:rPr>
      <w:rFonts w:cs="Times New Roman"/>
      <w:sz w:val="16"/>
    </w:rPr>
  </w:style>
  <w:style w:type="paragraph" w:styleId="Jegyzetszveg">
    <w:name w:val="annotation text"/>
    <w:basedOn w:val="Norml"/>
    <w:link w:val="JegyzetszvegChar"/>
    <w:uiPriority w:val="99"/>
    <w:semiHidden/>
    <w:rsid w:val="0073690E"/>
    <w:rPr>
      <w:sz w:val="20"/>
      <w:szCs w:val="20"/>
    </w:rPr>
  </w:style>
  <w:style w:type="character" w:customStyle="1" w:styleId="JegyzetszvegChar">
    <w:name w:val="Jegyzetszöveg Char"/>
    <w:link w:val="Jegyzetszveg"/>
    <w:uiPriority w:val="99"/>
    <w:semiHidden/>
    <w:locked/>
    <w:rsid w:val="00320C22"/>
    <w:rPr>
      <w:rFonts w:cs="Times New Roman"/>
      <w:lang w:val="hu-HU" w:eastAsia="hu-HU"/>
    </w:rPr>
  </w:style>
  <w:style w:type="paragraph" w:styleId="Megjegyzstrgya">
    <w:name w:val="annotation subject"/>
    <w:basedOn w:val="Jegyzetszveg"/>
    <w:next w:val="Jegyzetszveg"/>
    <w:link w:val="MegjegyzstrgyaChar"/>
    <w:uiPriority w:val="99"/>
    <w:semiHidden/>
    <w:rsid w:val="0073690E"/>
    <w:rPr>
      <w:b/>
      <w:bCs/>
    </w:rPr>
  </w:style>
  <w:style w:type="character" w:customStyle="1" w:styleId="MegjegyzstrgyaChar">
    <w:name w:val="Megjegyzés tárgya Char"/>
    <w:link w:val="Megjegyzstrgya"/>
    <w:uiPriority w:val="99"/>
    <w:semiHidden/>
    <w:locked/>
    <w:rsid w:val="001448FC"/>
    <w:rPr>
      <w:rFonts w:cs="Times New Roman"/>
      <w:b/>
      <w:sz w:val="20"/>
      <w:lang w:val="hu-HU" w:eastAsia="hu-HU"/>
    </w:rPr>
  </w:style>
  <w:style w:type="paragraph" w:customStyle="1" w:styleId="ListParagraph1">
    <w:name w:val="List Paragraph1"/>
    <w:basedOn w:val="Norml"/>
    <w:rsid w:val="000C252C"/>
    <w:pPr>
      <w:spacing w:after="200" w:line="276" w:lineRule="auto"/>
      <w:ind w:left="720"/>
      <w:contextualSpacing/>
    </w:pPr>
    <w:rPr>
      <w:rFonts w:ascii="Calibri" w:hAnsi="Calibri"/>
      <w:sz w:val="22"/>
      <w:szCs w:val="22"/>
      <w:lang w:eastAsia="en-US"/>
    </w:rPr>
  </w:style>
  <w:style w:type="paragraph" w:styleId="Lbjegyzetszveg">
    <w:name w:val="footnote text"/>
    <w:basedOn w:val="Norml"/>
    <w:link w:val="LbjegyzetszvegChar"/>
    <w:uiPriority w:val="99"/>
    <w:semiHidden/>
    <w:rsid w:val="000C252C"/>
    <w:rPr>
      <w:rFonts w:ascii="Calibri" w:hAnsi="Calibri"/>
      <w:sz w:val="20"/>
      <w:szCs w:val="20"/>
      <w:lang w:eastAsia="en-US"/>
    </w:rPr>
  </w:style>
  <w:style w:type="character" w:customStyle="1" w:styleId="LbjegyzetszvegChar">
    <w:name w:val="Lábjegyzetszöveg Char"/>
    <w:link w:val="Lbjegyzetszveg"/>
    <w:uiPriority w:val="99"/>
    <w:semiHidden/>
    <w:locked/>
    <w:rsid w:val="000C252C"/>
    <w:rPr>
      <w:rFonts w:ascii="Calibri" w:hAnsi="Calibri" w:cs="Times New Roman"/>
      <w:lang w:val="hu-HU" w:eastAsia="en-US"/>
    </w:rPr>
  </w:style>
  <w:style w:type="character" w:styleId="Lbjegyzet-hivatkozs">
    <w:name w:val="footnote reference"/>
    <w:uiPriority w:val="99"/>
    <w:semiHidden/>
    <w:rsid w:val="000C252C"/>
    <w:rPr>
      <w:rFonts w:cs="Times New Roman"/>
      <w:vertAlign w:val="superscript"/>
    </w:rPr>
  </w:style>
  <w:style w:type="paragraph" w:styleId="Vltozat">
    <w:name w:val="Revision"/>
    <w:hidden/>
    <w:uiPriority w:val="99"/>
    <w:semiHidden/>
    <w:rsid w:val="00761419"/>
    <w:rPr>
      <w:sz w:val="24"/>
      <w:szCs w:val="24"/>
    </w:rPr>
  </w:style>
  <w:style w:type="paragraph" w:styleId="Listaszerbekezds">
    <w:name w:val="List Paragraph"/>
    <w:basedOn w:val="Norml"/>
    <w:link w:val="ListaszerbekezdsChar"/>
    <w:uiPriority w:val="34"/>
    <w:qFormat/>
    <w:rsid w:val="00E9254D"/>
    <w:pPr>
      <w:ind w:left="720"/>
      <w:contextualSpacing/>
    </w:pPr>
  </w:style>
  <w:style w:type="table" w:customStyle="1" w:styleId="Rcsostblzat1">
    <w:name w:val="Rácsos táblázat1"/>
    <w:uiPriority w:val="99"/>
    <w:rsid w:val="00EC43E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uiPriority w:val="99"/>
    <w:rsid w:val="00F6403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sdiagram">
    <w:name w:val="Ábra és diagram"/>
    <w:basedOn w:val="Norml"/>
    <w:uiPriority w:val="99"/>
    <w:rsid w:val="00974064"/>
    <w:pPr>
      <w:widowControl w:val="0"/>
      <w:autoSpaceDE w:val="0"/>
      <w:autoSpaceDN w:val="0"/>
      <w:adjustRightInd w:val="0"/>
      <w:spacing w:after="60"/>
      <w:ind w:left="181" w:right="249"/>
      <w:jc w:val="center"/>
    </w:pPr>
    <w:rPr>
      <w:b/>
      <w:sz w:val="20"/>
      <w:szCs w:val="20"/>
    </w:rPr>
  </w:style>
  <w:style w:type="paragraph" w:customStyle="1" w:styleId="Courier">
    <w:name w:val="Courier"/>
    <w:basedOn w:val="Norml"/>
    <w:uiPriority w:val="99"/>
    <w:rsid w:val="00E2113E"/>
    <w:pPr>
      <w:overflowPunct w:val="0"/>
      <w:autoSpaceDE w:val="0"/>
      <w:autoSpaceDN w:val="0"/>
      <w:adjustRightInd w:val="0"/>
      <w:textAlignment w:val="baseline"/>
    </w:pPr>
    <w:rPr>
      <w:rFonts w:ascii="Courier New" w:hAnsi="Courier New"/>
      <w:szCs w:val="20"/>
    </w:rPr>
  </w:style>
  <w:style w:type="paragraph" w:customStyle="1" w:styleId="Courier3">
    <w:name w:val="Courier3"/>
    <w:basedOn w:val="Norml"/>
    <w:uiPriority w:val="99"/>
    <w:rsid w:val="00E2113E"/>
    <w:pPr>
      <w:overflowPunct w:val="0"/>
      <w:autoSpaceDE w:val="0"/>
      <w:autoSpaceDN w:val="0"/>
      <w:adjustRightInd w:val="0"/>
      <w:textAlignment w:val="baseline"/>
    </w:pPr>
    <w:rPr>
      <w:rFonts w:ascii="Courier New" w:hAnsi="Courier New"/>
      <w:szCs w:val="20"/>
    </w:rPr>
  </w:style>
  <w:style w:type="paragraph" w:customStyle="1" w:styleId="BlockText1">
    <w:name w:val="Block Text1"/>
    <w:basedOn w:val="Norml"/>
    <w:uiPriority w:val="99"/>
    <w:rsid w:val="00E2113E"/>
    <w:pPr>
      <w:tabs>
        <w:tab w:val="left" w:pos="8647"/>
      </w:tabs>
      <w:overflowPunct w:val="0"/>
      <w:autoSpaceDE w:val="0"/>
      <w:autoSpaceDN w:val="0"/>
      <w:adjustRightInd w:val="0"/>
      <w:spacing w:before="120"/>
      <w:ind w:left="1134" w:right="142"/>
      <w:jc w:val="both"/>
      <w:textAlignment w:val="baseline"/>
    </w:pPr>
    <w:rPr>
      <w:i/>
      <w:sz w:val="28"/>
      <w:szCs w:val="20"/>
    </w:rPr>
  </w:style>
  <w:style w:type="paragraph" w:styleId="Kpalrs">
    <w:name w:val="caption"/>
    <w:basedOn w:val="Norml"/>
    <w:next w:val="Norml"/>
    <w:uiPriority w:val="35"/>
    <w:qFormat/>
    <w:locked/>
    <w:rsid w:val="00101092"/>
    <w:rPr>
      <w:b/>
      <w:bCs/>
      <w:sz w:val="20"/>
      <w:szCs w:val="20"/>
    </w:rPr>
  </w:style>
  <w:style w:type="paragraph" w:customStyle="1" w:styleId="Listaszerbekezds1">
    <w:name w:val="Listaszerű bekezdés1"/>
    <w:basedOn w:val="Norml"/>
    <w:uiPriority w:val="99"/>
    <w:rsid w:val="00E0088D"/>
    <w:pPr>
      <w:spacing w:after="200" w:line="276" w:lineRule="auto"/>
      <w:ind w:left="720"/>
      <w:contextualSpacing/>
    </w:pPr>
    <w:rPr>
      <w:rFonts w:ascii="Calibri" w:hAnsi="Calibri"/>
      <w:sz w:val="22"/>
      <w:szCs w:val="22"/>
      <w:lang w:eastAsia="en-US"/>
    </w:rPr>
  </w:style>
  <w:style w:type="numbering" w:styleId="Cikkelyrsz">
    <w:name w:val="Outline List 3"/>
    <w:basedOn w:val="Nemlista"/>
    <w:uiPriority w:val="99"/>
    <w:semiHidden/>
    <w:unhideWhenUsed/>
    <w:locked/>
    <w:rsid w:val="000918B1"/>
    <w:pPr>
      <w:numPr>
        <w:numId w:val="3"/>
      </w:numPr>
    </w:pPr>
  </w:style>
  <w:style w:type="paragraph" w:customStyle="1" w:styleId="PBNormal">
    <w:name w:val="PBNormal"/>
    <w:link w:val="PBNormalChar"/>
    <w:rsid w:val="00C34912"/>
    <w:pPr>
      <w:spacing w:line="260" w:lineRule="atLeast"/>
    </w:pPr>
    <w:rPr>
      <w:sz w:val="22"/>
      <w:lang w:eastAsia="en-US"/>
    </w:rPr>
  </w:style>
  <w:style w:type="character" w:customStyle="1" w:styleId="PBNormalChar">
    <w:name w:val="PBNormal Char"/>
    <w:link w:val="PBNormal"/>
    <w:locked/>
    <w:rsid w:val="00C34912"/>
    <w:rPr>
      <w:sz w:val="22"/>
      <w:lang w:eastAsia="en-US"/>
    </w:rPr>
  </w:style>
  <w:style w:type="paragraph" w:styleId="NormlWeb">
    <w:name w:val="Normal (Web)"/>
    <w:basedOn w:val="Norml"/>
    <w:uiPriority w:val="99"/>
    <w:unhideWhenUsed/>
    <w:locked/>
    <w:rsid w:val="00EA0B37"/>
    <w:pPr>
      <w:spacing w:before="100" w:beforeAutospacing="1" w:after="100" w:afterAutospacing="1"/>
    </w:pPr>
    <w:rPr>
      <w:rFonts w:eastAsiaTheme="minorHAnsi"/>
    </w:rPr>
  </w:style>
  <w:style w:type="table" w:styleId="Kzepesrcs31jellszn">
    <w:name w:val="Medium Grid 3 Accent 1"/>
    <w:basedOn w:val="Normltblzat"/>
    <w:uiPriority w:val="69"/>
    <w:rsid w:val="007B18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ListaszerbekezdsChar">
    <w:name w:val="Listaszerű bekezdés Char"/>
    <w:link w:val="Listaszerbekezds"/>
    <w:uiPriority w:val="34"/>
    <w:locked/>
    <w:rsid w:val="008D2F85"/>
    <w:rPr>
      <w:sz w:val="24"/>
      <w:szCs w:val="24"/>
    </w:rPr>
  </w:style>
  <w:style w:type="table" w:customStyle="1" w:styleId="Rcsostblzat11">
    <w:name w:val="Rácsos táblázat11"/>
    <w:basedOn w:val="Normltblzat"/>
    <w:next w:val="Rcsostblzat"/>
    <w:uiPriority w:val="59"/>
    <w:rsid w:val="009D3F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zepesrcs31jellszn1">
    <w:name w:val="Közepes rács 3 – 1. jelölőszín1"/>
    <w:basedOn w:val="Normltblzat"/>
    <w:next w:val="Kzepesrcs31jellszn"/>
    <w:uiPriority w:val="69"/>
    <w:rsid w:val="004E27B1"/>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csostblzat3">
    <w:name w:val="Rácsos táblázat3"/>
    <w:basedOn w:val="Normltblzat"/>
    <w:next w:val="Rcsostblzat"/>
    <w:uiPriority w:val="59"/>
    <w:rsid w:val="004E27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zepesrcs31jellszn11">
    <w:name w:val="Közepes rács 3 – 1. jelölőszín11"/>
    <w:basedOn w:val="Normltblzat"/>
    <w:next w:val="Kzepesrcs31jellszn"/>
    <w:uiPriority w:val="69"/>
    <w:rsid w:val="004E27B1"/>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csostblzat4">
    <w:name w:val="Rácsos táblázat4"/>
    <w:basedOn w:val="Normltblzat"/>
    <w:next w:val="Rcsostblzat"/>
    <w:uiPriority w:val="59"/>
    <w:rsid w:val="004E27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6jellszn">
    <w:name w:val="Light Shading Accent 6"/>
    <w:basedOn w:val="Normltblzat"/>
    <w:uiPriority w:val="60"/>
    <w:rsid w:val="00C51EC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blzatrcsos5stt5jellszn1">
    <w:name w:val="Táblázat (rácsos) 5 – sötét – 5. jelölőszín1"/>
    <w:basedOn w:val="Normltblzat"/>
    <w:uiPriority w:val="50"/>
    <w:rsid w:val="003F7E6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zepesrcs31jellszn2">
    <w:name w:val="Közepes rács 3 – 1. jelölőszín2"/>
    <w:basedOn w:val="Normltblzat"/>
    <w:next w:val="Kzepesrcs31jellszn"/>
    <w:uiPriority w:val="69"/>
    <w:rsid w:val="000F4E7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blzatrcsos5stt1jellszn1">
    <w:name w:val="Táblázat (rácsos) 5 – sötét – 1. jelölőszín1"/>
    <w:basedOn w:val="Normltblzat"/>
    <w:uiPriority w:val="50"/>
    <w:rsid w:val="00BC4D8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lead">
    <w:name w:val="lead"/>
    <w:basedOn w:val="Norml"/>
    <w:rsid w:val="001E053E"/>
    <w:pPr>
      <w:spacing w:after="300"/>
    </w:pPr>
  </w:style>
  <w:style w:type="character" w:styleId="Mrltotthiperhivatkozs">
    <w:name w:val="FollowedHyperlink"/>
    <w:basedOn w:val="Bekezdsalapbettpusa"/>
    <w:uiPriority w:val="99"/>
    <w:semiHidden/>
    <w:unhideWhenUsed/>
    <w:locked/>
    <w:rsid w:val="00686EBB"/>
    <w:rPr>
      <w:color w:val="800080" w:themeColor="followedHyperlink"/>
      <w:u w:val="single"/>
    </w:rPr>
  </w:style>
  <w:style w:type="paragraph" w:styleId="Dokumentumtrkp">
    <w:name w:val="Document Map"/>
    <w:basedOn w:val="Norml"/>
    <w:link w:val="DokumentumtrkpChar"/>
    <w:uiPriority w:val="99"/>
    <w:semiHidden/>
    <w:unhideWhenUsed/>
    <w:locked/>
    <w:rsid w:val="00D65CF4"/>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D65C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676">
      <w:bodyDiv w:val="1"/>
      <w:marLeft w:val="0"/>
      <w:marRight w:val="0"/>
      <w:marTop w:val="0"/>
      <w:marBottom w:val="0"/>
      <w:divBdr>
        <w:top w:val="none" w:sz="0" w:space="0" w:color="auto"/>
        <w:left w:val="none" w:sz="0" w:space="0" w:color="auto"/>
        <w:bottom w:val="none" w:sz="0" w:space="0" w:color="auto"/>
        <w:right w:val="none" w:sz="0" w:space="0" w:color="auto"/>
      </w:divBdr>
    </w:div>
    <w:div w:id="40517569">
      <w:bodyDiv w:val="1"/>
      <w:marLeft w:val="0"/>
      <w:marRight w:val="0"/>
      <w:marTop w:val="0"/>
      <w:marBottom w:val="0"/>
      <w:divBdr>
        <w:top w:val="none" w:sz="0" w:space="0" w:color="auto"/>
        <w:left w:val="none" w:sz="0" w:space="0" w:color="auto"/>
        <w:bottom w:val="none" w:sz="0" w:space="0" w:color="auto"/>
        <w:right w:val="none" w:sz="0" w:space="0" w:color="auto"/>
      </w:divBdr>
    </w:div>
    <w:div w:id="62991475">
      <w:bodyDiv w:val="1"/>
      <w:marLeft w:val="0"/>
      <w:marRight w:val="0"/>
      <w:marTop w:val="0"/>
      <w:marBottom w:val="0"/>
      <w:divBdr>
        <w:top w:val="none" w:sz="0" w:space="0" w:color="auto"/>
        <w:left w:val="none" w:sz="0" w:space="0" w:color="auto"/>
        <w:bottom w:val="none" w:sz="0" w:space="0" w:color="auto"/>
        <w:right w:val="none" w:sz="0" w:space="0" w:color="auto"/>
      </w:divBdr>
    </w:div>
    <w:div w:id="117142240">
      <w:bodyDiv w:val="1"/>
      <w:marLeft w:val="0"/>
      <w:marRight w:val="0"/>
      <w:marTop w:val="0"/>
      <w:marBottom w:val="0"/>
      <w:divBdr>
        <w:top w:val="none" w:sz="0" w:space="0" w:color="auto"/>
        <w:left w:val="none" w:sz="0" w:space="0" w:color="auto"/>
        <w:bottom w:val="none" w:sz="0" w:space="0" w:color="auto"/>
        <w:right w:val="none" w:sz="0" w:space="0" w:color="auto"/>
      </w:divBdr>
    </w:div>
    <w:div w:id="151140742">
      <w:bodyDiv w:val="1"/>
      <w:marLeft w:val="0"/>
      <w:marRight w:val="0"/>
      <w:marTop w:val="0"/>
      <w:marBottom w:val="0"/>
      <w:divBdr>
        <w:top w:val="none" w:sz="0" w:space="0" w:color="auto"/>
        <w:left w:val="none" w:sz="0" w:space="0" w:color="auto"/>
        <w:bottom w:val="none" w:sz="0" w:space="0" w:color="auto"/>
        <w:right w:val="none" w:sz="0" w:space="0" w:color="auto"/>
      </w:divBdr>
    </w:div>
    <w:div w:id="160005353">
      <w:bodyDiv w:val="1"/>
      <w:marLeft w:val="0"/>
      <w:marRight w:val="0"/>
      <w:marTop w:val="0"/>
      <w:marBottom w:val="0"/>
      <w:divBdr>
        <w:top w:val="none" w:sz="0" w:space="0" w:color="auto"/>
        <w:left w:val="none" w:sz="0" w:space="0" w:color="auto"/>
        <w:bottom w:val="none" w:sz="0" w:space="0" w:color="auto"/>
        <w:right w:val="none" w:sz="0" w:space="0" w:color="auto"/>
      </w:divBdr>
    </w:div>
    <w:div w:id="173542826">
      <w:bodyDiv w:val="1"/>
      <w:marLeft w:val="0"/>
      <w:marRight w:val="0"/>
      <w:marTop w:val="0"/>
      <w:marBottom w:val="0"/>
      <w:divBdr>
        <w:top w:val="none" w:sz="0" w:space="0" w:color="auto"/>
        <w:left w:val="none" w:sz="0" w:space="0" w:color="auto"/>
        <w:bottom w:val="none" w:sz="0" w:space="0" w:color="auto"/>
        <w:right w:val="none" w:sz="0" w:space="0" w:color="auto"/>
      </w:divBdr>
    </w:div>
    <w:div w:id="200703689">
      <w:bodyDiv w:val="1"/>
      <w:marLeft w:val="0"/>
      <w:marRight w:val="0"/>
      <w:marTop w:val="0"/>
      <w:marBottom w:val="0"/>
      <w:divBdr>
        <w:top w:val="none" w:sz="0" w:space="0" w:color="auto"/>
        <w:left w:val="none" w:sz="0" w:space="0" w:color="auto"/>
        <w:bottom w:val="none" w:sz="0" w:space="0" w:color="auto"/>
        <w:right w:val="none" w:sz="0" w:space="0" w:color="auto"/>
      </w:divBdr>
    </w:div>
    <w:div w:id="210768506">
      <w:bodyDiv w:val="1"/>
      <w:marLeft w:val="0"/>
      <w:marRight w:val="0"/>
      <w:marTop w:val="0"/>
      <w:marBottom w:val="0"/>
      <w:divBdr>
        <w:top w:val="none" w:sz="0" w:space="0" w:color="auto"/>
        <w:left w:val="none" w:sz="0" w:space="0" w:color="auto"/>
        <w:bottom w:val="none" w:sz="0" w:space="0" w:color="auto"/>
        <w:right w:val="none" w:sz="0" w:space="0" w:color="auto"/>
      </w:divBdr>
    </w:div>
    <w:div w:id="211692369">
      <w:bodyDiv w:val="1"/>
      <w:marLeft w:val="0"/>
      <w:marRight w:val="0"/>
      <w:marTop w:val="0"/>
      <w:marBottom w:val="0"/>
      <w:divBdr>
        <w:top w:val="none" w:sz="0" w:space="0" w:color="auto"/>
        <w:left w:val="none" w:sz="0" w:space="0" w:color="auto"/>
        <w:bottom w:val="none" w:sz="0" w:space="0" w:color="auto"/>
        <w:right w:val="none" w:sz="0" w:space="0" w:color="auto"/>
      </w:divBdr>
    </w:div>
    <w:div w:id="265579964">
      <w:bodyDiv w:val="1"/>
      <w:marLeft w:val="0"/>
      <w:marRight w:val="0"/>
      <w:marTop w:val="0"/>
      <w:marBottom w:val="0"/>
      <w:divBdr>
        <w:top w:val="none" w:sz="0" w:space="0" w:color="auto"/>
        <w:left w:val="none" w:sz="0" w:space="0" w:color="auto"/>
        <w:bottom w:val="none" w:sz="0" w:space="0" w:color="auto"/>
        <w:right w:val="none" w:sz="0" w:space="0" w:color="auto"/>
      </w:divBdr>
    </w:div>
    <w:div w:id="274096213">
      <w:bodyDiv w:val="1"/>
      <w:marLeft w:val="0"/>
      <w:marRight w:val="0"/>
      <w:marTop w:val="0"/>
      <w:marBottom w:val="0"/>
      <w:divBdr>
        <w:top w:val="none" w:sz="0" w:space="0" w:color="auto"/>
        <w:left w:val="none" w:sz="0" w:space="0" w:color="auto"/>
        <w:bottom w:val="none" w:sz="0" w:space="0" w:color="auto"/>
        <w:right w:val="none" w:sz="0" w:space="0" w:color="auto"/>
      </w:divBdr>
    </w:div>
    <w:div w:id="279651870">
      <w:bodyDiv w:val="1"/>
      <w:marLeft w:val="0"/>
      <w:marRight w:val="0"/>
      <w:marTop w:val="0"/>
      <w:marBottom w:val="0"/>
      <w:divBdr>
        <w:top w:val="none" w:sz="0" w:space="0" w:color="auto"/>
        <w:left w:val="none" w:sz="0" w:space="0" w:color="auto"/>
        <w:bottom w:val="none" w:sz="0" w:space="0" w:color="auto"/>
        <w:right w:val="none" w:sz="0" w:space="0" w:color="auto"/>
      </w:divBdr>
    </w:div>
    <w:div w:id="282732889">
      <w:bodyDiv w:val="1"/>
      <w:marLeft w:val="0"/>
      <w:marRight w:val="0"/>
      <w:marTop w:val="0"/>
      <w:marBottom w:val="0"/>
      <w:divBdr>
        <w:top w:val="none" w:sz="0" w:space="0" w:color="auto"/>
        <w:left w:val="none" w:sz="0" w:space="0" w:color="auto"/>
        <w:bottom w:val="none" w:sz="0" w:space="0" w:color="auto"/>
        <w:right w:val="none" w:sz="0" w:space="0" w:color="auto"/>
      </w:divBdr>
    </w:div>
    <w:div w:id="297225924">
      <w:bodyDiv w:val="1"/>
      <w:marLeft w:val="0"/>
      <w:marRight w:val="0"/>
      <w:marTop w:val="0"/>
      <w:marBottom w:val="0"/>
      <w:divBdr>
        <w:top w:val="none" w:sz="0" w:space="0" w:color="auto"/>
        <w:left w:val="none" w:sz="0" w:space="0" w:color="auto"/>
        <w:bottom w:val="none" w:sz="0" w:space="0" w:color="auto"/>
        <w:right w:val="none" w:sz="0" w:space="0" w:color="auto"/>
      </w:divBdr>
    </w:div>
    <w:div w:id="302540040">
      <w:bodyDiv w:val="1"/>
      <w:marLeft w:val="0"/>
      <w:marRight w:val="0"/>
      <w:marTop w:val="0"/>
      <w:marBottom w:val="0"/>
      <w:divBdr>
        <w:top w:val="none" w:sz="0" w:space="0" w:color="auto"/>
        <w:left w:val="none" w:sz="0" w:space="0" w:color="auto"/>
        <w:bottom w:val="none" w:sz="0" w:space="0" w:color="auto"/>
        <w:right w:val="none" w:sz="0" w:space="0" w:color="auto"/>
      </w:divBdr>
    </w:div>
    <w:div w:id="318734332">
      <w:bodyDiv w:val="1"/>
      <w:marLeft w:val="0"/>
      <w:marRight w:val="0"/>
      <w:marTop w:val="0"/>
      <w:marBottom w:val="0"/>
      <w:divBdr>
        <w:top w:val="none" w:sz="0" w:space="0" w:color="auto"/>
        <w:left w:val="none" w:sz="0" w:space="0" w:color="auto"/>
        <w:bottom w:val="none" w:sz="0" w:space="0" w:color="auto"/>
        <w:right w:val="none" w:sz="0" w:space="0" w:color="auto"/>
      </w:divBdr>
    </w:div>
    <w:div w:id="340009059">
      <w:bodyDiv w:val="1"/>
      <w:marLeft w:val="0"/>
      <w:marRight w:val="0"/>
      <w:marTop w:val="0"/>
      <w:marBottom w:val="0"/>
      <w:divBdr>
        <w:top w:val="none" w:sz="0" w:space="0" w:color="auto"/>
        <w:left w:val="none" w:sz="0" w:space="0" w:color="auto"/>
        <w:bottom w:val="none" w:sz="0" w:space="0" w:color="auto"/>
        <w:right w:val="none" w:sz="0" w:space="0" w:color="auto"/>
      </w:divBdr>
    </w:div>
    <w:div w:id="341787899">
      <w:bodyDiv w:val="1"/>
      <w:marLeft w:val="0"/>
      <w:marRight w:val="0"/>
      <w:marTop w:val="0"/>
      <w:marBottom w:val="0"/>
      <w:divBdr>
        <w:top w:val="none" w:sz="0" w:space="0" w:color="auto"/>
        <w:left w:val="none" w:sz="0" w:space="0" w:color="auto"/>
        <w:bottom w:val="none" w:sz="0" w:space="0" w:color="auto"/>
        <w:right w:val="none" w:sz="0" w:space="0" w:color="auto"/>
      </w:divBdr>
    </w:div>
    <w:div w:id="369185207">
      <w:bodyDiv w:val="1"/>
      <w:marLeft w:val="0"/>
      <w:marRight w:val="0"/>
      <w:marTop w:val="0"/>
      <w:marBottom w:val="0"/>
      <w:divBdr>
        <w:top w:val="none" w:sz="0" w:space="0" w:color="auto"/>
        <w:left w:val="none" w:sz="0" w:space="0" w:color="auto"/>
        <w:bottom w:val="none" w:sz="0" w:space="0" w:color="auto"/>
        <w:right w:val="none" w:sz="0" w:space="0" w:color="auto"/>
      </w:divBdr>
    </w:div>
    <w:div w:id="370763922">
      <w:bodyDiv w:val="1"/>
      <w:marLeft w:val="0"/>
      <w:marRight w:val="0"/>
      <w:marTop w:val="0"/>
      <w:marBottom w:val="0"/>
      <w:divBdr>
        <w:top w:val="none" w:sz="0" w:space="0" w:color="auto"/>
        <w:left w:val="none" w:sz="0" w:space="0" w:color="auto"/>
        <w:bottom w:val="none" w:sz="0" w:space="0" w:color="auto"/>
        <w:right w:val="none" w:sz="0" w:space="0" w:color="auto"/>
      </w:divBdr>
    </w:div>
    <w:div w:id="374819976">
      <w:bodyDiv w:val="1"/>
      <w:marLeft w:val="0"/>
      <w:marRight w:val="0"/>
      <w:marTop w:val="0"/>
      <w:marBottom w:val="0"/>
      <w:divBdr>
        <w:top w:val="none" w:sz="0" w:space="0" w:color="auto"/>
        <w:left w:val="none" w:sz="0" w:space="0" w:color="auto"/>
        <w:bottom w:val="none" w:sz="0" w:space="0" w:color="auto"/>
        <w:right w:val="none" w:sz="0" w:space="0" w:color="auto"/>
      </w:divBdr>
    </w:div>
    <w:div w:id="380860134">
      <w:bodyDiv w:val="1"/>
      <w:marLeft w:val="0"/>
      <w:marRight w:val="0"/>
      <w:marTop w:val="0"/>
      <w:marBottom w:val="0"/>
      <w:divBdr>
        <w:top w:val="none" w:sz="0" w:space="0" w:color="auto"/>
        <w:left w:val="none" w:sz="0" w:space="0" w:color="auto"/>
        <w:bottom w:val="none" w:sz="0" w:space="0" w:color="auto"/>
        <w:right w:val="none" w:sz="0" w:space="0" w:color="auto"/>
      </w:divBdr>
    </w:div>
    <w:div w:id="430708130">
      <w:bodyDiv w:val="1"/>
      <w:marLeft w:val="0"/>
      <w:marRight w:val="0"/>
      <w:marTop w:val="0"/>
      <w:marBottom w:val="0"/>
      <w:divBdr>
        <w:top w:val="none" w:sz="0" w:space="0" w:color="auto"/>
        <w:left w:val="none" w:sz="0" w:space="0" w:color="auto"/>
        <w:bottom w:val="none" w:sz="0" w:space="0" w:color="auto"/>
        <w:right w:val="none" w:sz="0" w:space="0" w:color="auto"/>
      </w:divBdr>
    </w:div>
    <w:div w:id="438532428">
      <w:bodyDiv w:val="1"/>
      <w:marLeft w:val="0"/>
      <w:marRight w:val="0"/>
      <w:marTop w:val="0"/>
      <w:marBottom w:val="0"/>
      <w:divBdr>
        <w:top w:val="none" w:sz="0" w:space="0" w:color="auto"/>
        <w:left w:val="none" w:sz="0" w:space="0" w:color="auto"/>
        <w:bottom w:val="none" w:sz="0" w:space="0" w:color="auto"/>
        <w:right w:val="none" w:sz="0" w:space="0" w:color="auto"/>
      </w:divBdr>
    </w:div>
    <w:div w:id="466318825">
      <w:bodyDiv w:val="1"/>
      <w:marLeft w:val="0"/>
      <w:marRight w:val="0"/>
      <w:marTop w:val="0"/>
      <w:marBottom w:val="0"/>
      <w:divBdr>
        <w:top w:val="none" w:sz="0" w:space="0" w:color="auto"/>
        <w:left w:val="none" w:sz="0" w:space="0" w:color="auto"/>
        <w:bottom w:val="none" w:sz="0" w:space="0" w:color="auto"/>
        <w:right w:val="none" w:sz="0" w:space="0" w:color="auto"/>
      </w:divBdr>
    </w:div>
    <w:div w:id="468135172">
      <w:bodyDiv w:val="1"/>
      <w:marLeft w:val="0"/>
      <w:marRight w:val="0"/>
      <w:marTop w:val="0"/>
      <w:marBottom w:val="0"/>
      <w:divBdr>
        <w:top w:val="none" w:sz="0" w:space="0" w:color="auto"/>
        <w:left w:val="none" w:sz="0" w:space="0" w:color="auto"/>
        <w:bottom w:val="none" w:sz="0" w:space="0" w:color="auto"/>
        <w:right w:val="none" w:sz="0" w:space="0" w:color="auto"/>
      </w:divBdr>
    </w:div>
    <w:div w:id="494079441">
      <w:bodyDiv w:val="1"/>
      <w:marLeft w:val="0"/>
      <w:marRight w:val="0"/>
      <w:marTop w:val="0"/>
      <w:marBottom w:val="0"/>
      <w:divBdr>
        <w:top w:val="none" w:sz="0" w:space="0" w:color="auto"/>
        <w:left w:val="none" w:sz="0" w:space="0" w:color="auto"/>
        <w:bottom w:val="none" w:sz="0" w:space="0" w:color="auto"/>
        <w:right w:val="none" w:sz="0" w:space="0" w:color="auto"/>
      </w:divBdr>
    </w:div>
    <w:div w:id="495070746">
      <w:bodyDiv w:val="1"/>
      <w:marLeft w:val="0"/>
      <w:marRight w:val="0"/>
      <w:marTop w:val="0"/>
      <w:marBottom w:val="0"/>
      <w:divBdr>
        <w:top w:val="none" w:sz="0" w:space="0" w:color="auto"/>
        <w:left w:val="none" w:sz="0" w:space="0" w:color="auto"/>
        <w:bottom w:val="none" w:sz="0" w:space="0" w:color="auto"/>
        <w:right w:val="none" w:sz="0" w:space="0" w:color="auto"/>
      </w:divBdr>
    </w:div>
    <w:div w:id="499199390">
      <w:bodyDiv w:val="1"/>
      <w:marLeft w:val="0"/>
      <w:marRight w:val="0"/>
      <w:marTop w:val="0"/>
      <w:marBottom w:val="0"/>
      <w:divBdr>
        <w:top w:val="none" w:sz="0" w:space="0" w:color="auto"/>
        <w:left w:val="none" w:sz="0" w:space="0" w:color="auto"/>
        <w:bottom w:val="none" w:sz="0" w:space="0" w:color="auto"/>
        <w:right w:val="none" w:sz="0" w:space="0" w:color="auto"/>
      </w:divBdr>
    </w:div>
    <w:div w:id="511147496">
      <w:bodyDiv w:val="1"/>
      <w:marLeft w:val="0"/>
      <w:marRight w:val="0"/>
      <w:marTop w:val="0"/>
      <w:marBottom w:val="0"/>
      <w:divBdr>
        <w:top w:val="none" w:sz="0" w:space="0" w:color="auto"/>
        <w:left w:val="none" w:sz="0" w:space="0" w:color="auto"/>
        <w:bottom w:val="none" w:sz="0" w:space="0" w:color="auto"/>
        <w:right w:val="none" w:sz="0" w:space="0" w:color="auto"/>
      </w:divBdr>
    </w:div>
    <w:div w:id="579097931">
      <w:bodyDiv w:val="1"/>
      <w:marLeft w:val="0"/>
      <w:marRight w:val="0"/>
      <w:marTop w:val="0"/>
      <w:marBottom w:val="0"/>
      <w:divBdr>
        <w:top w:val="none" w:sz="0" w:space="0" w:color="auto"/>
        <w:left w:val="none" w:sz="0" w:space="0" w:color="auto"/>
        <w:bottom w:val="none" w:sz="0" w:space="0" w:color="auto"/>
        <w:right w:val="none" w:sz="0" w:space="0" w:color="auto"/>
      </w:divBdr>
    </w:div>
    <w:div w:id="593052805">
      <w:bodyDiv w:val="1"/>
      <w:marLeft w:val="0"/>
      <w:marRight w:val="0"/>
      <w:marTop w:val="0"/>
      <w:marBottom w:val="0"/>
      <w:divBdr>
        <w:top w:val="none" w:sz="0" w:space="0" w:color="auto"/>
        <w:left w:val="none" w:sz="0" w:space="0" w:color="auto"/>
        <w:bottom w:val="none" w:sz="0" w:space="0" w:color="auto"/>
        <w:right w:val="none" w:sz="0" w:space="0" w:color="auto"/>
      </w:divBdr>
    </w:div>
    <w:div w:id="603028934">
      <w:bodyDiv w:val="1"/>
      <w:marLeft w:val="0"/>
      <w:marRight w:val="0"/>
      <w:marTop w:val="0"/>
      <w:marBottom w:val="0"/>
      <w:divBdr>
        <w:top w:val="none" w:sz="0" w:space="0" w:color="auto"/>
        <w:left w:val="none" w:sz="0" w:space="0" w:color="auto"/>
        <w:bottom w:val="none" w:sz="0" w:space="0" w:color="auto"/>
        <w:right w:val="none" w:sz="0" w:space="0" w:color="auto"/>
      </w:divBdr>
    </w:div>
    <w:div w:id="622688433">
      <w:bodyDiv w:val="1"/>
      <w:marLeft w:val="0"/>
      <w:marRight w:val="0"/>
      <w:marTop w:val="0"/>
      <w:marBottom w:val="0"/>
      <w:divBdr>
        <w:top w:val="none" w:sz="0" w:space="0" w:color="auto"/>
        <w:left w:val="none" w:sz="0" w:space="0" w:color="auto"/>
        <w:bottom w:val="none" w:sz="0" w:space="0" w:color="auto"/>
        <w:right w:val="none" w:sz="0" w:space="0" w:color="auto"/>
      </w:divBdr>
    </w:div>
    <w:div w:id="631446983">
      <w:bodyDiv w:val="1"/>
      <w:marLeft w:val="0"/>
      <w:marRight w:val="0"/>
      <w:marTop w:val="0"/>
      <w:marBottom w:val="0"/>
      <w:divBdr>
        <w:top w:val="none" w:sz="0" w:space="0" w:color="auto"/>
        <w:left w:val="none" w:sz="0" w:space="0" w:color="auto"/>
        <w:bottom w:val="none" w:sz="0" w:space="0" w:color="auto"/>
        <w:right w:val="none" w:sz="0" w:space="0" w:color="auto"/>
      </w:divBdr>
    </w:div>
    <w:div w:id="639505731">
      <w:bodyDiv w:val="1"/>
      <w:marLeft w:val="0"/>
      <w:marRight w:val="0"/>
      <w:marTop w:val="0"/>
      <w:marBottom w:val="0"/>
      <w:divBdr>
        <w:top w:val="none" w:sz="0" w:space="0" w:color="auto"/>
        <w:left w:val="none" w:sz="0" w:space="0" w:color="auto"/>
        <w:bottom w:val="none" w:sz="0" w:space="0" w:color="auto"/>
        <w:right w:val="none" w:sz="0" w:space="0" w:color="auto"/>
      </w:divBdr>
    </w:div>
    <w:div w:id="649671373">
      <w:bodyDiv w:val="1"/>
      <w:marLeft w:val="0"/>
      <w:marRight w:val="0"/>
      <w:marTop w:val="0"/>
      <w:marBottom w:val="0"/>
      <w:divBdr>
        <w:top w:val="none" w:sz="0" w:space="0" w:color="auto"/>
        <w:left w:val="none" w:sz="0" w:space="0" w:color="auto"/>
        <w:bottom w:val="none" w:sz="0" w:space="0" w:color="auto"/>
        <w:right w:val="none" w:sz="0" w:space="0" w:color="auto"/>
      </w:divBdr>
    </w:div>
    <w:div w:id="651838741">
      <w:bodyDiv w:val="1"/>
      <w:marLeft w:val="0"/>
      <w:marRight w:val="0"/>
      <w:marTop w:val="0"/>
      <w:marBottom w:val="0"/>
      <w:divBdr>
        <w:top w:val="none" w:sz="0" w:space="0" w:color="auto"/>
        <w:left w:val="none" w:sz="0" w:space="0" w:color="auto"/>
        <w:bottom w:val="none" w:sz="0" w:space="0" w:color="auto"/>
        <w:right w:val="none" w:sz="0" w:space="0" w:color="auto"/>
      </w:divBdr>
    </w:div>
    <w:div w:id="660617184">
      <w:bodyDiv w:val="1"/>
      <w:marLeft w:val="0"/>
      <w:marRight w:val="0"/>
      <w:marTop w:val="0"/>
      <w:marBottom w:val="0"/>
      <w:divBdr>
        <w:top w:val="none" w:sz="0" w:space="0" w:color="auto"/>
        <w:left w:val="none" w:sz="0" w:space="0" w:color="auto"/>
        <w:bottom w:val="none" w:sz="0" w:space="0" w:color="auto"/>
        <w:right w:val="none" w:sz="0" w:space="0" w:color="auto"/>
      </w:divBdr>
    </w:div>
    <w:div w:id="676617020">
      <w:bodyDiv w:val="1"/>
      <w:marLeft w:val="0"/>
      <w:marRight w:val="0"/>
      <w:marTop w:val="0"/>
      <w:marBottom w:val="0"/>
      <w:divBdr>
        <w:top w:val="none" w:sz="0" w:space="0" w:color="auto"/>
        <w:left w:val="none" w:sz="0" w:space="0" w:color="auto"/>
        <w:bottom w:val="none" w:sz="0" w:space="0" w:color="auto"/>
        <w:right w:val="none" w:sz="0" w:space="0" w:color="auto"/>
      </w:divBdr>
    </w:div>
    <w:div w:id="684599867">
      <w:bodyDiv w:val="1"/>
      <w:marLeft w:val="0"/>
      <w:marRight w:val="0"/>
      <w:marTop w:val="0"/>
      <w:marBottom w:val="0"/>
      <w:divBdr>
        <w:top w:val="none" w:sz="0" w:space="0" w:color="auto"/>
        <w:left w:val="none" w:sz="0" w:space="0" w:color="auto"/>
        <w:bottom w:val="none" w:sz="0" w:space="0" w:color="auto"/>
        <w:right w:val="none" w:sz="0" w:space="0" w:color="auto"/>
      </w:divBdr>
    </w:div>
    <w:div w:id="688409599">
      <w:bodyDiv w:val="1"/>
      <w:marLeft w:val="0"/>
      <w:marRight w:val="0"/>
      <w:marTop w:val="0"/>
      <w:marBottom w:val="0"/>
      <w:divBdr>
        <w:top w:val="none" w:sz="0" w:space="0" w:color="auto"/>
        <w:left w:val="none" w:sz="0" w:space="0" w:color="auto"/>
        <w:bottom w:val="none" w:sz="0" w:space="0" w:color="auto"/>
        <w:right w:val="none" w:sz="0" w:space="0" w:color="auto"/>
      </w:divBdr>
    </w:div>
    <w:div w:id="693380975">
      <w:bodyDiv w:val="1"/>
      <w:marLeft w:val="0"/>
      <w:marRight w:val="0"/>
      <w:marTop w:val="0"/>
      <w:marBottom w:val="0"/>
      <w:divBdr>
        <w:top w:val="none" w:sz="0" w:space="0" w:color="auto"/>
        <w:left w:val="none" w:sz="0" w:space="0" w:color="auto"/>
        <w:bottom w:val="none" w:sz="0" w:space="0" w:color="auto"/>
        <w:right w:val="none" w:sz="0" w:space="0" w:color="auto"/>
      </w:divBdr>
    </w:div>
    <w:div w:id="721516832">
      <w:bodyDiv w:val="1"/>
      <w:marLeft w:val="0"/>
      <w:marRight w:val="0"/>
      <w:marTop w:val="0"/>
      <w:marBottom w:val="0"/>
      <w:divBdr>
        <w:top w:val="none" w:sz="0" w:space="0" w:color="auto"/>
        <w:left w:val="none" w:sz="0" w:space="0" w:color="auto"/>
        <w:bottom w:val="none" w:sz="0" w:space="0" w:color="auto"/>
        <w:right w:val="none" w:sz="0" w:space="0" w:color="auto"/>
      </w:divBdr>
    </w:div>
    <w:div w:id="727071069">
      <w:bodyDiv w:val="1"/>
      <w:marLeft w:val="0"/>
      <w:marRight w:val="0"/>
      <w:marTop w:val="0"/>
      <w:marBottom w:val="0"/>
      <w:divBdr>
        <w:top w:val="none" w:sz="0" w:space="0" w:color="auto"/>
        <w:left w:val="none" w:sz="0" w:space="0" w:color="auto"/>
        <w:bottom w:val="none" w:sz="0" w:space="0" w:color="auto"/>
        <w:right w:val="none" w:sz="0" w:space="0" w:color="auto"/>
      </w:divBdr>
    </w:div>
    <w:div w:id="754329264">
      <w:bodyDiv w:val="1"/>
      <w:marLeft w:val="0"/>
      <w:marRight w:val="0"/>
      <w:marTop w:val="0"/>
      <w:marBottom w:val="0"/>
      <w:divBdr>
        <w:top w:val="none" w:sz="0" w:space="0" w:color="auto"/>
        <w:left w:val="none" w:sz="0" w:space="0" w:color="auto"/>
        <w:bottom w:val="none" w:sz="0" w:space="0" w:color="auto"/>
        <w:right w:val="none" w:sz="0" w:space="0" w:color="auto"/>
      </w:divBdr>
    </w:div>
    <w:div w:id="767777696">
      <w:bodyDiv w:val="1"/>
      <w:marLeft w:val="0"/>
      <w:marRight w:val="0"/>
      <w:marTop w:val="0"/>
      <w:marBottom w:val="0"/>
      <w:divBdr>
        <w:top w:val="none" w:sz="0" w:space="0" w:color="auto"/>
        <w:left w:val="none" w:sz="0" w:space="0" w:color="auto"/>
        <w:bottom w:val="none" w:sz="0" w:space="0" w:color="auto"/>
        <w:right w:val="none" w:sz="0" w:space="0" w:color="auto"/>
      </w:divBdr>
    </w:div>
    <w:div w:id="801193431">
      <w:bodyDiv w:val="1"/>
      <w:marLeft w:val="0"/>
      <w:marRight w:val="0"/>
      <w:marTop w:val="0"/>
      <w:marBottom w:val="0"/>
      <w:divBdr>
        <w:top w:val="none" w:sz="0" w:space="0" w:color="auto"/>
        <w:left w:val="none" w:sz="0" w:space="0" w:color="auto"/>
        <w:bottom w:val="none" w:sz="0" w:space="0" w:color="auto"/>
        <w:right w:val="none" w:sz="0" w:space="0" w:color="auto"/>
      </w:divBdr>
    </w:div>
    <w:div w:id="842865446">
      <w:bodyDiv w:val="1"/>
      <w:marLeft w:val="0"/>
      <w:marRight w:val="0"/>
      <w:marTop w:val="0"/>
      <w:marBottom w:val="0"/>
      <w:divBdr>
        <w:top w:val="none" w:sz="0" w:space="0" w:color="auto"/>
        <w:left w:val="none" w:sz="0" w:space="0" w:color="auto"/>
        <w:bottom w:val="none" w:sz="0" w:space="0" w:color="auto"/>
        <w:right w:val="none" w:sz="0" w:space="0" w:color="auto"/>
      </w:divBdr>
    </w:div>
    <w:div w:id="852844546">
      <w:bodyDiv w:val="1"/>
      <w:marLeft w:val="0"/>
      <w:marRight w:val="0"/>
      <w:marTop w:val="0"/>
      <w:marBottom w:val="0"/>
      <w:divBdr>
        <w:top w:val="none" w:sz="0" w:space="0" w:color="auto"/>
        <w:left w:val="none" w:sz="0" w:space="0" w:color="auto"/>
        <w:bottom w:val="none" w:sz="0" w:space="0" w:color="auto"/>
        <w:right w:val="none" w:sz="0" w:space="0" w:color="auto"/>
      </w:divBdr>
    </w:div>
    <w:div w:id="853687615">
      <w:bodyDiv w:val="1"/>
      <w:marLeft w:val="0"/>
      <w:marRight w:val="0"/>
      <w:marTop w:val="0"/>
      <w:marBottom w:val="0"/>
      <w:divBdr>
        <w:top w:val="none" w:sz="0" w:space="0" w:color="auto"/>
        <w:left w:val="none" w:sz="0" w:space="0" w:color="auto"/>
        <w:bottom w:val="none" w:sz="0" w:space="0" w:color="auto"/>
        <w:right w:val="none" w:sz="0" w:space="0" w:color="auto"/>
      </w:divBdr>
    </w:div>
    <w:div w:id="861939019">
      <w:bodyDiv w:val="1"/>
      <w:marLeft w:val="0"/>
      <w:marRight w:val="0"/>
      <w:marTop w:val="0"/>
      <w:marBottom w:val="0"/>
      <w:divBdr>
        <w:top w:val="none" w:sz="0" w:space="0" w:color="auto"/>
        <w:left w:val="none" w:sz="0" w:space="0" w:color="auto"/>
        <w:bottom w:val="none" w:sz="0" w:space="0" w:color="auto"/>
        <w:right w:val="none" w:sz="0" w:space="0" w:color="auto"/>
      </w:divBdr>
    </w:div>
    <w:div w:id="862594530">
      <w:bodyDiv w:val="1"/>
      <w:marLeft w:val="0"/>
      <w:marRight w:val="0"/>
      <w:marTop w:val="0"/>
      <w:marBottom w:val="0"/>
      <w:divBdr>
        <w:top w:val="none" w:sz="0" w:space="0" w:color="auto"/>
        <w:left w:val="none" w:sz="0" w:space="0" w:color="auto"/>
        <w:bottom w:val="none" w:sz="0" w:space="0" w:color="auto"/>
        <w:right w:val="none" w:sz="0" w:space="0" w:color="auto"/>
      </w:divBdr>
    </w:div>
    <w:div w:id="878005332">
      <w:bodyDiv w:val="1"/>
      <w:marLeft w:val="0"/>
      <w:marRight w:val="0"/>
      <w:marTop w:val="0"/>
      <w:marBottom w:val="0"/>
      <w:divBdr>
        <w:top w:val="none" w:sz="0" w:space="0" w:color="auto"/>
        <w:left w:val="none" w:sz="0" w:space="0" w:color="auto"/>
        <w:bottom w:val="none" w:sz="0" w:space="0" w:color="auto"/>
        <w:right w:val="none" w:sz="0" w:space="0" w:color="auto"/>
      </w:divBdr>
    </w:div>
    <w:div w:id="903485924">
      <w:bodyDiv w:val="1"/>
      <w:marLeft w:val="0"/>
      <w:marRight w:val="0"/>
      <w:marTop w:val="0"/>
      <w:marBottom w:val="0"/>
      <w:divBdr>
        <w:top w:val="none" w:sz="0" w:space="0" w:color="auto"/>
        <w:left w:val="none" w:sz="0" w:space="0" w:color="auto"/>
        <w:bottom w:val="none" w:sz="0" w:space="0" w:color="auto"/>
        <w:right w:val="none" w:sz="0" w:space="0" w:color="auto"/>
      </w:divBdr>
    </w:div>
    <w:div w:id="907764462">
      <w:bodyDiv w:val="1"/>
      <w:marLeft w:val="0"/>
      <w:marRight w:val="0"/>
      <w:marTop w:val="0"/>
      <w:marBottom w:val="0"/>
      <w:divBdr>
        <w:top w:val="none" w:sz="0" w:space="0" w:color="auto"/>
        <w:left w:val="none" w:sz="0" w:space="0" w:color="auto"/>
        <w:bottom w:val="none" w:sz="0" w:space="0" w:color="auto"/>
        <w:right w:val="none" w:sz="0" w:space="0" w:color="auto"/>
      </w:divBdr>
    </w:div>
    <w:div w:id="914700440">
      <w:bodyDiv w:val="1"/>
      <w:marLeft w:val="0"/>
      <w:marRight w:val="0"/>
      <w:marTop w:val="0"/>
      <w:marBottom w:val="0"/>
      <w:divBdr>
        <w:top w:val="none" w:sz="0" w:space="0" w:color="auto"/>
        <w:left w:val="none" w:sz="0" w:space="0" w:color="auto"/>
        <w:bottom w:val="none" w:sz="0" w:space="0" w:color="auto"/>
        <w:right w:val="none" w:sz="0" w:space="0" w:color="auto"/>
      </w:divBdr>
    </w:div>
    <w:div w:id="925698848">
      <w:bodyDiv w:val="1"/>
      <w:marLeft w:val="0"/>
      <w:marRight w:val="0"/>
      <w:marTop w:val="0"/>
      <w:marBottom w:val="0"/>
      <w:divBdr>
        <w:top w:val="none" w:sz="0" w:space="0" w:color="auto"/>
        <w:left w:val="none" w:sz="0" w:space="0" w:color="auto"/>
        <w:bottom w:val="none" w:sz="0" w:space="0" w:color="auto"/>
        <w:right w:val="none" w:sz="0" w:space="0" w:color="auto"/>
      </w:divBdr>
    </w:div>
    <w:div w:id="965504983">
      <w:bodyDiv w:val="1"/>
      <w:marLeft w:val="0"/>
      <w:marRight w:val="0"/>
      <w:marTop w:val="0"/>
      <w:marBottom w:val="0"/>
      <w:divBdr>
        <w:top w:val="none" w:sz="0" w:space="0" w:color="auto"/>
        <w:left w:val="none" w:sz="0" w:space="0" w:color="auto"/>
        <w:bottom w:val="none" w:sz="0" w:space="0" w:color="auto"/>
        <w:right w:val="none" w:sz="0" w:space="0" w:color="auto"/>
      </w:divBdr>
    </w:div>
    <w:div w:id="965887408">
      <w:bodyDiv w:val="1"/>
      <w:marLeft w:val="0"/>
      <w:marRight w:val="0"/>
      <w:marTop w:val="0"/>
      <w:marBottom w:val="0"/>
      <w:divBdr>
        <w:top w:val="none" w:sz="0" w:space="0" w:color="auto"/>
        <w:left w:val="none" w:sz="0" w:space="0" w:color="auto"/>
        <w:bottom w:val="none" w:sz="0" w:space="0" w:color="auto"/>
        <w:right w:val="none" w:sz="0" w:space="0" w:color="auto"/>
      </w:divBdr>
    </w:div>
    <w:div w:id="977884093">
      <w:bodyDiv w:val="1"/>
      <w:marLeft w:val="0"/>
      <w:marRight w:val="0"/>
      <w:marTop w:val="0"/>
      <w:marBottom w:val="0"/>
      <w:divBdr>
        <w:top w:val="none" w:sz="0" w:space="0" w:color="auto"/>
        <w:left w:val="none" w:sz="0" w:space="0" w:color="auto"/>
        <w:bottom w:val="none" w:sz="0" w:space="0" w:color="auto"/>
        <w:right w:val="none" w:sz="0" w:space="0" w:color="auto"/>
      </w:divBdr>
    </w:div>
    <w:div w:id="980157117">
      <w:bodyDiv w:val="1"/>
      <w:marLeft w:val="0"/>
      <w:marRight w:val="0"/>
      <w:marTop w:val="0"/>
      <w:marBottom w:val="0"/>
      <w:divBdr>
        <w:top w:val="none" w:sz="0" w:space="0" w:color="auto"/>
        <w:left w:val="none" w:sz="0" w:space="0" w:color="auto"/>
        <w:bottom w:val="none" w:sz="0" w:space="0" w:color="auto"/>
        <w:right w:val="none" w:sz="0" w:space="0" w:color="auto"/>
      </w:divBdr>
    </w:div>
    <w:div w:id="987586420">
      <w:bodyDiv w:val="1"/>
      <w:marLeft w:val="0"/>
      <w:marRight w:val="0"/>
      <w:marTop w:val="0"/>
      <w:marBottom w:val="0"/>
      <w:divBdr>
        <w:top w:val="none" w:sz="0" w:space="0" w:color="auto"/>
        <w:left w:val="none" w:sz="0" w:space="0" w:color="auto"/>
        <w:bottom w:val="none" w:sz="0" w:space="0" w:color="auto"/>
        <w:right w:val="none" w:sz="0" w:space="0" w:color="auto"/>
      </w:divBdr>
    </w:div>
    <w:div w:id="1009021216">
      <w:bodyDiv w:val="1"/>
      <w:marLeft w:val="0"/>
      <w:marRight w:val="0"/>
      <w:marTop w:val="0"/>
      <w:marBottom w:val="0"/>
      <w:divBdr>
        <w:top w:val="none" w:sz="0" w:space="0" w:color="auto"/>
        <w:left w:val="none" w:sz="0" w:space="0" w:color="auto"/>
        <w:bottom w:val="none" w:sz="0" w:space="0" w:color="auto"/>
        <w:right w:val="none" w:sz="0" w:space="0" w:color="auto"/>
      </w:divBdr>
    </w:div>
    <w:div w:id="1016536397">
      <w:bodyDiv w:val="1"/>
      <w:marLeft w:val="0"/>
      <w:marRight w:val="0"/>
      <w:marTop w:val="0"/>
      <w:marBottom w:val="0"/>
      <w:divBdr>
        <w:top w:val="none" w:sz="0" w:space="0" w:color="auto"/>
        <w:left w:val="none" w:sz="0" w:space="0" w:color="auto"/>
        <w:bottom w:val="none" w:sz="0" w:space="0" w:color="auto"/>
        <w:right w:val="none" w:sz="0" w:space="0" w:color="auto"/>
      </w:divBdr>
    </w:div>
    <w:div w:id="1030179746">
      <w:bodyDiv w:val="1"/>
      <w:marLeft w:val="0"/>
      <w:marRight w:val="0"/>
      <w:marTop w:val="0"/>
      <w:marBottom w:val="0"/>
      <w:divBdr>
        <w:top w:val="none" w:sz="0" w:space="0" w:color="auto"/>
        <w:left w:val="none" w:sz="0" w:space="0" w:color="auto"/>
        <w:bottom w:val="none" w:sz="0" w:space="0" w:color="auto"/>
        <w:right w:val="none" w:sz="0" w:space="0" w:color="auto"/>
      </w:divBdr>
    </w:div>
    <w:div w:id="1044207815">
      <w:bodyDiv w:val="1"/>
      <w:marLeft w:val="0"/>
      <w:marRight w:val="0"/>
      <w:marTop w:val="0"/>
      <w:marBottom w:val="0"/>
      <w:divBdr>
        <w:top w:val="none" w:sz="0" w:space="0" w:color="auto"/>
        <w:left w:val="none" w:sz="0" w:space="0" w:color="auto"/>
        <w:bottom w:val="none" w:sz="0" w:space="0" w:color="auto"/>
        <w:right w:val="none" w:sz="0" w:space="0" w:color="auto"/>
      </w:divBdr>
    </w:div>
    <w:div w:id="1050496482">
      <w:bodyDiv w:val="1"/>
      <w:marLeft w:val="0"/>
      <w:marRight w:val="0"/>
      <w:marTop w:val="0"/>
      <w:marBottom w:val="0"/>
      <w:divBdr>
        <w:top w:val="none" w:sz="0" w:space="0" w:color="auto"/>
        <w:left w:val="none" w:sz="0" w:space="0" w:color="auto"/>
        <w:bottom w:val="none" w:sz="0" w:space="0" w:color="auto"/>
        <w:right w:val="none" w:sz="0" w:space="0" w:color="auto"/>
      </w:divBdr>
    </w:div>
    <w:div w:id="1060372893">
      <w:bodyDiv w:val="1"/>
      <w:marLeft w:val="0"/>
      <w:marRight w:val="0"/>
      <w:marTop w:val="0"/>
      <w:marBottom w:val="0"/>
      <w:divBdr>
        <w:top w:val="none" w:sz="0" w:space="0" w:color="auto"/>
        <w:left w:val="none" w:sz="0" w:space="0" w:color="auto"/>
        <w:bottom w:val="none" w:sz="0" w:space="0" w:color="auto"/>
        <w:right w:val="none" w:sz="0" w:space="0" w:color="auto"/>
      </w:divBdr>
    </w:div>
    <w:div w:id="1063218886">
      <w:bodyDiv w:val="1"/>
      <w:marLeft w:val="0"/>
      <w:marRight w:val="0"/>
      <w:marTop w:val="0"/>
      <w:marBottom w:val="0"/>
      <w:divBdr>
        <w:top w:val="none" w:sz="0" w:space="0" w:color="auto"/>
        <w:left w:val="none" w:sz="0" w:space="0" w:color="auto"/>
        <w:bottom w:val="none" w:sz="0" w:space="0" w:color="auto"/>
        <w:right w:val="none" w:sz="0" w:space="0" w:color="auto"/>
      </w:divBdr>
    </w:div>
    <w:div w:id="1074008381">
      <w:bodyDiv w:val="1"/>
      <w:marLeft w:val="0"/>
      <w:marRight w:val="0"/>
      <w:marTop w:val="0"/>
      <w:marBottom w:val="0"/>
      <w:divBdr>
        <w:top w:val="none" w:sz="0" w:space="0" w:color="auto"/>
        <w:left w:val="none" w:sz="0" w:space="0" w:color="auto"/>
        <w:bottom w:val="none" w:sz="0" w:space="0" w:color="auto"/>
        <w:right w:val="none" w:sz="0" w:space="0" w:color="auto"/>
      </w:divBdr>
    </w:div>
    <w:div w:id="1129933027">
      <w:bodyDiv w:val="1"/>
      <w:marLeft w:val="0"/>
      <w:marRight w:val="0"/>
      <w:marTop w:val="0"/>
      <w:marBottom w:val="0"/>
      <w:divBdr>
        <w:top w:val="none" w:sz="0" w:space="0" w:color="auto"/>
        <w:left w:val="none" w:sz="0" w:space="0" w:color="auto"/>
        <w:bottom w:val="none" w:sz="0" w:space="0" w:color="auto"/>
        <w:right w:val="none" w:sz="0" w:space="0" w:color="auto"/>
      </w:divBdr>
    </w:div>
    <w:div w:id="1132945943">
      <w:marLeft w:val="0"/>
      <w:marRight w:val="0"/>
      <w:marTop w:val="0"/>
      <w:marBottom w:val="0"/>
      <w:divBdr>
        <w:top w:val="none" w:sz="0" w:space="0" w:color="auto"/>
        <w:left w:val="none" w:sz="0" w:space="0" w:color="auto"/>
        <w:bottom w:val="none" w:sz="0" w:space="0" w:color="auto"/>
        <w:right w:val="none" w:sz="0" w:space="0" w:color="auto"/>
      </w:divBdr>
    </w:div>
    <w:div w:id="1132945944">
      <w:marLeft w:val="0"/>
      <w:marRight w:val="0"/>
      <w:marTop w:val="0"/>
      <w:marBottom w:val="0"/>
      <w:divBdr>
        <w:top w:val="none" w:sz="0" w:space="0" w:color="auto"/>
        <w:left w:val="none" w:sz="0" w:space="0" w:color="auto"/>
        <w:bottom w:val="none" w:sz="0" w:space="0" w:color="auto"/>
        <w:right w:val="none" w:sz="0" w:space="0" w:color="auto"/>
      </w:divBdr>
    </w:div>
    <w:div w:id="1132945945">
      <w:marLeft w:val="0"/>
      <w:marRight w:val="0"/>
      <w:marTop w:val="0"/>
      <w:marBottom w:val="0"/>
      <w:divBdr>
        <w:top w:val="none" w:sz="0" w:space="0" w:color="auto"/>
        <w:left w:val="none" w:sz="0" w:space="0" w:color="auto"/>
        <w:bottom w:val="none" w:sz="0" w:space="0" w:color="auto"/>
        <w:right w:val="none" w:sz="0" w:space="0" w:color="auto"/>
      </w:divBdr>
    </w:div>
    <w:div w:id="1132945946">
      <w:marLeft w:val="0"/>
      <w:marRight w:val="0"/>
      <w:marTop w:val="0"/>
      <w:marBottom w:val="0"/>
      <w:divBdr>
        <w:top w:val="none" w:sz="0" w:space="0" w:color="auto"/>
        <w:left w:val="none" w:sz="0" w:space="0" w:color="auto"/>
        <w:bottom w:val="none" w:sz="0" w:space="0" w:color="auto"/>
        <w:right w:val="none" w:sz="0" w:space="0" w:color="auto"/>
      </w:divBdr>
    </w:div>
    <w:div w:id="1132945947">
      <w:marLeft w:val="0"/>
      <w:marRight w:val="0"/>
      <w:marTop w:val="0"/>
      <w:marBottom w:val="0"/>
      <w:divBdr>
        <w:top w:val="none" w:sz="0" w:space="0" w:color="auto"/>
        <w:left w:val="none" w:sz="0" w:space="0" w:color="auto"/>
        <w:bottom w:val="none" w:sz="0" w:space="0" w:color="auto"/>
        <w:right w:val="none" w:sz="0" w:space="0" w:color="auto"/>
      </w:divBdr>
    </w:div>
    <w:div w:id="1132945948">
      <w:marLeft w:val="0"/>
      <w:marRight w:val="0"/>
      <w:marTop w:val="0"/>
      <w:marBottom w:val="0"/>
      <w:divBdr>
        <w:top w:val="none" w:sz="0" w:space="0" w:color="auto"/>
        <w:left w:val="none" w:sz="0" w:space="0" w:color="auto"/>
        <w:bottom w:val="none" w:sz="0" w:space="0" w:color="auto"/>
        <w:right w:val="none" w:sz="0" w:space="0" w:color="auto"/>
      </w:divBdr>
    </w:div>
    <w:div w:id="1132945949">
      <w:marLeft w:val="0"/>
      <w:marRight w:val="0"/>
      <w:marTop w:val="0"/>
      <w:marBottom w:val="0"/>
      <w:divBdr>
        <w:top w:val="none" w:sz="0" w:space="0" w:color="auto"/>
        <w:left w:val="none" w:sz="0" w:space="0" w:color="auto"/>
        <w:bottom w:val="none" w:sz="0" w:space="0" w:color="auto"/>
        <w:right w:val="none" w:sz="0" w:space="0" w:color="auto"/>
      </w:divBdr>
    </w:div>
    <w:div w:id="1132945950">
      <w:marLeft w:val="0"/>
      <w:marRight w:val="0"/>
      <w:marTop w:val="0"/>
      <w:marBottom w:val="0"/>
      <w:divBdr>
        <w:top w:val="none" w:sz="0" w:space="0" w:color="auto"/>
        <w:left w:val="none" w:sz="0" w:space="0" w:color="auto"/>
        <w:bottom w:val="none" w:sz="0" w:space="0" w:color="auto"/>
        <w:right w:val="none" w:sz="0" w:space="0" w:color="auto"/>
      </w:divBdr>
    </w:div>
    <w:div w:id="1132945951">
      <w:marLeft w:val="0"/>
      <w:marRight w:val="0"/>
      <w:marTop w:val="0"/>
      <w:marBottom w:val="0"/>
      <w:divBdr>
        <w:top w:val="none" w:sz="0" w:space="0" w:color="auto"/>
        <w:left w:val="none" w:sz="0" w:space="0" w:color="auto"/>
        <w:bottom w:val="none" w:sz="0" w:space="0" w:color="auto"/>
        <w:right w:val="none" w:sz="0" w:space="0" w:color="auto"/>
      </w:divBdr>
    </w:div>
    <w:div w:id="1132945952">
      <w:marLeft w:val="0"/>
      <w:marRight w:val="0"/>
      <w:marTop w:val="0"/>
      <w:marBottom w:val="0"/>
      <w:divBdr>
        <w:top w:val="none" w:sz="0" w:space="0" w:color="auto"/>
        <w:left w:val="none" w:sz="0" w:space="0" w:color="auto"/>
        <w:bottom w:val="none" w:sz="0" w:space="0" w:color="auto"/>
        <w:right w:val="none" w:sz="0" w:space="0" w:color="auto"/>
      </w:divBdr>
    </w:div>
    <w:div w:id="1132945953">
      <w:marLeft w:val="0"/>
      <w:marRight w:val="0"/>
      <w:marTop w:val="0"/>
      <w:marBottom w:val="0"/>
      <w:divBdr>
        <w:top w:val="none" w:sz="0" w:space="0" w:color="auto"/>
        <w:left w:val="none" w:sz="0" w:space="0" w:color="auto"/>
        <w:bottom w:val="none" w:sz="0" w:space="0" w:color="auto"/>
        <w:right w:val="none" w:sz="0" w:space="0" w:color="auto"/>
      </w:divBdr>
    </w:div>
    <w:div w:id="1132945955">
      <w:marLeft w:val="150"/>
      <w:marRight w:val="150"/>
      <w:marTop w:val="225"/>
      <w:marBottom w:val="150"/>
      <w:divBdr>
        <w:top w:val="none" w:sz="0" w:space="0" w:color="auto"/>
        <w:left w:val="none" w:sz="0" w:space="0" w:color="auto"/>
        <w:bottom w:val="none" w:sz="0" w:space="0" w:color="auto"/>
        <w:right w:val="none" w:sz="0" w:space="0" w:color="auto"/>
      </w:divBdr>
      <w:divsChild>
        <w:div w:id="1132945977">
          <w:marLeft w:val="0"/>
          <w:marRight w:val="0"/>
          <w:marTop w:val="0"/>
          <w:marBottom w:val="0"/>
          <w:divBdr>
            <w:top w:val="none" w:sz="0" w:space="0" w:color="auto"/>
            <w:left w:val="none" w:sz="0" w:space="0" w:color="auto"/>
            <w:bottom w:val="none" w:sz="0" w:space="0" w:color="auto"/>
            <w:right w:val="none" w:sz="0" w:space="0" w:color="auto"/>
          </w:divBdr>
          <w:divsChild>
            <w:div w:id="1132946018">
              <w:marLeft w:val="0"/>
              <w:marRight w:val="0"/>
              <w:marTop w:val="0"/>
              <w:marBottom w:val="0"/>
              <w:divBdr>
                <w:top w:val="none" w:sz="0" w:space="0" w:color="auto"/>
                <w:left w:val="none" w:sz="0" w:space="0" w:color="auto"/>
                <w:bottom w:val="none" w:sz="0" w:space="0" w:color="auto"/>
                <w:right w:val="none" w:sz="0" w:space="0" w:color="auto"/>
              </w:divBdr>
              <w:divsChild>
                <w:div w:id="1132946032">
                  <w:marLeft w:val="0"/>
                  <w:marRight w:val="0"/>
                  <w:marTop w:val="300"/>
                  <w:marBottom w:val="0"/>
                  <w:divBdr>
                    <w:top w:val="none" w:sz="0" w:space="0" w:color="auto"/>
                    <w:left w:val="none" w:sz="0" w:space="0" w:color="auto"/>
                    <w:bottom w:val="none" w:sz="0" w:space="0" w:color="auto"/>
                    <w:right w:val="none" w:sz="0" w:space="0" w:color="auto"/>
                  </w:divBdr>
                  <w:divsChild>
                    <w:div w:id="1132945971">
                      <w:marLeft w:val="0"/>
                      <w:marRight w:val="390"/>
                      <w:marTop w:val="0"/>
                      <w:marBottom w:val="0"/>
                      <w:divBdr>
                        <w:top w:val="none" w:sz="0" w:space="0" w:color="auto"/>
                        <w:left w:val="none" w:sz="0" w:space="0" w:color="auto"/>
                        <w:bottom w:val="none" w:sz="0" w:space="0" w:color="auto"/>
                        <w:right w:val="none" w:sz="0" w:space="0" w:color="auto"/>
                      </w:divBdr>
                      <w:divsChild>
                        <w:div w:id="1132945954">
                          <w:marLeft w:val="0"/>
                          <w:marRight w:val="0"/>
                          <w:marTop w:val="0"/>
                          <w:marBottom w:val="0"/>
                          <w:divBdr>
                            <w:top w:val="none" w:sz="0" w:space="0" w:color="auto"/>
                            <w:left w:val="none" w:sz="0" w:space="0" w:color="auto"/>
                            <w:bottom w:val="none" w:sz="0" w:space="0" w:color="auto"/>
                            <w:right w:val="none" w:sz="0" w:space="0" w:color="auto"/>
                          </w:divBdr>
                          <w:divsChild>
                            <w:div w:id="1132945988">
                              <w:marLeft w:val="0"/>
                              <w:marRight w:val="0"/>
                              <w:marTop w:val="0"/>
                              <w:marBottom w:val="0"/>
                              <w:divBdr>
                                <w:top w:val="none" w:sz="0" w:space="0" w:color="auto"/>
                                <w:left w:val="none" w:sz="0" w:space="0" w:color="auto"/>
                                <w:bottom w:val="none" w:sz="0" w:space="0" w:color="auto"/>
                                <w:right w:val="none" w:sz="0" w:space="0" w:color="auto"/>
                              </w:divBdr>
                              <w:divsChild>
                                <w:div w:id="11329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45956">
      <w:marLeft w:val="0"/>
      <w:marRight w:val="0"/>
      <w:marTop w:val="0"/>
      <w:marBottom w:val="0"/>
      <w:divBdr>
        <w:top w:val="none" w:sz="0" w:space="0" w:color="auto"/>
        <w:left w:val="none" w:sz="0" w:space="0" w:color="auto"/>
        <w:bottom w:val="none" w:sz="0" w:space="0" w:color="auto"/>
        <w:right w:val="none" w:sz="0" w:space="0" w:color="auto"/>
      </w:divBdr>
    </w:div>
    <w:div w:id="1132945957">
      <w:marLeft w:val="0"/>
      <w:marRight w:val="0"/>
      <w:marTop w:val="0"/>
      <w:marBottom w:val="0"/>
      <w:divBdr>
        <w:top w:val="none" w:sz="0" w:space="0" w:color="auto"/>
        <w:left w:val="none" w:sz="0" w:space="0" w:color="auto"/>
        <w:bottom w:val="none" w:sz="0" w:space="0" w:color="auto"/>
        <w:right w:val="none" w:sz="0" w:space="0" w:color="auto"/>
      </w:divBdr>
    </w:div>
    <w:div w:id="1132945958">
      <w:marLeft w:val="0"/>
      <w:marRight w:val="0"/>
      <w:marTop w:val="0"/>
      <w:marBottom w:val="0"/>
      <w:divBdr>
        <w:top w:val="none" w:sz="0" w:space="0" w:color="auto"/>
        <w:left w:val="none" w:sz="0" w:space="0" w:color="auto"/>
        <w:bottom w:val="none" w:sz="0" w:space="0" w:color="auto"/>
        <w:right w:val="none" w:sz="0" w:space="0" w:color="auto"/>
      </w:divBdr>
    </w:div>
    <w:div w:id="1132945959">
      <w:marLeft w:val="0"/>
      <w:marRight w:val="0"/>
      <w:marTop w:val="0"/>
      <w:marBottom w:val="0"/>
      <w:divBdr>
        <w:top w:val="none" w:sz="0" w:space="0" w:color="auto"/>
        <w:left w:val="none" w:sz="0" w:space="0" w:color="auto"/>
        <w:bottom w:val="none" w:sz="0" w:space="0" w:color="auto"/>
        <w:right w:val="none" w:sz="0" w:space="0" w:color="auto"/>
      </w:divBdr>
    </w:div>
    <w:div w:id="1132945960">
      <w:marLeft w:val="0"/>
      <w:marRight w:val="0"/>
      <w:marTop w:val="0"/>
      <w:marBottom w:val="0"/>
      <w:divBdr>
        <w:top w:val="none" w:sz="0" w:space="0" w:color="auto"/>
        <w:left w:val="none" w:sz="0" w:space="0" w:color="auto"/>
        <w:bottom w:val="none" w:sz="0" w:space="0" w:color="auto"/>
        <w:right w:val="none" w:sz="0" w:space="0" w:color="auto"/>
      </w:divBdr>
    </w:div>
    <w:div w:id="1132945961">
      <w:marLeft w:val="0"/>
      <w:marRight w:val="0"/>
      <w:marTop w:val="0"/>
      <w:marBottom w:val="0"/>
      <w:divBdr>
        <w:top w:val="none" w:sz="0" w:space="0" w:color="auto"/>
        <w:left w:val="none" w:sz="0" w:space="0" w:color="auto"/>
        <w:bottom w:val="none" w:sz="0" w:space="0" w:color="auto"/>
        <w:right w:val="none" w:sz="0" w:space="0" w:color="auto"/>
      </w:divBdr>
    </w:div>
    <w:div w:id="1132945962">
      <w:marLeft w:val="0"/>
      <w:marRight w:val="0"/>
      <w:marTop w:val="0"/>
      <w:marBottom w:val="0"/>
      <w:divBdr>
        <w:top w:val="none" w:sz="0" w:space="0" w:color="auto"/>
        <w:left w:val="none" w:sz="0" w:space="0" w:color="auto"/>
        <w:bottom w:val="none" w:sz="0" w:space="0" w:color="auto"/>
        <w:right w:val="none" w:sz="0" w:space="0" w:color="auto"/>
      </w:divBdr>
    </w:div>
    <w:div w:id="1132945963">
      <w:marLeft w:val="0"/>
      <w:marRight w:val="0"/>
      <w:marTop w:val="0"/>
      <w:marBottom w:val="0"/>
      <w:divBdr>
        <w:top w:val="none" w:sz="0" w:space="0" w:color="auto"/>
        <w:left w:val="none" w:sz="0" w:space="0" w:color="auto"/>
        <w:bottom w:val="none" w:sz="0" w:space="0" w:color="auto"/>
        <w:right w:val="none" w:sz="0" w:space="0" w:color="auto"/>
      </w:divBdr>
    </w:div>
    <w:div w:id="1132945964">
      <w:marLeft w:val="0"/>
      <w:marRight w:val="0"/>
      <w:marTop w:val="0"/>
      <w:marBottom w:val="0"/>
      <w:divBdr>
        <w:top w:val="none" w:sz="0" w:space="0" w:color="auto"/>
        <w:left w:val="none" w:sz="0" w:space="0" w:color="auto"/>
        <w:bottom w:val="none" w:sz="0" w:space="0" w:color="auto"/>
        <w:right w:val="none" w:sz="0" w:space="0" w:color="auto"/>
      </w:divBdr>
    </w:div>
    <w:div w:id="1132945965">
      <w:marLeft w:val="0"/>
      <w:marRight w:val="0"/>
      <w:marTop w:val="0"/>
      <w:marBottom w:val="0"/>
      <w:divBdr>
        <w:top w:val="none" w:sz="0" w:space="0" w:color="auto"/>
        <w:left w:val="none" w:sz="0" w:space="0" w:color="auto"/>
        <w:bottom w:val="none" w:sz="0" w:space="0" w:color="auto"/>
        <w:right w:val="none" w:sz="0" w:space="0" w:color="auto"/>
      </w:divBdr>
    </w:div>
    <w:div w:id="1132945966">
      <w:marLeft w:val="0"/>
      <w:marRight w:val="0"/>
      <w:marTop w:val="0"/>
      <w:marBottom w:val="0"/>
      <w:divBdr>
        <w:top w:val="none" w:sz="0" w:space="0" w:color="auto"/>
        <w:left w:val="none" w:sz="0" w:space="0" w:color="auto"/>
        <w:bottom w:val="none" w:sz="0" w:space="0" w:color="auto"/>
        <w:right w:val="none" w:sz="0" w:space="0" w:color="auto"/>
      </w:divBdr>
    </w:div>
    <w:div w:id="1132945967">
      <w:marLeft w:val="0"/>
      <w:marRight w:val="0"/>
      <w:marTop w:val="0"/>
      <w:marBottom w:val="0"/>
      <w:divBdr>
        <w:top w:val="none" w:sz="0" w:space="0" w:color="auto"/>
        <w:left w:val="none" w:sz="0" w:space="0" w:color="auto"/>
        <w:bottom w:val="none" w:sz="0" w:space="0" w:color="auto"/>
        <w:right w:val="none" w:sz="0" w:space="0" w:color="auto"/>
      </w:divBdr>
    </w:div>
    <w:div w:id="1132945968">
      <w:marLeft w:val="0"/>
      <w:marRight w:val="0"/>
      <w:marTop w:val="0"/>
      <w:marBottom w:val="0"/>
      <w:divBdr>
        <w:top w:val="none" w:sz="0" w:space="0" w:color="auto"/>
        <w:left w:val="none" w:sz="0" w:space="0" w:color="auto"/>
        <w:bottom w:val="none" w:sz="0" w:space="0" w:color="auto"/>
        <w:right w:val="none" w:sz="0" w:space="0" w:color="auto"/>
      </w:divBdr>
    </w:div>
    <w:div w:id="1132945969">
      <w:marLeft w:val="0"/>
      <w:marRight w:val="0"/>
      <w:marTop w:val="0"/>
      <w:marBottom w:val="0"/>
      <w:divBdr>
        <w:top w:val="none" w:sz="0" w:space="0" w:color="auto"/>
        <w:left w:val="none" w:sz="0" w:space="0" w:color="auto"/>
        <w:bottom w:val="none" w:sz="0" w:space="0" w:color="auto"/>
        <w:right w:val="none" w:sz="0" w:space="0" w:color="auto"/>
      </w:divBdr>
    </w:div>
    <w:div w:id="1132945970">
      <w:marLeft w:val="0"/>
      <w:marRight w:val="0"/>
      <w:marTop w:val="0"/>
      <w:marBottom w:val="0"/>
      <w:divBdr>
        <w:top w:val="none" w:sz="0" w:space="0" w:color="auto"/>
        <w:left w:val="none" w:sz="0" w:space="0" w:color="auto"/>
        <w:bottom w:val="none" w:sz="0" w:space="0" w:color="auto"/>
        <w:right w:val="none" w:sz="0" w:space="0" w:color="auto"/>
      </w:divBdr>
    </w:div>
    <w:div w:id="1132945972">
      <w:marLeft w:val="0"/>
      <w:marRight w:val="0"/>
      <w:marTop w:val="0"/>
      <w:marBottom w:val="0"/>
      <w:divBdr>
        <w:top w:val="none" w:sz="0" w:space="0" w:color="auto"/>
        <w:left w:val="none" w:sz="0" w:space="0" w:color="auto"/>
        <w:bottom w:val="none" w:sz="0" w:space="0" w:color="auto"/>
        <w:right w:val="none" w:sz="0" w:space="0" w:color="auto"/>
      </w:divBdr>
    </w:div>
    <w:div w:id="1132945973">
      <w:marLeft w:val="0"/>
      <w:marRight w:val="0"/>
      <w:marTop w:val="0"/>
      <w:marBottom w:val="0"/>
      <w:divBdr>
        <w:top w:val="none" w:sz="0" w:space="0" w:color="auto"/>
        <w:left w:val="none" w:sz="0" w:space="0" w:color="auto"/>
        <w:bottom w:val="none" w:sz="0" w:space="0" w:color="auto"/>
        <w:right w:val="none" w:sz="0" w:space="0" w:color="auto"/>
      </w:divBdr>
    </w:div>
    <w:div w:id="1132945974">
      <w:marLeft w:val="0"/>
      <w:marRight w:val="0"/>
      <w:marTop w:val="0"/>
      <w:marBottom w:val="0"/>
      <w:divBdr>
        <w:top w:val="none" w:sz="0" w:space="0" w:color="auto"/>
        <w:left w:val="none" w:sz="0" w:space="0" w:color="auto"/>
        <w:bottom w:val="none" w:sz="0" w:space="0" w:color="auto"/>
        <w:right w:val="none" w:sz="0" w:space="0" w:color="auto"/>
      </w:divBdr>
    </w:div>
    <w:div w:id="1132945975">
      <w:marLeft w:val="0"/>
      <w:marRight w:val="0"/>
      <w:marTop w:val="0"/>
      <w:marBottom w:val="0"/>
      <w:divBdr>
        <w:top w:val="none" w:sz="0" w:space="0" w:color="auto"/>
        <w:left w:val="none" w:sz="0" w:space="0" w:color="auto"/>
        <w:bottom w:val="none" w:sz="0" w:space="0" w:color="auto"/>
        <w:right w:val="none" w:sz="0" w:space="0" w:color="auto"/>
      </w:divBdr>
    </w:div>
    <w:div w:id="1132945976">
      <w:marLeft w:val="0"/>
      <w:marRight w:val="0"/>
      <w:marTop w:val="0"/>
      <w:marBottom w:val="0"/>
      <w:divBdr>
        <w:top w:val="none" w:sz="0" w:space="0" w:color="auto"/>
        <w:left w:val="none" w:sz="0" w:space="0" w:color="auto"/>
        <w:bottom w:val="none" w:sz="0" w:space="0" w:color="auto"/>
        <w:right w:val="none" w:sz="0" w:space="0" w:color="auto"/>
      </w:divBdr>
    </w:div>
    <w:div w:id="1132945978">
      <w:marLeft w:val="0"/>
      <w:marRight w:val="0"/>
      <w:marTop w:val="0"/>
      <w:marBottom w:val="0"/>
      <w:divBdr>
        <w:top w:val="none" w:sz="0" w:space="0" w:color="auto"/>
        <w:left w:val="none" w:sz="0" w:space="0" w:color="auto"/>
        <w:bottom w:val="none" w:sz="0" w:space="0" w:color="auto"/>
        <w:right w:val="none" w:sz="0" w:space="0" w:color="auto"/>
      </w:divBdr>
    </w:div>
    <w:div w:id="1132945979">
      <w:marLeft w:val="0"/>
      <w:marRight w:val="0"/>
      <w:marTop w:val="0"/>
      <w:marBottom w:val="0"/>
      <w:divBdr>
        <w:top w:val="none" w:sz="0" w:space="0" w:color="auto"/>
        <w:left w:val="none" w:sz="0" w:space="0" w:color="auto"/>
        <w:bottom w:val="none" w:sz="0" w:space="0" w:color="auto"/>
        <w:right w:val="none" w:sz="0" w:space="0" w:color="auto"/>
      </w:divBdr>
    </w:div>
    <w:div w:id="1132945980">
      <w:marLeft w:val="0"/>
      <w:marRight w:val="0"/>
      <w:marTop w:val="0"/>
      <w:marBottom w:val="0"/>
      <w:divBdr>
        <w:top w:val="none" w:sz="0" w:space="0" w:color="auto"/>
        <w:left w:val="none" w:sz="0" w:space="0" w:color="auto"/>
        <w:bottom w:val="none" w:sz="0" w:space="0" w:color="auto"/>
        <w:right w:val="none" w:sz="0" w:space="0" w:color="auto"/>
      </w:divBdr>
    </w:div>
    <w:div w:id="1132945981">
      <w:marLeft w:val="0"/>
      <w:marRight w:val="0"/>
      <w:marTop w:val="0"/>
      <w:marBottom w:val="0"/>
      <w:divBdr>
        <w:top w:val="none" w:sz="0" w:space="0" w:color="auto"/>
        <w:left w:val="none" w:sz="0" w:space="0" w:color="auto"/>
        <w:bottom w:val="none" w:sz="0" w:space="0" w:color="auto"/>
        <w:right w:val="none" w:sz="0" w:space="0" w:color="auto"/>
      </w:divBdr>
    </w:div>
    <w:div w:id="1132945982">
      <w:marLeft w:val="0"/>
      <w:marRight w:val="0"/>
      <w:marTop w:val="0"/>
      <w:marBottom w:val="0"/>
      <w:divBdr>
        <w:top w:val="none" w:sz="0" w:space="0" w:color="auto"/>
        <w:left w:val="none" w:sz="0" w:space="0" w:color="auto"/>
        <w:bottom w:val="none" w:sz="0" w:space="0" w:color="auto"/>
        <w:right w:val="none" w:sz="0" w:space="0" w:color="auto"/>
      </w:divBdr>
    </w:div>
    <w:div w:id="1132945983">
      <w:marLeft w:val="0"/>
      <w:marRight w:val="0"/>
      <w:marTop w:val="0"/>
      <w:marBottom w:val="0"/>
      <w:divBdr>
        <w:top w:val="none" w:sz="0" w:space="0" w:color="auto"/>
        <w:left w:val="none" w:sz="0" w:space="0" w:color="auto"/>
        <w:bottom w:val="none" w:sz="0" w:space="0" w:color="auto"/>
        <w:right w:val="none" w:sz="0" w:space="0" w:color="auto"/>
      </w:divBdr>
    </w:div>
    <w:div w:id="1132945984">
      <w:marLeft w:val="0"/>
      <w:marRight w:val="0"/>
      <w:marTop w:val="0"/>
      <w:marBottom w:val="0"/>
      <w:divBdr>
        <w:top w:val="none" w:sz="0" w:space="0" w:color="auto"/>
        <w:left w:val="none" w:sz="0" w:space="0" w:color="auto"/>
        <w:bottom w:val="none" w:sz="0" w:space="0" w:color="auto"/>
        <w:right w:val="none" w:sz="0" w:space="0" w:color="auto"/>
      </w:divBdr>
    </w:div>
    <w:div w:id="1132945985">
      <w:marLeft w:val="0"/>
      <w:marRight w:val="0"/>
      <w:marTop w:val="0"/>
      <w:marBottom w:val="0"/>
      <w:divBdr>
        <w:top w:val="none" w:sz="0" w:space="0" w:color="auto"/>
        <w:left w:val="none" w:sz="0" w:space="0" w:color="auto"/>
        <w:bottom w:val="none" w:sz="0" w:space="0" w:color="auto"/>
        <w:right w:val="none" w:sz="0" w:space="0" w:color="auto"/>
      </w:divBdr>
    </w:div>
    <w:div w:id="1132945986">
      <w:marLeft w:val="0"/>
      <w:marRight w:val="0"/>
      <w:marTop w:val="0"/>
      <w:marBottom w:val="0"/>
      <w:divBdr>
        <w:top w:val="none" w:sz="0" w:space="0" w:color="auto"/>
        <w:left w:val="none" w:sz="0" w:space="0" w:color="auto"/>
        <w:bottom w:val="none" w:sz="0" w:space="0" w:color="auto"/>
        <w:right w:val="none" w:sz="0" w:space="0" w:color="auto"/>
      </w:divBdr>
    </w:div>
    <w:div w:id="1132945987">
      <w:marLeft w:val="0"/>
      <w:marRight w:val="0"/>
      <w:marTop w:val="0"/>
      <w:marBottom w:val="0"/>
      <w:divBdr>
        <w:top w:val="none" w:sz="0" w:space="0" w:color="auto"/>
        <w:left w:val="none" w:sz="0" w:space="0" w:color="auto"/>
        <w:bottom w:val="none" w:sz="0" w:space="0" w:color="auto"/>
        <w:right w:val="none" w:sz="0" w:space="0" w:color="auto"/>
      </w:divBdr>
    </w:div>
    <w:div w:id="1132945989">
      <w:marLeft w:val="0"/>
      <w:marRight w:val="0"/>
      <w:marTop w:val="0"/>
      <w:marBottom w:val="0"/>
      <w:divBdr>
        <w:top w:val="none" w:sz="0" w:space="0" w:color="auto"/>
        <w:left w:val="none" w:sz="0" w:space="0" w:color="auto"/>
        <w:bottom w:val="none" w:sz="0" w:space="0" w:color="auto"/>
        <w:right w:val="none" w:sz="0" w:space="0" w:color="auto"/>
      </w:divBdr>
    </w:div>
    <w:div w:id="1132945990">
      <w:marLeft w:val="0"/>
      <w:marRight w:val="0"/>
      <w:marTop w:val="0"/>
      <w:marBottom w:val="0"/>
      <w:divBdr>
        <w:top w:val="none" w:sz="0" w:space="0" w:color="auto"/>
        <w:left w:val="none" w:sz="0" w:space="0" w:color="auto"/>
        <w:bottom w:val="none" w:sz="0" w:space="0" w:color="auto"/>
        <w:right w:val="none" w:sz="0" w:space="0" w:color="auto"/>
      </w:divBdr>
    </w:div>
    <w:div w:id="1132945991">
      <w:marLeft w:val="0"/>
      <w:marRight w:val="0"/>
      <w:marTop w:val="0"/>
      <w:marBottom w:val="0"/>
      <w:divBdr>
        <w:top w:val="none" w:sz="0" w:space="0" w:color="auto"/>
        <w:left w:val="none" w:sz="0" w:space="0" w:color="auto"/>
        <w:bottom w:val="none" w:sz="0" w:space="0" w:color="auto"/>
        <w:right w:val="none" w:sz="0" w:space="0" w:color="auto"/>
      </w:divBdr>
    </w:div>
    <w:div w:id="1132945992">
      <w:marLeft w:val="0"/>
      <w:marRight w:val="0"/>
      <w:marTop w:val="0"/>
      <w:marBottom w:val="0"/>
      <w:divBdr>
        <w:top w:val="none" w:sz="0" w:space="0" w:color="auto"/>
        <w:left w:val="none" w:sz="0" w:space="0" w:color="auto"/>
        <w:bottom w:val="none" w:sz="0" w:space="0" w:color="auto"/>
        <w:right w:val="none" w:sz="0" w:space="0" w:color="auto"/>
      </w:divBdr>
    </w:div>
    <w:div w:id="1132945993">
      <w:marLeft w:val="0"/>
      <w:marRight w:val="0"/>
      <w:marTop w:val="0"/>
      <w:marBottom w:val="0"/>
      <w:divBdr>
        <w:top w:val="none" w:sz="0" w:space="0" w:color="auto"/>
        <w:left w:val="none" w:sz="0" w:space="0" w:color="auto"/>
        <w:bottom w:val="none" w:sz="0" w:space="0" w:color="auto"/>
        <w:right w:val="none" w:sz="0" w:space="0" w:color="auto"/>
      </w:divBdr>
    </w:div>
    <w:div w:id="1132945994">
      <w:marLeft w:val="0"/>
      <w:marRight w:val="0"/>
      <w:marTop w:val="0"/>
      <w:marBottom w:val="0"/>
      <w:divBdr>
        <w:top w:val="none" w:sz="0" w:space="0" w:color="auto"/>
        <w:left w:val="none" w:sz="0" w:space="0" w:color="auto"/>
        <w:bottom w:val="none" w:sz="0" w:space="0" w:color="auto"/>
        <w:right w:val="none" w:sz="0" w:space="0" w:color="auto"/>
      </w:divBdr>
    </w:div>
    <w:div w:id="1132945995">
      <w:marLeft w:val="0"/>
      <w:marRight w:val="0"/>
      <w:marTop w:val="0"/>
      <w:marBottom w:val="0"/>
      <w:divBdr>
        <w:top w:val="none" w:sz="0" w:space="0" w:color="auto"/>
        <w:left w:val="none" w:sz="0" w:space="0" w:color="auto"/>
        <w:bottom w:val="none" w:sz="0" w:space="0" w:color="auto"/>
        <w:right w:val="none" w:sz="0" w:space="0" w:color="auto"/>
      </w:divBdr>
    </w:div>
    <w:div w:id="1132945996">
      <w:marLeft w:val="0"/>
      <w:marRight w:val="0"/>
      <w:marTop w:val="0"/>
      <w:marBottom w:val="0"/>
      <w:divBdr>
        <w:top w:val="none" w:sz="0" w:space="0" w:color="auto"/>
        <w:left w:val="none" w:sz="0" w:space="0" w:color="auto"/>
        <w:bottom w:val="none" w:sz="0" w:space="0" w:color="auto"/>
        <w:right w:val="none" w:sz="0" w:space="0" w:color="auto"/>
      </w:divBdr>
    </w:div>
    <w:div w:id="1132945997">
      <w:marLeft w:val="0"/>
      <w:marRight w:val="0"/>
      <w:marTop w:val="0"/>
      <w:marBottom w:val="0"/>
      <w:divBdr>
        <w:top w:val="none" w:sz="0" w:space="0" w:color="auto"/>
        <w:left w:val="none" w:sz="0" w:space="0" w:color="auto"/>
        <w:bottom w:val="none" w:sz="0" w:space="0" w:color="auto"/>
        <w:right w:val="none" w:sz="0" w:space="0" w:color="auto"/>
      </w:divBdr>
    </w:div>
    <w:div w:id="1132945998">
      <w:marLeft w:val="0"/>
      <w:marRight w:val="0"/>
      <w:marTop w:val="0"/>
      <w:marBottom w:val="0"/>
      <w:divBdr>
        <w:top w:val="none" w:sz="0" w:space="0" w:color="auto"/>
        <w:left w:val="none" w:sz="0" w:space="0" w:color="auto"/>
        <w:bottom w:val="none" w:sz="0" w:space="0" w:color="auto"/>
        <w:right w:val="none" w:sz="0" w:space="0" w:color="auto"/>
      </w:divBdr>
    </w:div>
    <w:div w:id="1132945999">
      <w:marLeft w:val="0"/>
      <w:marRight w:val="0"/>
      <w:marTop w:val="0"/>
      <w:marBottom w:val="0"/>
      <w:divBdr>
        <w:top w:val="none" w:sz="0" w:space="0" w:color="auto"/>
        <w:left w:val="none" w:sz="0" w:space="0" w:color="auto"/>
        <w:bottom w:val="none" w:sz="0" w:space="0" w:color="auto"/>
        <w:right w:val="none" w:sz="0" w:space="0" w:color="auto"/>
      </w:divBdr>
    </w:div>
    <w:div w:id="1132946000">
      <w:marLeft w:val="0"/>
      <w:marRight w:val="0"/>
      <w:marTop w:val="0"/>
      <w:marBottom w:val="0"/>
      <w:divBdr>
        <w:top w:val="none" w:sz="0" w:space="0" w:color="auto"/>
        <w:left w:val="none" w:sz="0" w:space="0" w:color="auto"/>
        <w:bottom w:val="none" w:sz="0" w:space="0" w:color="auto"/>
        <w:right w:val="none" w:sz="0" w:space="0" w:color="auto"/>
      </w:divBdr>
    </w:div>
    <w:div w:id="1132946001">
      <w:marLeft w:val="0"/>
      <w:marRight w:val="0"/>
      <w:marTop w:val="0"/>
      <w:marBottom w:val="0"/>
      <w:divBdr>
        <w:top w:val="none" w:sz="0" w:space="0" w:color="auto"/>
        <w:left w:val="none" w:sz="0" w:space="0" w:color="auto"/>
        <w:bottom w:val="none" w:sz="0" w:space="0" w:color="auto"/>
        <w:right w:val="none" w:sz="0" w:space="0" w:color="auto"/>
      </w:divBdr>
    </w:div>
    <w:div w:id="1132946002">
      <w:marLeft w:val="0"/>
      <w:marRight w:val="0"/>
      <w:marTop w:val="0"/>
      <w:marBottom w:val="0"/>
      <w:divBdr>
        <w:top w:val="none" w:sz="0" w:space="0" w:color="auto"/>
        <w:left w:val="none" w:sz="0" w:space="0" w:color="auto"/>
        <w:bottom w:val="none" w:sz="0" w:space="0" w:color="auto"/>
        <w:right w:val="none" w:sz="0" w:space="0" w:color="auto"/>
      </w:divBdr>
    </w:div>
    <w:div w:id="1132946003">
      <w:marLeft w:val="0"/>
      <w:marRight w:val="0"/>
      <w:marTop w:val="0"/>
      <w:marBottom w:val="0"/>
      <w:divBdr>
        <w:top w:val="none" w:sz="0" w:space="0" w:color="auto"/>
        <w:left w:val="none" w:sz="0" w:space="0" w:color="auto"/>
        <w:bottom w:val="none" w:sz="0" w:space="0" w:color="auto"/>
        <w:right w:val="none" w:sz="0" w:space="0" w:color="auto"/>
      </w:divBdr>
    </w:div>
    <w:div w:id="1132946004">
      <w:marLeft w:val="0"/>
      <w:marRight w:val="0"/>
      <w:marTop w:val="0"/>
      <w:marBottom w:val="0"/>
      <w:divBdr>
        <w:top w:val="none" w:sz="0" w:space="0" w:color="auto"/>
        <w:left w:val="none" w:sz="0" w:space="0" w:color="auto"/>
        <w:bottom w:val="none" w:sz="0" w:space="0" w:color="auto"/>
        <w:right w:val="none" w:sz="0" w:space="0" w:color="auto"/>
      </w:divBdr>
    </w:div>
    <w:div w:id="1132946005">
      <w:marLeft w:val="0"/>
      <w:marRight w:val="0"/>
      <w:marTop w:val="0"/>
      <w:marBottom w:val="0"/>
      <w:divBdr>
        <w:top w:val="none" w:sz="0" w:space="0" w:color="auto"/>
        <w:left w:val="none" w:sz="0" w:space="0" w:color="auto"/>
        <w:bottom w:val="none" w:sz="0" w:space="0" w:color="auto"/>
        <w:right w:val="none" w:sz="0" w:space="0" w:color="auto"/>
      </w:divBdr>
    </w:div>
    <w:div w:id="1132946006">
      <w:marLeft w:val="0"/>
      <w:marRight w:val="0"/>
      <w:marTop w:val="0"/>
      <w:marBottom w:val="0"/>
      <w:divBdr>
        <w:top w:val="none" w:sz="0" w:space="0" w:color="auto"/>
        <w:left w:val="none" w:sz="0" w:space="0" w:color="auto"/>
        <w:bottom w:val="none" w:sz="0" w:space="0" w:color="auto"/>
        <w:right w:val="none" w:sz="0" w:space="0" w:color="auto"/>
      </w:divBdr>
    </w:div>
    <w:div w:id="1132946007">
      <w:marLeft w:val="0"/>
      <w:marRight w:val="0"/>
      <w:marTop w:val="0"/>
      <w:marBottom w:val="0"/>
      <w:divBdr>
        <w:top w:val="none" w:sz="0" w:space="0" w:color="auto"/>
        <w:left w:val="none" w:sz="0" w:space="0" w:color="auto"/>
        <w:bottom w:val="none" w:sz="0" w:space="0" w:color="auto"/>
        <w:right w:val="none" w:sz="0" w:space="0" w:color="auto"/>
      </w:divBdr>
    </w:div>
    <w:div w:id="1132946008">
      <w:marLeft w:val="0"/>
      <w:marRight w:val="0"/>
      <w:marTop w:val="0"/>
      <w:marBottom w:val="0"/>
      <w:divBdr>
        <w:top w:val="none" w:sz="0" w:space="0" w:color="auto"/>
        <w:left w:val="none" w:sz="0" w:space="0" w:color="auto"/>
        <w:bottom w:val="none" w:sz="0" w:space="0" w:color="auto"/>
        <w:right w:val="none" w:sz="0" w:space="0" w:color="auto"/>
      </w:divBdr>
    </w:div>
    <w:div w:id="1132946009">
      <w:marLeft w:val="0"/>
      <w:marRight w:val="0"/>
      <w:marTop w:val="0"/>
      <w:marBottom w:val="0"/>
      <w:divBdr>
        <w:top w:val="none" w:sz="0" w:space="0" w:color="auto"/>
        <w:left w:val="none" w:sz="0" w:space="0" w:color="auto"/>
        <w:bottom w:val="none" w:sz="0" w:space="0" w:color="auto"/>
        <w:right w:val="none" w:sz="0" w:space="0" w:color="auto"/>
      </w:divBdr>
    </w:div>
    <w:div w:id="1132946010">
      <w:marLeft w:val="0"/>
      <w:marRight w:val="0"/>
      <w:marTop w:val="0"/>
      <w:marBottom w:val="0"/>
      <w:divBdr>
        <w:top w:val="none" w:sz="0" w:space="0" w:color="auto"/>
        <w:left w:val="none" w:sz="0" w:space="0" w:color="auto"/>
        <w:bottom w:val="none" w:sz="0" w:space="0" w:color="auto"/>
        <w:right w:val="none" w:sz="0" w:space="0" w:color="auto"/>
      </w:divBdr>
    </w:div>
    <w:div w:id="1132946011">
      <w:marLeft w:val="0"/>
      <w:marRight w:val="0"/>
      <w:marTop w:val="0"/>
      <w:marBottom w:val="0"/>
      <w:divBdr>
        <w:top w:val="none" w:sz="0" w:space="0" w:color="auto"/>
        <w:left w:val="none" w:sz="0" w:space="0" w:color="auto"/>
        <w:bottom w:val="none" w:sz="0" w:space="0" w:color="auto"/>
        <w:right w:val="none" w:sz="0" w:space="0" w:color="auto"/>
      </w:divBdr>
    </w:div>
    <w:div w:id="1132946012">
      <w:marLeft w:val="0"/>
      <w:marRight w:val="0"/>
      <w:marTop w:val="0"/>
      <w:marBottom w:val="0"/>
      <w:divBdr>
        <w:top w:val="none" w:sz="0" w:space="0" w:color="auto"/>
        <w:left w:val="none" w:sz="0" w:space="0" w:color="auto"/>
        <w:bottom w:val="none" w:sz="0" w:space="0" w:color="auto"/>
        <w:right w:val="none" w:sz="0" w:space="0" w:color="auto"/>
      </w:divBdr>
    </w:div>
    <w:div w:id="1132946013">
      <w:marLeft w:val="0"/>
      <w:marRight w:val="0"/>
      <w:marTop w:val="0"/>
      <w:marBottom w:val="0"/>
      <w:divBdr>
        <w:top w:val="none" w:sz="0" w:space="0" w:color="auto"/>
        <w:left w:val="none" w:sz="0" w:space="0" w:color="auto"/>
        <w:bottom w:val="none" w:sz="0" w:space="0" w:color="auto"/>
        <w:right w:val="none" w:sz="0" w:space="0" w:color="auto"/>
      </w:divBdr>
    </w:div>
    <w:div w:id="1132946014">
      <w:marLeft w:val="0"/>
      <w:marRight w:val="0"/>
      <w:marTop w:val="0"/>
      <w:marBottom w:val="0"/>
      <w:divBdr>
        <w:top w:val="none" w:sz="0" w:space="0" w:color="auto"/>
        <w:left w:val="none" w:sz="0" w:space="0" w:color="auto"/>
        <w:bottom w:val="none" w:sz="0" w:space="0" w:color="auto"/>
        <w:right w:val="none" w:sz="0" w:space="0" w:color="auto"/>
      </w:divBdr>
    </w:div>
    <w:div w:id="1132946015">
      <w:marLeft w:val="0"/>
      <w:marRight w:val="0"/>
      <w:marTop w:val="0"/>
      <w:marBottom w:val="0"/>
      <w:divBdr>
        <w:top w:val="none" w:sz="0" w:space="0" w:color="auto"/>
        <w:left w:val="none" w:sz="0" w:space="0" w:color="auto"/>
        <w:bottom w:val="none" w:sz="0" w:space="0" w:color="auto"/>
        <w:right w:val="none" w:sz="0" w:space="0" w:color="auto"/>
      </w:divBdr>
    </w:div>
    <w:div w:id="1132946016">
      <w:marLeft w:val="0"/>
      <w:marRight w:val="0"/>
      <w:marTop w:val="0"/>
      <w:marBottom w:val="0"/>
      <w:divBdr>
        <w:top w:val="none" w:sz="0" w:space="0" w:color="auto"/>
        <w:left w:val="none" w:sz="0" w:space="0" w:color="auto"/>
        <w:bottom w:val="none" w:sz="0" w:space="0" w:color="auto"/>
        <w:right w:val="none" w:sz="0" w:space="0" w:color="auto"/>
      </w:divBdr>
    </w:div>
    <w:div w:id="1132946017">
      <w:marLeft w:val="0"/>
      <w:marRight w:val="0"/>
      <w:marTop w:val="0"/>
      <w:marBottom w:val="0"/>
      <w:divBdr>
        <w:top w:val="none" w:sz="0" w:space="0" w:color="auto"/>
        <w:left w:val="none" w:sz="0" w:space="0" w:color="auto"/>
        <w:bottom w:val="none" w:sz="0" w:space="0" w:color="auto"/>
        <w:right w:val="none" w:sz="0" w:space="0" w:color="auto"/>
      </w:divBdr>
    </w:div>
    <w:div w:id="1132946019">
      <w:marLeft w:val="0"/>
      <w:marRight w:val="0"/>
      <w:marTop w:val="0"/>
      <w:marBottom w:val="0"/>
      <w:divBdr>
        <w:top w:val="none" w:sz="0" w:space="0" w:color="auto"/>
        <w:left w:val="none" w:sz="0" w:space="0" w:color="auto"/>
        <w:bottom w:val="none" w:sz="0" w:space="0" w:color="auto"/>
        <w:right w:val="none" w:sz="0" w:space="0" w:color="auto"/>
      </w:divBdr>
    </w:div>
    <w:div w:id="1132946021">
      <w:marLeft w:val="0"/>
      <w:marRight w:val="0"/>
      <w:marTop w:val="0"/>
      <w:marBottom w:val="0"/>
      <w:divBdr>
        <w:top w:val="none" w:sz="0" w:space="0" w:color="auto"/>
        <w:left w:val="none" w:sz="0" w:space="0" w:color="auto"/>
        <w:bottom w:val="none" w:sz="0" w:space="0" w:color="auto"/>
        <w:right w:val="none" w:sz="0" w:space="0" w:color="auto"/>
      </w:divBdr>
    </w:div>
    <w:div w:id="1132946022">
      <w:marLeft w:val="0"/>
      <w:marRight w:val="0"/>
      <w:marTop w:val="0"/>
      <w:marBottom w:val="0"/>
      <w:divBdr>
        <w:top w:val="none" w:sz="0" w:space="0" w:color="auto"/>
        <w:left w:val="none" w:sz="0" w:space="0" w:color="auto"/>
        <w:bottom w:val="none" w:sz="0" w:space="0" w:color="auto"/>
        <w:right w:val="none" w:sz="0" w:space="0" w:color="auto"/>
      </w:divBdr>
    </w:div>
    <w:div w:id="1132946023">
      <w:marLeft w:val="0"/>
      <w:marRight w:val="0"/>
      <w:marTop w:val="0"/>
      <w:marBottom w:val="0"/>
      <w:divBdr>
        <w:top w:val="none" w:sz="0" w:space="0" w:color="auto"/>
        <w:left w:val="none" w:sz="0" w:space="0" w:color="auto"/>
        <w:bottom w:val="none" w:sz="0" w:space="0" w:color="auto"/>
        <w:right w:val="none" w:sz="0" w:space="0" w:color="auto"/>
      </w:divBdr>
    </w:div>
    <w:div w:id="1132946024">
      <w:marLeft w:val="0"/>
      <w:marRight w:val="0"/>
      <w:marTop w:val="0"/>
      <w:marBottom w:val="0"/>
      <w:divBdr>
        <w:top w:val="none" w:sz="0" w:space="0" w:color="auto"/>
        <w:left w:val="none" w:sz="0" w:space="0" w:color="auto"/>
        <w:bottom w:val="none" w:sz="0" w:space="0" w:color="auto"/>
        <w:right w:val="none" w:sz="0" w:space="0" w:color="auto"/>
      </w:divBdr>
    </w:div>
    <w:div w:id="1132946025">
      <w:marLeft w:val="0"/>
      <w:marRight w:val="0"/>
      <w:marTop w:val="0"/>
      <w:marBottom w:val="0"/>
      <w:divBdr>
        <w:top w:val="none" w:sz="0" w:space="0" w:color="auto"/>
        <w:left w:val="none" w:sz="0" w:space="0" w:color="auto"/>
        <w:bottom w:val="none" w:sz="0" w:space="0" w:color="auto"/>
        <w:right w:val="none" w:sz="0" w:space="0" w:color="auto"/>
      </w:divBdr>
    </w:div>
    <w:div w:id="1132946026">
      <w:marLeft w:val="0"/>
      <w:marRight w:val="0"/>
      <w:marTop w:val="0"/>
      <w:marBottom w:val="0"/>
      <w:divBdr>
        <w:top w:val="none" w:sz="0" w:space="0" w:color="auto"/>
        <w:left w:val="none" w:sz="0" w:space="0" w:color="auto"/>
        <w:bottom w:val="none" w:sz="0" w:space="0" w:color="auto"/>
        <w:right w:val="none" w:sz="0" w:space="0" w:color="auto"/>
      </w:divBdr>
    </w:div>
    <w:div w:id="1132946027">
      <w:marLeft w:val="0"/>
      <w:marRight w:val="0"/>
      <w:marTop w:val="0"/>
      <w:marBottom w:val="0"/>
      <w:divBdr>
        <w:top w:val="none" w:sz="0" w:space="0" w:color="auto"/>
        <w:left w:val="none" w:sz="0" w:space="0" w:color="auto"/>
        <w:bottom w:val="none" w:sz="0" w:space="0" w:color="auto"/>
        <w:right w:val="none" w:sz="0" w:space="0" w:color="auto"/>
      </w:divBdr>
    </w:div>
    <w:div w:id="1132946028">
      <w:marLeft w:val="0"/>
      <w:marRight w:val="0"/>
      <w:marTop w:val="0"/>
      <w:marBottom w:val="0"/>
      <w:divBdr>
        <w:top w:val="none" w:sz="0" w:space="0" w:color="auto"/>
        <w:left w:val="none" w:sz="0" w:space="0" w:color="auto"/>
        <w:bottom w:val="none" w:sz="0" w:space="0" w:color="auto"/>
        <w:right w:val="none" w:sz="0" w:space="0" w:color="auto"/>
      </w:divBdr>
    </w:div>
    <w:div w:id="1132946029">
      <w:marLeft w:val="0"/>
      <w:marRight w:val="0"/>
      <w:marTop w:val="0"/>
      <w:marBottom w:val="0"/>
      <w:divBdr>
        <w:top w:val="none" w:sz="0" w:space="0" w:color="auto"/>
        <w:left w:val="none" w:sz="0" w:space="0" w:color="auto"/>
        <w:bottom w:val="none" w:sz="0" w:space="0" w:color="auto"/>
        <w:right w:val="none" w:sz="0" w:space="0" w:color="auto"/>
      </w:divBdr>
    </w:div>
    <w:div w:id="1132946030">
      <w:marLeft w:val="0"/>
      <w:marRight w:val="0"/>
      <w:marTop w:val="0"/>
      <w:marBottom w:val="0"/>
      <w:divBdr>
        <w:top w:val="none" w:sz="0" w:space="0" w:color="auto"/>
        <w:left w:val="none" w:sz="0" w:space="0" w:color="auto"/>
        <w:bottom w:val="none" w:sz="0" w:space="0" w:color="auto"/>
        <w:right w:val="none" w:sz="0" w:space="0" w:color="auto"/>
      </w:divBdr>
    </w:div>
    <w:div w:id="1132946031">
      <w:marLeft w:val="0"/>
      <w:marRight w:val="0"/>
      <w:marTop w:val="0"/>
      <w:marBottom w:val="0"/>
      <w:divBdr>
        <w:top w:val="none" w:sz="0" w:space="0" w:color="auto"/>
        <w:left w:val="none" w:sz="0" w:space="0" w:color="auto"/>
        <w:bottom w:val="none" w:sz="0" w:space="0" w:color="auto"/>
        <w:right w:val="none" w:sz="0" w:space="0" w:color="auto"/>
      </w:divBdr>
    </w:div>
    <w:div w:id="1132946033">
      <w:marLeft w:val="0"/>
      <w:marRight w:val="0"/>
      <w:marTop w:val="0"/>
      <w:marBottom w:val="0"/>
      <w:divBdr>
        <w:top w:val="none" w:sz="0" w:space="0" w:color="auto"/>
        <w:left w:val="none" w:sz="0" w:space="0" w:color="auto"/>
        <w:bottom w:val="none" w:sz="0" w:space="0" w:color="auto"/>
        <w:right w:val="none" w:sz="0" w:space="0" w:color="auto"/>
      </w:divBdr>
    </w:div>
    <w:div w:id="1132946034">
      <w:marLeft w:val="0"/>
      <w:marRight w:val="0"/>
      <w:marTop w:val="0"/>
      <w:marBottom w:val="0"/>
      <w:divBdr>
        <w:top w:val="none" w:sz="0" w:space="0" w:color="auto"/>
        <w:left w:val="none" w:sz="0" w:space="0" w:color="auto"/>
        <w:bottom w:val="none" w:sz="0" w:space="0" w:color="auto"/>
        <w:right w:val="none" w:sz="0" w:space="0" w:color="auto"/>
      </w:divBdr>
    </w:div>
    <w:div w:id="1132946035">
      <w:marLeft w:val="0"/>
      <w:marRight w:val="0"/>
      <w:marTop w:val="0"/>
      <w:marBottom w:val="0"/>
      <w:divBdr>
        <w:top w:val="none" w:sz="0" w:space="0" w:color="auto"/>
        <w:left w:val="none" w:sz="0" w:space="0" w:color="auto"/>
        <w:bottom w:val="none" w:sz="0" w:space="0" w:color="auto"/>
        <w:right w:val="none" w:sz="0" w:space="0" w:color="auto"/>
      </w:divBdr>
    </w:div>
    <w:div w:id="1132946036">
      <w:marLeft w:val="0"/>
      <w:marRight w:val="0"/>
      <w:marTop w:val="0"/>
      <w:marBottom w:val="0"/>
      <w:divBdr>
        <w:top w:val="none" w:sz="0" w:space="0" w:color="auto"/>
        <w:left w:val="none" w:sz="0" w:space="0" w:color="auto"/>
        <w:bottom w:val="none" w:sz="0" w:space="0" w:color="auto"/>
        <w:right w:val="none" w:sz="0" w:space="0" w:color="auto"/>
      </w:divBdr>
    </w:div>
    <w:div w:id="1132946037">
      <w:marLeft w:val="0"/>
      <w:marRight w:val="0"/>
      <w:marTop w:val="0"/>
      <w:marBottom w:val="0"/>
      <w:divBdr>
        <w:top w:val="none" w:sz="0" w:space="0" w:color="auto"/>
        <w:left w:val="none" w:sz="0" w:space="0" w:color="auto"/>
        <w:bottom w:val="none" w:sz="0" w:space="0" w:color="auto"/>
        <w:right w:val="none" w:sz="0" w:space="0" w:color="auto"/>
      </w:divBdr>
    </w:div>
    <w:div w:id="1132946038">
      <w:marLeft w:val="0"/>
      <w:marRight w:val="0"/>
      <w:marTop w:val="0"/>
      <w:marBottom w:val="0"/>
      <w:divBdr>
        <w:top w:val="none" w:sz="0" w:space="0" w:color="auto"/>
        <w:left w:val="none" w:sz="0" w:space="0" w:color="auto"/>
        <w:bottom w:val="none" w:sz="0" w:space="0" w:color="auto"/>
        <w:right w:val="none" w:sz="0" w:space="0" w:color="auto"/>
      </w:divBdr>
    </w:div>
    <w:div w:id="1132946039">
      <w:marLeft w:val="0"/>
      <w:marRight w:val="0"/>
      <w:marTop w:val="0"/>
      <w:marBottom w:val="0"/>
      <w:divBdr>
        <w:top w:val="none" w:sz="0" w:space="0" w:color="auto"/>
        <w:left w:val="none" w:sz="0" w:space="0" w:color="auto"/>
        <w:bottom w:val="none" w:sz="0" w:space="0" w:color="auto"/>
        <w:right w:val="none" w:sz="0" w:space="0" w:color="auto"/>
      </w:divBdr>
    </w:div>
    <w:div w:id="1132946040">
      <w:marLeft w:val="0"/>
      <w:marRight w:val="0"/>
      <w:marTop w:val="0"/>
      <w:marBottom w:val="0"/>
      <w:divBdr>
        <w:top w:val="none" w:sz="0" w:space="0" w:color="auto"/>
        <w:left w:val="none" w:sz="0" w:space="0" w:color="auto"/>
        <w:bottom w:val="none" w:sz="0" w:space="0" w:color="auto"/>
        <w:right w:val="none" w:sz="0" w:space="0" w:color="auto"/>
      </w:divBdr>
    </w:div>
    <w:div w:id="1132946041">
      <w:marLeft w:val="0"/>
      <w:marRight w:val="0"/>
      <w:marTop w:val="0"/>
      <w:marBottom w:val="0"/>
      <w:divBdr>
        <w:top w:val="none" w:sz="0" w:space="0" w:color="auto"/>
        <w:left w:val="none" w:sz="0" w:space="0" w:color="auto"/>
        <w:bottom w:val="none" w:sz="0" w:space="0" w:color="auto"/>
        <w:right w:val="none" w:sz="0" w:space="0" w:color="auto"/>
      </w:divBdr>
    </w:div>
    <w:div w:id="1169981347">
      <w:bodyDiv w:val="1"/>
      <w:marLeft w:val="0"/>
      <w:marRight w:val="0"/>
      <w:marTop w:val="0"/>
      <w:marBottom w:val="0"/>
      <w:divBdr>
        <w:top w:val="none" w:sz="0" w:space="0" w:color="auto"/>
        <w:left w:val="none" w:sz="0" w:space="0" w:color="auto"/>
        <w:bottom w:val="none" w:sz="0" w:space="0" w:color="auto"/>
        <w:right w:val="none" w:sz="0" w:space="0" w:color="auto"/>
      </w:divBdr>
    </w:div>
    <w:div w:id="1177236715">
      <w:bodyDiv w:val="1"/>
      <w:marLeft w:val="0"/>
      <w:marRight w:val="0"/>
      <w:marTop w:val="0"/>
      <w:marBottom w:val="0"/>
      <w:divBdr>
        <w:top w:val="none" w:sz="0" w:space="0" w:color="auto"/>
        <w:left w:val="none" w:sz="0" w:space="0" w:color="auto"/>
        <w:bottom w:val="none" w:sz="0" w:space="0" w:color="auto"/>
        <w:right w:val="none" w:sz="0" w:space="0" w:color="auto"/>
      </w:divBdr>
    </w:div>
    <w:div w:id="1222015957">
      <w:bodyDiv w:val="1"/>
      <w:marLeft w:val="0"/>
      <w:marRight w:val="0"/>
      <w:marTop w:val="0"/>
      <w:marBottom w:val="0"/>
      <w:divBdr>
        <w:top w:val="none" w:sz="0" w:space="0" w:color="auto"/>
        <w:left w:val="none" w:sz="0" w:space="0" w:color="auto"/>
        <w:bottom w:val="none" w:sz="0" w:space="0" w:color="auto"/>
        <w:right w:val="none" w:sz="0" w:space="0" w:color="auto"/>
      </w:divBdr>
    </w:div>
    <w:div w:id="1233927266">
      <w:bodyDiv w:val="1"/>
      <w:marLeft w:val="0"/>
      <w:marRight w:val="0"/>
      <w:marTop w:val="0"/>
      <w:marBottom w:val="0"/>
      <w:divBdr>
        <w:top w:val="none" w:sz="0" w:space="0" w:color="auto"/>
        <w:left w:val="none" w:sz="0" w:space="0" w:color="auto"/>
        <w:bottom w:val="none" w:sz="0" w:space="0" w:color="auto"/>
        <w:right w:val="none" w:sz="0" w:space="0" w:color="auto"/>
      </w:divBdr>
    </w:div>
    <w:div w:id="1283613471">
      <w:bodyDiv w:val="1"/>
      <w:marLeft w:val="0"/>
      <w:marRight w:val="0"/>
      <w:marTop w:val="0"/>
      <w:marBottom w:val="0"/>
      <w:divBdr>
        <w:top w:val="none" w:sz="0" w:space="0" w:color="auto"/>
        <w:left w:val="none" w:sz="0" w:space="0" w:color="auto"/>
        <w:bottom w:val="none" w:sz="0" w:space="0" w:color="auto"/>
        <w:right w:val="none" w:sz="0" w:space="0" w:color="auto"/>
      </w:divBdr>
    </w:div>
    <w:div w:id="1292707050">
      <w:bodyDiv w:val="1"/>
      <w:marLeft w:val="0"/>
      <w:marRight w:val="0"/>
      <w:marTop w:val="0"/>
      <w:marBottom w:val="0"/>
      <w:divBdr>
        <w:top w:val="none" w:sz="0" w:space="0" w:color="auto"/>
        <w:left w:val="none" w:sz="0" w:space="0" w:color="auto"/>
        <w:bottom w:val="none" w:sz="0" w:space="0" w:color="auto"/>
        <w:right w:val="none" w:sz="0" w:space="0" w:color="auto"/>
      </w:divBdr>
    </w:div>
    <w:div w:id="1298145958">
      <w:bodyDiv w:val="1"/>
      <w:marLeft w:val="0"/>
      <w:marRight w:val="0"/>
      <w:marTop w:val="0"/>
      <w:marBottom w:val="0"/>
      <w:divBdr>
        <w:top w:val="none" w:sz="0" w:space="0" w:color="auto"/>
        <w:left w:val="none" w:sz="0" w:space="0" w:color="auto"/>
        <w:bottom w:val="none" w:sz="0" w:space="0" w:color="auto"/>
        <w:right w:val="none" w:sz="0" w:space="0" w:color="auto"/>
      </w:divBdr>
    </w:div>
    <w:div w:id="1307005841">
      <w:bodyDiv w:val="1"/>
      <w:marLeft w:val="0"/>
      <w:marRight w:val="0"/>
      <w:marTop w:val="0"/>
      <w:marBottom w:val="0"/>
      <w:divBdr>
        <w:top w:val="none" w:sz="0" w:space="0" w:color="auto"/>
        <w:left w:val="none" w:sz="0" w:space="0" w:color="auto"/>
        <w:bottom w:val="none" w:sz="0" w:space="0" w:color="auto"/>
        <w:right w:val="none" w:sz="0" w:space="0" w:color="auto"/>
      </w:divBdr>
    </w:div>
    <w:div w:id="1309432514">
      <w:bodyDiv w:val="1"/>
      <w:marLeft w:val="0"/>
      <w:marRight w:val="0"/>
      <w:marTop w:val="0"/>
      <w:marBottom w:val="0"/>
      <w:divBdr>
        <w:top w:val="none" w:sz="0" w:space="0" w:color="auto"/>
        <w:left w:val="none" w:sz="0" w:space="0" w:color="auto"/>
        <w:bottom w:val="none" w:sz="0" w:space="0" w:color="auto"/>
        <w:right w:val="none" w:sz="0" w:space="0" w:color="auto"/>
      </w:divBdr>
    </w:div>
    <w:div w:id="1311862693">
      <w:bodyDiv w:val="1"/>
      <w:marLeft w:val="0"/>
      <w:marRight w:val="0"/>
      <w:marTop w:val="0"/>
      <w:marBottom w:val="0"/>
      <w:divBdr>
        <w:top w:val="none" w:sz="0" w:space="0" w:color="auto"/>
        <w:left w:val="none" w:sz="0" w:space="0" w:color="auto"/>
        <w:bottom w:val="none" w:sz="0" w:space="0" w:color="auto"/>
        <w:right w:val="none" w:sz="0" w:space="0" w:color="auto"/>
      </w:divBdr>
    </w:div>
    <w:div w:id="1318418546">
      <w:bodyDiv w:val="1"/>
      <w:marLeft w:val="0"/>
      <w:marRight w:val="0"/>
      <w:marTop w:val="0"/>
      <w:marBottom w:val="0"/>
      <w:divBdr>
        <w:top w:val="none" w:sz="0" w:space="0" w:color="auto"/>
        <w:left w:val="none" w:sz="0" w:space="0" w:color="auto"/>
        <w:bottom w:val="none" w:sz="0" w:space="0" w:color="auto"/>
        <w:right w:val="none" w:sz="0" w:space="0" w:color="auto"/>
      </w:divBdr>
    </w:div>
    <w:div w:id="1328747266">
      <w:bodyDiv w:val="1"/>
      <w:marLeft w:val="0"/>
      <w:marRight w:val="0"/>
      <w:marTop w:val="0"/>
      <w:marBottom w:val="0"/>
      <w:divBdr>
        <w:top w:val="none" w:sz="0" w:space="0" w:color="auto"/>
        <w:left w:val="none" w:sz="0" w:space="0" w:color="auto"/>
        <w:bottom w:val="none" w:sz="0" w:space="0" w:color="auto"/>
        <w:right w:val="none" w:sz="0" w:space="0" w:color="auto"/>
      </w:divBdr>
    </w:div>
    <w:div w:id="1338507754">
      <w:bodyDiv w:val="1"/>
      <w:marLeft w:val="0"/>
      <w:marRight w:val="0"/>
      <w:marTop w:val="0"/>
      <w:marBottom w:val="0"/>
      <w:divBdr>
        <w:top w:val="none" w:sz="0" w:space="0" w:color="auto"/>
        <w:left w:val="none" w:sz="0" w:space="0" w:color="auto"/>
        <w:bottom w:val="none" w:sz="0" w:space="0" w:color="auto"/>
        <w:right w:val="none" w:sz="0" w:space="0" w:color="auto"/>
      </w:divBdr>
    </w:div>
    <w:div w:id="1346903085">
      <w:bodyDiv w:val="1"/>
      <w:marLeft w:val="0"/>
      <w:marRight w:val="0"/>
      <w:marTop w:val="0"/>
      <w:marBottom w:val="0"/>
      <w:divBdr>
        <w:top w:val="none" w:sz="0" w:space="0" w:color="auto"/>
        <w:left w:val="none" w:sz="0" w:space="0" w:color="auto"/>
        <w:bottom w:val="none" w:sz="0" w:space="0" w:color="auto"/>
        <w:right w:val="none" w:sz="0" w:space="0" w:color="auto"/>
      </w:divBdr>
    </w:div>
    <w:div w:id="1365256467">
      <w:bodyDiv w:val="1"/>
      <w:marLeft w:val="0"/>
      <w:marRight w:val="0"/>
      <w:marTop w:val="0"/>
      <w:marBottom w:val="0"/>
      <w:divBdr>
        <w:top w:val="none" w:sz="0" w:space="0" w:color="auto"/>
        <w:left w:val="none" w:sz="0" w:space="0" w:color="auto"/>
        <w:bottom w:val="none" w:sz="0" w:space="0" w:color="auto"/>
        <w:right w:val="none" w:sz="0" w:space="0" w:color="auto"/>
      </w:divBdr>
    </w:div>
    <w:div w:id="1366982015">
      <w:bodyDiv w:val="1"/>
      <w:marLeft w:val="0"/>
      <w:marRight w:val="0"/>
      <w:marTop w:val="0"/>
      <w:marBottom w:val="0"/>
      <w:divBdr>
        <w:top w:val="none" w:sz="0" w:space="0" w:color="auto"/>
        <w:left w:val="none" w:sz="0" w:space="0" w:color="auto"/>
        <w:bottom w:val="none" w:sz="0" w:space="0" w:color="auto"/>
        <w:right w:val="none" w:sz="0" w:space="0" w:color="auto"/>
      </w:divBdr>
    </w:div>
    <w:div w:id="1389913640">
      <w:bodyDiv w:val="1"/>
      <w:marLeft w:val="0"/>
      <w:marRight w:val="0"/>
      <w:marTop w:val="0"/>
      <w:marBottom w:val="0"/>
      <w:divBdr>
        <w:top w:val="none" w:sz="0" w:space="0" w:color="auto"/>
        <w:left w:val="none" w:sz="0" w:space="0" w:color="auto"/>
        <w:bottom w:val="none" w:sz="0" w:space="0" w:color="auto"/>
        <w:right w:val="none" w:sz="0" w:space="0" w:color="auto"/>
      </w:divBdr>
    </w:div>
    <w:div w:id="1393117151">
      <w:bodyDiv w:val="1"/>
      <w:marLeft w:val="0"/>
      <w:marRight w:val="0"/>
      <w:marTop w:val="0"/>
      <w:marBottom w:val="0"/>
      <w:divBdr>
        <w:top w:val="none" w:sz="0" w:space="0" w:color="auto"/>
        <w:left w:val="none" w:sz="0" w:space="0" w:color="auto"/>
        <w:bottom w:val="none" w:sz="0" w:space="0" w:color="auto"/>
        <w:right w:val="none" w:sz="0" w:space="0" w:color="auto"/>
      </w:divBdr>
    </w:div>
    <w:div w:id="1395854988">
      <w:bodyDiv w:val="1"/>
      <w:marLeft w:val="0"/>
      <w:marRight w:val="0"/>
      <w:marTop w:val="0"/>
      <w:marBottom w:val="0"/>
      <w:divBdr>
        <w:top w:val="none" w:sz="0" w:space="0" w:color="auto"/>
        <w:left w:val="none" w:sz="0" w:space="0" w:color="auto"/>
        <w:bottom w:val="none" w:sz="0" w:space="0" w:color="auto"/>
        <w:right w:val="none" w:sz="0" w:space="0" w:color="auto"/>
      </w:divBdr>
    </w:div>
    <w:div w:id="1400208660">
      <w:bodyDiv w:val="1"/>
      <w:marLeft w:val="0"/>
      <w:marRight w:val="0"/>
      <w:marTop w:val="0"/>
      <w:marBottom w:val="0"/>
      <w:divBdr>
        <w:top w:val="none" w:sz="0" w:space="0" w:color="auto"/>
        <w:left w:val="none" w:sz="0" w:space="0" w:color="auto"/>
        <w:bottom w:val="none" w:sz="0" w:space="0" w:color="auto"/>
        <w:right w:val="none" w:sz="0" w:space="0" w:color="auto"/>
      </w:divBdr>
    </w:div>
    <w:div w:id="1401173784">
      <w:bodyDiv w:val="1"/>
      <w:marLeft w:val="0"/>
      <w:marRight w:val="0"/>
      <w:marTop w:val="0"/>
      <w:marBottom w:val="0"/>
      <w:divBdr>
        <w:top w:val="none" w:sz="0" w:space="0" w:color="auto"/>
        <w:left w:val="none" w:sz="0" w:space="0" w:color="auto"/>
        <w:bottom w:val="none" w:sz="0" w:space="0" w:color="auto"/>
        <w:right w:val="none" w:sz="0" w:space="0" w:color="auto"/>
      </w:divBdr>
    </w:div>
    <w:div w:id="1426219809">
      <w:bodyDiv w:val="1"/>
      <w:marLeft w:val="0"/>
      <w:marRight w:val="0"/>
      <w:marTop w:val="0"/>
      <w:marBottom w:val="0"/>
      <w:divBdr>
        <w:top w:val="none" w:sz="0" w:space="0" w:color="auto"/>
        <w:left w:val="none" w:sz="0" w:space="0" w:color="auto"/>
        <w:bottom w:val="none" w:sz="0" w:space="0" w:color="auto"/>
        <w:right w:val="none" w:sz="0" w:space="0" w:color="auto"/>
      </w:divBdr>
    </w:div>
    <w:div w:id="1438715555">
      <w:bodyDiv w:val="1"/>
      <w:marLeft w:val="0"/>
      <w:marRight w:val="0"/>
      <w:marTop w:val="0"/>
      <w:marBottom w:val="0"/>
      <w:divBdr>
        <w:top w:val="none" w:sz="0" w:space="0" w:color="auto"/>
        <w:left w:val="none" w:sz="0" w:space="0" w:color="auto"/>
        <w:bottom w:val="none" w:sz="0" w:space="0" w:color="auto"/>
        <w:right w:val="none" w:sz="0" w:space="0" w:color="auto"/>
      </w:divBdr>
    </w:div>
    <w:div w:id="1442451426">
      <w:bodyDiv w:val="1"/>
      <w:marLeft w:val="0"/>
      <w:marRight w:val="0"/>
      <w:marTop w:val="0"/>
      <w:marBottom w:val="0"/>
      <w:divBdr>
        <w:top w:val="none" w:sz="0" w:space="0" w:color="auto"/>
        <w:left w:val="none" w:sz="0" w:space="0" w:color="auto"/>
        <w:bottom w:val="none" w:sz="0" w:space="0" w:color="auto"/>
        <w:right w:val="none" w:sz="0" w:space="0" w:color="auto"/>
      </w:divBdr>
    </w:div>
    <w:div w:id="1446969781">
      <w:bodyDiv w:val="1"/>
      <w:marLeft w:val="0"/>
      <w:marRight w:val="0"/>
      <w:marTop w:val="0"/>
      <w:marBottom w:val="0"/>
      <w:divBdr>
        <w:top w:val="none" w:sz="0" w:space="0" w:color="auto"/>
        <w:left w:val="none" w:sz="0" w:space="0" w:color="auto"/>
        <w:bottom w:val="none" w:sz="0" w:space="0" w:color="auto"/>
        <w:right w:val="none" w:sz="0" w:space="0" w:color="auto"/>
      </w:divBdr>
    </w:div>
    <w:div w:id="1452087470">
      <w:bodyDiv w:val="1"/>
      <w:marLeft w:val="0"/>
      <w:marRight w:val="0"/>
      <w:marTop w:val="0"/>
      <w:marBottom w:val="0"/>
      <w:divBdr>
        <w:top w:val="none" w:sz="0" w:space="0" w:color="auto"/>
        <w:left w:val="none" w:sz="0" w:space="0" w:color="auto"/>
        <w:bottom w:val="none" w:sz="0" w:space="0" w:color="auto"/>
        <w:right w:val="none" w:sz="0" w:space="0" w:color="auto"/>
      </w:divBdr>
    </w:div>
    <w:div w:id="1458599345">
      <w:bodyDiv w:val="1"/>
      <w:marLeft w:val="0"/>
      <w:marRight w:val="0"/>
      <w:marTop w:val="0"/>
      <w:marBottom w:val="0"/>
      <w:divBdr>
        <w:top w:val="none" w:sz="0" w:space="0" w:color="auto"/>
        <w:left w:val="none" w:sz="0" w:space="0" w:color="auto"/>
        <w:bottom w:val="none" w:sz="0" w:space="0" w:color="auto"/>
        <w:right w:val="none" w:sz="0" w:space="0" w:color="auto"/>
      </w:divBdr>
    </w:div>
    <w:div w:id="1473667874">
      <w:bodyDiv w:val="1"/>
      <w:marLeft w:val="0"/>
      <w:marRight w:val="0"/>
      <w:marTop w:val="0"/>
      <w:marBottom w:val="0"/>
      <w:divBdr>
        <w:top w:val="none" w:sz="0" w:space="0" w:color="auto"/>
        <w:left w:val="none" w:sz="0" w:space="0" w:color="auto"/>
        <w:bottom w:val="none" w:sz="0" w:space="0" w:color="auto"/>
        <w:right w:val="none" w:sz="0" w:space="0" w:color="auto"/>
      </w:divBdr>
    </w:div>
    <w:div w:id="1475298092">
      <w:bodyDiv w:val="1"/>
      <w:marLeft w:val="0"/>
      <w:marRight w:val="0"/>
      <w:marTop w:val="0"/>
      <w:marBottom w:val="0"/>
      <w:divBdr>
        <w:top w:val="none" w:sz="0" w:space="0" w:color="auto"/>
        <w:left w:val="none" w:sz="0" w:space="0" w:color="auto"/>
        <w:bottom w:val="none" w:sz="0" w:space="0" w:color="auto"/>
        <w:right w:val="none" w:sz="0" w:space="0" w:color="auto"/>
      </w:divBdr>
    </w:div>
    <w:div w:id="1488743392">
      <w:bodyDiv w:val="1"/>
      <w:marLeft w:val="0"/>
      <w:marRight w:val="0"/>
      <w:marTop w:val="0"/>
      <w:marBottom w:val="0"/>
      <w:divBdr>
        <w:top w:val="none" w:sz="0" w:space="0" w:color="auto"/>
        <w:left w:val="none" w:sz="0" w:space="0" w:color="auto"/>
        <w:bottom w:val="none" w:sz="0" w:space="0" w:color="auto"/>
        <w:right w:val="none" w:sz="0" w:space="0" w:color="auto"/>
      </w:divBdr>
    </w:div>
    <w:div w:id="1518423414">
      <w:bodyDiv w:val="1"/>
      <w:marLeft w:val="0"/>
      <w:marRight w:val="0"/>
      <w:marTop w:val="0"/>
      <w:marBottom w:val="0"/>
      <w:divBdr>
        <w:top w:val="none" w:sz="0" w:space="0" w:color="auto"/>
        <w:left w:val="none" w:sz="0" w:space="0" w:color="auto"/>
        <w:bottom w:val="none" w:sz="0" w:space="0" w:color="auto"/>
        <w:right w:val="none" w:sz="0" w:space="0" w:color="auto"/>
      </w:divBdr>
    </w:div>
    <w:div w:id="1543666955">
      <w:bodyDiv w:val="1"/>
      <w:marLeft w:val="0"/>
      <w:marRight w:val="0"/>
      <w:marTop w:val="0"/>
      <w:marBottom w:val="0"/>
      <w:divBdr>
        <w:top w:val="none" w:sz="0" w:space="0" w:color="auto"/>
        <w:left w:val="none" w:sz="0" w:space="0" w:color="auto"/>
        <w:bottom w:val="none" w:sz="0" w:space="0" w:color="auto"/>
        <w:right w:val="none" w:sz="0" w:space="0" w:color="auto"/>
      </w:divBdr>
    </w:div>
    <w:div w:id="1549682681">
      <w:bodyDiv w:val="1"/>
      <w:marLeft w:val="0"/>
      <w:marRight w:val="0"/>
      <w:marTop w:val="0"/>
      <w:marBottom w:val="0"/>
      <w:divBdr>
        <w:top w:val="none" w:sz="0" w:space="0" w:color="auto"/>
        <w:left w:val="none" w:sz="0" w:space="0" w:color="auto"/>
        <w:bottom w:val="none" w:sz="0" w:space="0" w:color="auto"/>
        <w:right w:val="none" w:sz="0" w:space="0" w:color="auto"/>
      </w:divBdr>
    </w:div>
    <w:div w:id="1575551477">
      <w:bodyDiv w:val="1"/>
      <w:marLeft w:val="0"/>
      <w:marRight w:val="0"/>
      <w:marTop w:val="0"/>
      <w:marBottom w:val="0"/>
      <w:divBdr>
        <w:top w:val="none" w:sz="0" w:space="0" w:color="auto"/>
        <w:left w:val="none" w:sz="0" w:space="0" w:color="auto"/>
        <w:bottom w:val="none" w:sz="0" w:space="0" w:color="auto"/>
        <w:right w:val="none" w:sz="0" w:space="0" w:color="auto"/>
      </w:divBdr>
    </w:div>
    <w:div w:id="1588466238">
      <w:bodyDiv w:val="1"/>
      <w:marLeft w:val="0"/>
      <w:marRight w:val="0"/>
      <w:marTop w:val="0"/>
      <w:marBottom w:val="0"/>
      <w:divBdr>
        <w:top w:val="none" w:sz="0" w:space="0" w:color="auto"/>
        <w:left w:val="none" w:sz="0" w:space="0" w:color="auto"/>
        <w:bottom w:val="none" w:sz="0" w:space="0" w:color="auto"/>
        <w:right w:val="none" w:sz="0" w:space="0" w:color="auto"/>
      </w:divBdr>
    </w:div>
    <w:div w:id="1658724365">
      <w:bodyDiv w:val="1"/>
      <w:marLeft w:val="0"/>
      <w:marRight w:val="0"/>
      <w:marTop w:val="0"/>
      <w:marBottom w:val="0"/>
      <w:divBdr>
        <w:top w:val="none" w:sz="0" w:space="0" w:color="auto"/>
        <w:left w:val="none" w:sz="0" w:space="0" w:color="auto"/>
        <w:bottom w:val="none" w:sz="0" w:space="0" w:color="auto"/>
        <w:right w:val="none" w:sz="0" w:space="0" w:color="auto"/>
      </w:divBdr>
    </w:div>
    <w:div w:id="1672558803">
      <w:bodyDiv w:val="1"/>
      <w:marLeft w:val="0"/>
      <w:marRight w:val="0"/>
      <w:marTop w:val="0"/>
      <w:marBottom w:val="0"/>
      <w:divBdr>
        <w:top w:val="none" w:sz="0" w:space="0" w:color="auto"/>
        <w:left w:val="none" w:sz="0" w:space="0" w:color="auto"/>
        <w:bottom w:val="none" w:sz="0" w:space="0" w:color="auto"/>
        <w:right w:val="none" w:sz="0" w:space="0" w:color="auto"/>
      </w:divBdr>
    </w:div>
    <w:div w:id="1682969641">
      <w:bodyDiv w:val="1"/>
      <w:marLeft w:val="0"/>
      <w:marRight w:val="0"/>
      <w:marTop w:val="0"/>
      <w:marBottom w:val="0"/>
      <w:divBdr>
        <w:top w:val="none" w:sz="0" w:space="0" w:color="auto"/>
        <w:left w:val="none" w:sz="0" w:space="0" w:color="auto"/>
        <w:bottom w:val="none" w:sz="0" w:space="0" w:color="auto"/>
        <w:right w:val="none" w:sz="0" w:space="0" w:color="auto"/>
      </w:divBdr>
    </w:div>
    <w:div w:id="1683317648">
      <w:bodyDiv w:val="1"/>
      <w:marLeft w:val="0"/>
      <w:marRight w:val="0"/>
      <w:marTop w:val="0"/>
      <w:marBottom w:val="0"/>
      <w:divBdr>
        <w:top w:val="none" w:sz="0" w:space="0" w:color="auto"/>
        <w:left w:val="none" w:sz="0" w:space="0" w:color="auto"/>
        <w:bottom w:val="none" w:sz="0" w:space="0" w:color="auto"/>
        <w:right w:val="none" w:sz="0" w:space="0" w:color="auto"/>
      </w:divBdr>
    </w:div>
    <w:div w:id="1683584019">
      <w:bodyDiv w:val="1"/>
      <w:marLeft w:val="0"/>
      <w:marRight w:val="0"/>
      <w:marTop w:val="0"/>
      <w:marBottom w:val="0"/>
      <w:divBdr>
        <w:top w:val="none" w:sz="0" w:space="0" w:color="auto"/>
        <w:left w:val="none" w:sz="0" w:space="0" w:color="auto"/>
        <w:bottom w:val="none" w:sz="0" w:space="0" w:color="auto"/>
        <w:right w:val="none" w:sz="0" w:space="0" w:color="auto"/>
      </w:divBdr>
    </w:div>
    <w:div w:id="1690252302">
      <w:bodyDiv w:val="1"/>
      <w:marLeft w:val="0"/>
      <w:marRight w:val="0"/>
      <w:marTop w:val="0"/>
      <w:marBottom w:val="0"/>
      <w:divBdr>
        <w:top w:val="none" w:sz="0" w:space="0" w:color="auto"/>
        <w:left w:val="none" w:sz="0" w:space="0" w:color="auto"/>
        <w:bottom w:val="none" w:sz="0" w:space="0" w:color="auto"/>
        <w:right w:val="none" w:sz="0" w:space="0" w:color="auto"/>
      </w:divBdr>
    </w:div>
    <w:div w:id="1696685200">
      <w:bodyDiv w:val="1"/>
      <w:marLeft w:val="0"/>
      <w:marRight w:val="0"/>
      <w:marTop w:val="0"/>
      <w:marBottom w:val="0"/>
      <w:divBdr>
        <w:top w:val="none" w:sz="0" w:space="0" w:color="auto"/>
        <w:left w:val="none" w:sz="0" w:space="0" w:color="auto"/>
        <w:bottom w:val="none" w:sz="0" w:space="0" w:color="auto"/>
        <w:right w:val="none" w:sz="0" w:space="0" w:color="auto"/>
      </w:divBdr>
    </w:div>
    <w:div w:id="1697580364">
      <w:bodyDiv w:val="1"/>
      <w:marLeft w:val="0"/>
      <w:marRight w:val="0"/>
      <w:marTop w:val="0"/>
      <w:marBottom w:val="0"/>
      <w:divBdr>
        <w:top w:val="none" w:sz="0" w:space="0" w:color="auto"/>
        <w:left w:val="none" w:sz="0" w:space="0" w:color="auto"/>
        <w:bottom w:val="none" w:sz="0" w:space="0" w:color="auto"/>
        <w:right w:val="none" w:sz="0" w:space="0" w:color="auto"/>
      </w:divBdr>
    </w:div>
    <w:div w:id="1701083647">
      <w:bodyDiv w:val="1"/>
      <w:marLeft w:val="0"/>
      <w:marRight w:val="0"/>
      <w:marTop w:val="0"/>
      <w:marBottom w:val="0"/>
      <w:divBdr>
        <w:top w:val="none" w:sz="0" w:space="0" w:color="auto"/>
        <w:left w:val="none" w:sz="0" w:space="0" w:color="auto"/>
        <w:bottom w:val="none" w:sz="0" w:space="0" w:color="auto"/>
        <w:right w:val="none" w:sz="0" w:space="0" w:color="auto"/>
      </w:divBdr>
    </w:div>
    <w:div w:id="1742217178">
      <w:bodyDiv w:val="1"/>
      <w:marLeft w:val="0"/>
      <w:marRight w:val="0"/>
      <w:marTop w:val="0"/>
      <w:marBottom w:val="0"/>
      <w:divBdr>
        <w:top w:val="none" w:sz="0" w:space="0" w:color="auto"/>
        <w:left w:val="none" w:sz="0" w:space="0" w:color="auto"/>
        <w:bottom w:val="none" w:sz="0" w:space="0" w:color="auto"/>
        <w:right w:val="none" w:sz="0" w:space="0" w:color="auto"/>
      </w:divBdr>
    </w:div>
    <w:div w:id="1744909639">
      <w:bodyDiv w:val="1"/>
      <w:marLeft w:val="0"/>
      <w:marRight w:val="0"/>
      <w:marTop w:val="0"/>
      <w:marBottom w:val="0"/>
      <w:divBdr>
        <w:top w:val="none" w:sz="0" w:space="0" w:color="auto"/>
        <w:left w:val="none" w:sz="0" w:space="0" w:color="auto"/>
        <w:bottom w:val="none" w:sz="0" w:space="0" w:color="auto"/>
        <w:right w:val="none" w:sz="0" w:space="0" w:color="auto"/>
      </w:divBdr>
    </w:div>
    <w:div w:id="1774477728">
      <w:bodyDiv w:val="1"/>
      <w:marLeft w:val="0"/>
      <w:marRight w:val="0"/>
      <w:marTop w:val="0"/>
      <w:marBottom w:val="0"/>
      <w:divBdr>
        <w:top w:val="none" w:sz="0" w:space="0" w:color="auto"/>
        <w:left w:val="none" w:sz="0" w:space="0" w:color="auto"/>
        <w:bottom w:val="none" w:sz="0" w:space="0" w:color="auto"/>
        <w:right w:val="none" w:sz="0" w:space="0" w:color="auto"/>
      </w:divBdr>
    </w:div>
    <w:div w:id="1779106713">
      <w:bodyDiv w:val="1"/>
      <w:marLeft w:val="0"/>
      <w:marRight w:val="0"/>
      <w:marTop w:val="0"/>
      <w:marBottom w:val="0"/>
      <w:divBdr>
        <w:top w:val="none" w:sz="0" w:space="0" w:color="auto"/>
        <w:left w:val="none" w:sz="0" w:space="0" w:color="auto"/>
        <w:bottom w:val="none" w:sz="0" w:space="0" w:color="auto"/>
        <w:right w:val="none" w:sz="0" w:space="0" w:color="auto"/>
      </w:divBdr>
    </w:div>
    <w:div w:id="1806118955">
      <w:bodyDiv w:val="1"/>
      <w:marLeft w:val="0"/>
      <w:marRight w:val="0"/>
      <w:marTop w:val="0"/>
      <w:marBottom w:val="0"/>
      <w:divBdr>
        <w:top w:val="none" w:sz="0" w:space="0" w:color="auto"/>
        <w:left w:val="none" w:sz="0" w:space="0" w:color="auto"/>
        <w:bottom w:val="none" w:sz="0" w:space="0" w:color="auto"/>
        <w:right w:val="none" w:sz="0" w:space="0" w:color="auto"/>
      </w:divBdr>
    </w:div>
    <w:div w:id="1819034404">
      <w:bodyDiv w:val="1"/>
      <w:marLeft w:val="0"/>
      <w:marRight w:val="0"/>
      <w:marTop w:val="0"/>
      <w:marBottom w:val="0"/>
      <w:divBdr>
        <w:top w:val="none" w:sz="0" w:space="0" w:color="auto"/>
        <w:left w:val="none" w:sz="0" w:space="0" w:color="auto"/>
        <w:bottom w:val="none" w:sz="0" w:space="0" w:color="auto"/>
        <w:right w:val="none" w:sz="0" w:space="0" w:color="auto"/>
      </w:divBdr>
    </w:div>
    <w:div w:id="1831870413">
      <w:bodyDiv w:val="1"/>
      <w:marLeft w:val="0"/>
      <w:marRight w:val="0"/>
      <w:marTop w:val="0"/>
      <w:marBottom w:val="0"/>
      <w:divBdr>
        <w:top w:val="none" w:sz="0" w:space="0" w:color="auto"/>
        <w:left w:val="none" w:sz="0" w:space="0" w:color="auto"/>
        <w:bottom w:val="none" w:sz="0" w:space="0" w:color="auto"/>
        <w:right w:val="none" w:sz="0" w:space="0" w:color="auto"/>
      </w:divBdr>
    </w:div>
    <w:div w:id="1861776109">
      <w:bodyDiv w:val="1"/>
      <w:marLeft w:val="0"/>
      <w:marRight w:val="0"/>
      <w:marTop w:val="0"/>
      <w:marBottom w:val="0"/>
      <w:divBdr>
        <w:top w:val="none" w:sz="0" w:space="0" w:color="auto"/>
        <w:left w:val="none" w:sz="0" w:space="0" w:color="auto"/>
        <w:bottom w:val="none" w:sz="0" w:space="0" w:color="auto"/>
        <w:right w:val="none" w:sz="0" w:space="0" w:color="auto"/>
      </w:divBdr>
    </w:div>
    <w:div w:id="1890141028">
      <w:bodyDiv w:val="1"/>
      <w:marLeft w:val="0"/>
      <w:marRight w:val="0"/>
      <w:marTop w:val="0"/>
      <w:marBottom w:val="0"/>
      <w:divBdr>
        <w:top w:val="none" w:sz="0" w:space="0" w:color="auto"/>
        <w:left w:val="none" w:sz="0" w:space="0" w:color="auto"/>
        <w:bottom w:val="none" w:sz="0" w:space="0" w:color="auto"/>
        <w:right w:val="none" w:sz="0" w:space="0" w:color="auto"/>
      </w:divBdr>
    </w:div>
    <w:div w:id="1898205563">
      <w:bodyDiv w:val="1"/>
      <w:marLeft w:val="0"/>
      <w:marRight w:val="0"/>
      <w:marTop w:val="0"/>
      <w:marBottom w:val="0"/>
      <w:divBdr>
        <w:top w:val="none" w:sz="0" w:space="0" w:color="auto"/>
        <w:left w:val="none" w:sz="0" w:space="0" w:color="auto"/>
        <w:bottom w:val="none" w:sz="0" w:space="0" w:color="auto"/>
        <w:right w:val="none" w:sz="0" w:space="0" w:color="auto"/>
      </w:divBdr>
    </w:div>
    <w:div w:id="1901211826">
      <w:bodyDiv w:val="1"/>
      <w:marLeft w:val="0"/>
      <w:marRight w:val="0"/>
      <w:marTop w:val="0"/>
      <w:marBottom w:val="0"/>
      <w:divBdr>
        <w:top w:val="none" w:sz="0" w:space="0" w:color="auto"/>
        <w:left w:val="none" w:sz="0" w:space="0" w:color="auto"/>
        <w:bottom w:val="none" w:sz="0" w:space="0" w:color="auto"/>
        <w:right w:val="none" w:sz="0" w:space="0" w:color="auto"/>
      </w:divBdr>
    </w:div>
    <w:div w:id="1919828399">
      <w:bodyDiv w:val="1"/>
      <w:marLeft w:val="0"/>
      <w:marRight w:val="0"/>
      <w:marTop w:val="0"/>
      <w:marBottom w:val="0"/>
      <w:divBdr>
        <w:top w:val="none" w:sz="0" w:space="0" w:color="auto"/>
        <w:left w:val="none" w:sz="0" w:space="0" w:color="auto"/>
        <w:bottom w:val="none" w:sz="0" w:space="0" w:color="auto"/>
        <w:right w:val="none" w:sz="0" w:space="0" w:color="auto"/>
      </w:divBdr>
    </w:div>
    <w:div w:id="1931350810">
      <w:bodyDiv w:val="1"/>
      <w:marLeft w:val="0"/>
      <w:marRight w:val="0"/>
      <w:marTop w:val="0"/>
      <w:marBottom w:val="0"/>
      <w:divBdr>
        <w:top w:val="none" w:sz="0" w:space="0" w:color="auto"/>
        <w:left w:val="none" w:sz="0" w:space="0" w:color="auto"/>
        <w:bottom w:val="none" w:sz="0" w:space="0" w:color="auto"/>
        <w:right w:val="none" w:sz="0" w:space="0" w:color="auto"/>
      </w:divBdr>
    </w:div>
    <w:div w:id="1933587237">
      <w:bodyDiv w:val="1"/>
      <w:marLeft w:val="0"/>
      <w:marRight w:val="0"/>
      <w:marTop w:val="0"/>
      <w:marBottom w:val="0"/>
      <w:divBdr>
        <w:top w:val="none" w:sz="0" w:space="0" w:color="auto"/>
        <w:left w:val="none" w:sz="0" w:space="0" w:color="auto"/>
        <w:bottom w:val="none" w:sz="0" w:space="0" w:color="auto"/>
        <w:right w:val="none" w:sz="0" w:space="0" w:color="auto"/>
      </w:divBdr>
    </w:div>
    <w:div w:id="1933780815">
      <w:bodyDiv w:val="1"/>
      <w:marLeft w:val="0"/>
      <w:marRight w:val="0"/>
      <w:marTop w:val="0"/>
      <w:marBottom w:val="0"/>
      <w:divBdr>
        <w:top w:val="none" w:sz="0" w:space="0" w:color="auto"/>
        <w:left w:val="none" w:sz="0" w:space="0" w:color="auto"/>
        <w:bottom w:val="none" w:sz="0" w:space="0" w:color="auto"/>
        <w:right w:val="none" w:sz="0" w:space="0" w:color="auto"/>
      </w:divBdr>
    </w:div>
    <w:div w:id="1939170698">
      <w:bodyDiv w:val="1"/>
      <w:marLeft w:val="0"/>
      <w:marRight w:val="0"/>
      <w:marTop w:val="0"/>
      <w:marBottom w:val="0"/>
      <w:divBdr>
        <w:top w:val="none" w:sz="0" w:space="0" w:color="auto"/>
        <w:left w:val="none" w:sz="0" w:space="0" w:color="auto"/>
        <w:bottom w:val="none" w:sz="0" w:space="0" w:color="auto"/>
        <w:right w:val="none" w:sz="0" w:space="0" w:color="auto"/>
      </w:divBdr>
    </w:div>
    <w:div w:id="1961952164">
      <w:bodyDiv w:val="1"/>
      <w:marLeft w:val="0"/>
      <w:marRight w:val="0"/>
      <w:marTop w:val="0"/>
      <w:marBottom w:val="0"/>
      <w:divBdr>
        <w:top w:val="none" w:sz="0" w:space="0" w:color="auto"/>
        <w:left w:val="none" w:sz="0" w:space="0" w:color="auto"/>
        <w:bottom w:val="none" w:sz="0" w:space="0" w:color="auto"/>
        <w:right w:val="none" w:sz="0" w:space="0" w:color="auto"/>
      </w:divBdr>
    </w:div>
    <w:div w:id="1972052357">
      <w:bodyDiv w:val="1"/>
      <w:marLeft w:val="0"/>
      <w:marRight w:val="0"/>
      <w:marTop w:val="0"/>
      <w:marBottom w:val="0"/>
      <w:divBdr>
        <w:top w:val="none" w:sz="0" w:space="0" w:color="auto"/>
        <w:left w:val="none" w:sz="0" w:space="0" w:color="auto"/>
        <w:bottom w:val="none" w:sz="0" w:space="0" w:color="auto"/>
        <w:right w:val="none" w:sz="0" w:space="0" w:color="auto"/>
      </w:divBdr>
    </w:div>
    <w:div w:id="1996908000">
      <w:bodyDiv w:val="1"/>
      <w:marLeft w:val="0"/>
      <w:marRight w:val="0"/>
      <w:marTop w:val="0"/>
      <w:marBottom w:val="0"/>
      <w:divBdr>
        <w:top w:val="none" w:sz="0" w:space="0" w:color="auto"/>
        <w:left w:val="none" w:sz="0" w:space="0" w:color="auto"/>
        <w:bottom w:val="none" w:sz="0" w:space="0" w:color="auto"/>
        <w:right w:val="none" w:sz="0" w:space="0" w:color="auto"/>
      </w:divBdr>
    </w:div>
    <w:div w:id="2028362205">
      <w:bodyDiv w:val="1"/>
      <w:marLeft w:val="0"/>
      <w:marRight w:val="0"/>
      <w:marTop w:val="0"/>
      <w:marBottom w:val="0"/>
      <w:divBdr>
        <w:top w:val="none" w:sz="0" w:space="0" w:color="auto"/>
        <w:left w:val="none" w:sz="0" w:space="0" w:color="auto"/>
        <w:bottom w:val="none" w:sz="0" w:space="0" w:color="auto"/>
        <w:right w:val="none" w:sz="0" w:space="0" w:color="auto"/>
      </w:divBdr>
    </w:div>
    <w:div w:id="2029526570">
      <w:bodyDiv w:val="1"/>
      <w:marLeft w:val="0"/>
      <w:marRight w:val="0"/>
      <w:marTop w:val="0"/>
      <w:marBottom w:val="0"/>
      <w:divBdr>
        <w:top w:val="none" w:sz="0" w:space="0" w:color="auto"/>
        <w:left w:val="none" w:sz="0" w:space="0" w:color="auto"/>
        <w:bottom w:val="none" w:sz="0" w:space="0" w:color="auto"/>
        <w:right w:val="none" w:sz="0" w:space="0" w:color="auto"/>
      </w:divBdr>
    </w:div>
    <w:div w:id="20323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fs01\GazdasagiIg\Kontrolling_foo\Tarsasagi\2018.%20&#233;vi%20&#220;T\&#220;T%20t&#233;ny%20alapon\&#220;zemanyag%20&#225;rhat&#225;s-mennyis&#233;gi%20hat&#225;s_diagram_20180307.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munkalap.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FFC000"/>
              </a:solidFill>
            </c:spPr>
            <c:extLst>
              <c:ext xmlns:c16="http://schemas.microsoft.com/office/drawing/2014/chart" uri="{C3380CC4-5D6E-409C-BE32-E72D297353CC}">
                <c16:uniqueId val="{00000001-C5D5-4F6D-A170-6749EA482F08}"/>
              </c:ext>
            </c:extLst>
          </c:dPt>
          <c:dPt>
            <c:idx val="1"/>
            <c:invertIfNegative val="0"/>
            <c:bubble3D val="0"/>
            <c:spPr>
              <a:solidFill>
                <a:schemeClr val="accent1">
                  <a:lumMod val="60000"/>
                  <a:lumOff val="40000"/>
                </a:schemeClr>
              </a:solidFill>
            </c:spPr>
            <c:extLst>
              <c:ext xmlns:c16="http://schemas.microsoft.com/office/drawing/2014/chart" uri="{C3380CC4-5D6E-409C-BE32-E72D297353CC}">
                <c16:uniqueId val="{00000003-C5D5-4F6D-A170-6749EA482F08}"/>
              </c:ext>
            </c:extLst>
          </c:dPt>
          <c:dPt>
            <c:idx val="2"/>
            <c:invertIfNegative val="0"/>
            <c:bubble3D val="0"/>
            <c:spPr>
              <a:solidFill>
                <a:srgbClr val="92D050"/>
              </a:solidFill>
            </c:spPr>
            <c:extLst>
              <c:ext xmlns:c16="http://schemas.microsoft.com/office/drawing/2014/chart" uri="{C3380CC4-5D6E-409C-BE32-E72D297353CC}">
                <c16:uniqueId val="{00000005-C5D5-4F6D-A170-6749EA482F08}"/>
              </c:ext>
            </c:extLst>
          </c:dPt>
          <c:dLbls>
            <c:dLbl>
              <c:idx val="0"/>
              <c:layout>
                <c:manualLayout>
                  <c:x val="8.8319605210639054E-4"/>
                  <c:y val="1.4625821948934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D5-4F6D-A170-6749EA482F08}"/>
                </c:ext>
              </c:extLst>
            </c:dLbl>
            <c:dLbl>
              <c:idx val="1"/>
              <c:layout>
                <c:manualLayout>
                  <c:x val="-2.419052457152535E-7"/>
                  <c:y val="2.9196739100191979E-2"/>
                </c:manualLayout>
              </c:layout>
              <c:tx>
                <c:rich>
                  <a:bodyPr/>
                  <a:lstStyle/>
                  <a:p>
                    <a:r>
                      <a:rPr lang="en-US" sz="1100"/>
                      <a:t> 958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D5-4F6D-A170-6749EA482F08}"/>
                </c:ext>
              </c:extLst>
            </c:dLbl>
            <c:dLbl>
              <c:idx val="2"/>
              <c:layout>
                <c:manualLayout>
                  <c:x val="3.0721966205837182E-3"/>
                  <c:y val="1.41346465967372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D5-4F6D-A170-6749EA482F08}"/>
                </c:ext>
              </c:extLst>
            </c:dLbl>
            <c:spPr>
              <a:noFill/>
              <a:ln>
                <a:noFill/>
              </a:ln>
              <a:effectLst/>
            </c:spPr>
            <c:txPr>
              <a:bodyPr/>
              <a:lstStyle/>
              <a:p>
                <a:pPr>
                  <a:defRPr sz="1100" b="1"/>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'Üzemeltetési go.'!$A$5:$A$7</c:f>
              <c:strCache>
                <c:ptCount val="3"/>
                <c:pt idx="0">
                  <c:v>Árhatás</c:v>
                </c:pt>
                <c:pt idx="1">
                  <c:v>Mennyiségi hatás</c:v>
                </c:pt>
                <c:pt idx="2">
                  <c:v>Összesen</c:v>
                </c:pt>
              </c:strCache>
            </c:strRef>
          </c:cat>
          <c:val>
            <c:numRef>
              <c:f>'Üzemeltetési go.'!$B$5:$B$7</c:f>
              <c:numCache>
                <c:formatCode>_-* #,##0\ _F_t_-;\-* #,##0\ _F_t_-;_-* "-"??\ _F_t_-;_-@_-</c:formatCode>
                <c:ptCount val="3"/>
                <c:pt idx="0">
                  <c:v>185.59232999999969</c:v>
                </c:pt>
                <c:pt idx="1">
                  <c:v>958.55048999999997</c:v>
                </c:pt>
                <c:pt idx="2">
                  <c:v>1144.1428199999998</c:v>
                </c:pt>
              </c:numCache>
            </c:numRef>
          </c:val>
          <c:extLst>
            <c:ext xmlns:c16="http://schemas.microsoft.com/office/drawing/2014/chart" uri="{C3380CC4-5D6E-409C-BE32-E72D297353CC}">
              <c16:uniqueId val="{00000006-C5D5-4F6D-A170-6749EA482F08}"/>
            </c:ext>
          </c:extLst>
        </c:ser>
        <c:dLbls>
          <c:showLegendKey val="0"/>
          <c:showVal val="0"/>
          <c:showCatName val="0"/>
          <c:showSerName val="0"/>
          <c:showPercent val="0"/>
          <c:showBubbleSize val="0"/>
        </c:dLbls>
        <c:gapWidth val="150"/>
        <c:axId val="48080000"/>
        <c:axId val="48081536"/>
      </c:barChart>
      <c:catAx>
        <c:axId val="48080000"/>
        <c:scaling>
          <c:orientation val="minMax"/>
        </c:scaling>
        <c:delete val="0"/>
        <c:axPos val="b"/>
        <c:numFmt formatCode="General" sourceLinked="1"/>
        <c:majorTickMark val="out"/>
        <c:minorTickMark val="none"/>
        <c:tickLblPos val="low"/>
        <c:txPr>
          <a:bodyPr/>
          <a:lstStyle/>
          <a:p>
            <a:pPr>
              <a:defRPr sz="1100" b="1" baseline="0"/>
            </a:pPr>
            <a:endParaRPr lang="hu-HU"/>
          </a:p>
        </c:txPr>
        <c:crossAx val="48081536"/>
        <c:crosses val="autoZero"/>
        <c:auto val="1"/>
        <c:lblAlgn val="ctr"/>
        <c:lblOffset val="100"/>
        <c:noMultiLvlLbl val="0"/>
      </c:catAx>
      <c:valAx>
        <c:axId val="48081536"/>
        <c:scaling>
          <c:orientation val="minMax"/>
        </c:scaling>
        <c:delete val="1"/>
        <c:axPos val="l"/>
        <c:majorGridlines/>
        <c:numFmt formatCode="_-* #,##0\ _F_t_-;\-* #,##0\ _F_t_-;_-* &quot;-&quot;??\ _F_t_-;_-@_-" sourceLinked="1"/>
        <c:majorTickMark val="out"/>
        <c:minorTickMark val="none"/>
        <c:tickLblPos val="none"/>
        <c:crossAx val="480800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FFC000"/>
              </a:solidFill>
            </c:spPr>
            <c:extLst>
              <c:ext xmlns:c16="http://schemas.microsoft.com/office/drawing/2014/chart" uri="{C3380CC4-5D6E-409C-BE32-E72D297353CC}">
                <c16:uniqueId val="{00000001-C464-4715-B3D9-2C0009BAA6DB}"/>
              </c:ext>
            </c:extLst>
          </c:dPt>
          <c:dPt>
            <c:idx val="1"/>
            <c:invertIfNegative val="0"/>
            <c:bubble3D val="0"/>
            <c:spPr>
              <a:solidFill>
                <a:schemeClr val="accent1">
                  <a:lumMod val="60000"/>
                  <a:lumOff val="40000"/>
                </a:schemeClr>
              </a:solidFill>
            </c:spPr>
            <c:extLst>
              <c:ext xmlns:c16="http://schemas.microsoft.com/office/drawing/2014/chart" uri="{C3380CC4-5D6E-409C-BE32-E72D297353CC}">
                <c16:uniqueId val="{00000003-C464-4715-B3D9-2C0009BAA6DB}"/>
              </c:ext>
            </c:extLst>
          </c:dPt>
          <c:dPt>
            <c:idx val="2"/>
            <c:invertIfNegative val="0"/>
            <c:bubble3D val="0"/>
            <c:spPr>
              <a:solidFill>
                <a:srgbClr val="92D050"/>
              </a:solidFill>
            </c:spPr>
            <c:extLst>
              <c:ext xmlns:c16="http://schemas.microsoft.com/office/drawing/2014/chart" uri="{C3380CC4-5D6E-409C-BE32-E72D297353CC}">
                <c16:uniqueId val="{00000005-C464-4715-B3D9-2C0009BAA6DB}"/>
              </c:ext>
            </c:extLst>
          </c:dPt>
          <c:dLbls>
            <c:dLbl>
              <c:idx val="0"/>
              <c:layout>
                <c:manualLayout>
                  <c:x val="-2.1890005684773294E-3"/>
                  <c:y val="9.91439674280995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64-4715-B3D9-2C0009BAA6DB}"/>
                </c:ext>
              </c:extLst>
            </c:dLbl>
            <c:dLbl>
              <c:idx val="1"/>
              <c:layout>
                <c:manualLayout>
                  <c:x val="0"/>
                  <c:y val="5.2026005583224377E-3"/>
                </c:manualLayout>
              </c:layout>
              <c:tx>
                <c:rich>
                  <a:bodyPr/>
                  <a:lstStyle/>
                  <a:p>
                    <a:r>
                      <a:rPr lang="en-US" sz="1100"/>
                      <a:t>-409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64-4715-B3D9-2C0009BAA6DB}"/>
                </c:ext>
              </c:extLst>
            </c:dLbl>
            <c:dLbl>
              <c:idx val="2"/>
              <c:layout>
                <c:manualLayout>
                  <c:x val="0"/>
                  <c:y val="4.71179618448745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64-4715-B3D9-2C0009BAA6DB}"/>
                </c:ext>
              </c:extLst>
            </c:dLbl>
            <c:numFmt formatCode="#,##0" sourceLinked="0"/>
            <c:spPr>
              <a:noFill/>
              <a:ln>
                <a:noFill/>
              </a:ln>
              <a:effectLst/>
            </c:spPr>
            <c:txPr>
              <a:bodyPr/>
              <a:lstStyle/>
              <a:p>
                <a:pPr>
                  <a:defRPr sz="1100" b="1"/>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'Vontatási áram'!$A$7:$A$9</c:f>
              <c:strCache>
                <c:ptCount val="3"/>
                <c:pt idx="0">
                  <c:v>Árhatás</c:v>
                </c:pt>
                <c:pt idx="1">
                  <c:v>Mennyiségi hatás</c:v>
                </c:pt>
                <c:pt idx="2">
                  <c:v>Összesen</c:v>
                </c:pt>
              </c:strCache>
            </c:strRef>
          </c:cat>
          <c:val>
            <c:numRef>
              <c:f>'Vontatási áram'!$C$7:$C$9</c:f>
              <c:numCache>
                <c:formatCode>_-* #,##0.000\ _F_t_-;\-* #,##0.000\ _F_t_-;_-* "-"??\ _F_t_-;_-@_-</c:formatCode>
                <c:ptCount val="3"/>
                <c:pt idx="0">
                  <c:v>349.52098000000035</c:v>
                </c:pt>
                <c:pt idx="1">
                  <c:v>-408.16963778352391</c:v>
                </c:pt>
                <c:pt idx="2" formatCode="_-* #,##0\ _F_t_-;\-* #,##0\ _F_t_-;_-* &quot;-&quot;??\ _F_t_-;_-@_-">
                  <c:v>-58.648657783523959</c:v>
                </c:pt>
              </c:numCache>
            </c:numRef>
          </c:val>
          <c:extLst>
            <c:ext xmlns:c16="http://schemas.microsoft.com/office/drawing/2014/chart" uri="{C3380CC4-5D6E-409C-BE32-E72D297353CC}">
              <c16:uniqueId val="{00000006-C464-4715-B3D9-2C0009BAA6DB}"/>
            </c:ext>
          </c:extLst>
        </c:ser>
        <c:dLbls>
          <c:showLegendKey val="0"/>
          <c:showVal val="0"/>
          <c:showCatName val="0"/>
          <c:showSerName val="0"/>
          <c:showPercent val="0"/>
          <c:showBubbleSize val="0"/>
        </c:dLbls>
        <c:gapWidth val="150"/>
        <c:axId val="82729216"/>
        <c:axId val="82747392"/>
      </c:barChart>
      <c:catAx>
        <c:axId val="82729216"/>
        <c:scaling>
          <c:orientation val="minMax"/>
        </c:scaling>
        <c:delete val="0"/>
        <c:axPos val="b"/>
        <c:numFmt formatCode="General" sourceLinked="1"/>
        <c:majorTickMark val="out"/>
        <c:minorTickMark val="none"/>
        <c:tickLblPos val="low"/>
        <c:txPr>
          <a:bodyPr/>
          <a:lstStyle/>
          <a:p>
            <a:pPr>
              <a:defRPr sz="1100" b="1" baseline="0"/>
            </a:pPr>
            <a:endParaRPr lang="hu-HU"/>
          </a:p>
        </c:txPr>
        <c:crossAx val="82747392"/>
        <c:crosses val="autoZero"/>
        <c:auto val="1"/>
        <c:lblAlgn val="ctr"/>
        <c:lblOffset val="100"/>
        <c:noMultiLvlLbl val="0"/>
      </c:catAx>
      <c:valAx>
        <c:axId val="82747392"/>
        <c:scaling>
          <c:orientation val="minMax"/>
        </c:scaling>
        <c:delete val="1"/>
        <c:axPos val="l"/>
        <c:majorGridlines/>
        <c:numFmt formatCode="_-* #,##0.000\ _F_t_-;\-* #,##0.000\ _F_t_-;_-* &quot;-&quot;??\ _F_t_-;_-@_-" sourceLinked="1"/>
        <c:majorTickMark val="out"/>
        <c:minorTickMark val="none"/>
        <c:tickLblPos val="none"/>
        <c:crossAx val="827292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BE0D-61A1-408A-BB9E-9D4CADA0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17432</Words>
  <Characters>120285</Characters>
  <Application>Microsoft Office Word</Application>
  <DocSecurity>0</DocSecurity>
  <Lines>1002</Lines>
  <Paragraphs>274</Paragraphs>
  <ScaleCrop>false</ScaleCrop>
  <HeadingPairs>
    <vt:vector size="2" baseType="variant">
      <vt:variant>
        <vt:lpstr>Cím</vt:lpstr>
      </vt:variant>
      <vt:variant>
        <vt:i4>1</vt:i4>
      </vt:variant>
    </vt:vector>
  </HeadingPairs>
  <TitlesOfParts>
    <vt:vector size="1" baseType="lpstr">
      <vt:lpstr/>
    </vt:vector>
  </TitlesOfParts>
  <Company>BKV</Company>
  <LinksUpToDate>false</LinksUpToDate>
  <CharactersWithSpaces>137443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CsontosA@bkv.hu;hunyadisz@bkv.hu</dc:creator>
  <cp:lastModifiedBy>Telek Noémi Anett</cp:lastModifiedBy>
  <cp:revision>8</cp:revision>
  <cp:lastPrinted>2018-04-25T07:05:00Z</cp:lastPrinted>
  <dcterms:created xsi:type="dcterms:W3CDTF">2018-04-27T10:11:00Z</dcterms:created>
  <dcterms:modified xsi:type="dcterms:W3CDTF">2018-05-07T11:31:00Z</dcterms:modified>
</cp:coreProperties>
</file>