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6777" w14:textId="77777777" w:rsidR="009D5610" w:rsidRPr="009319B5" w:rsidRDefault="009D5610" w:rsidP="00FA3C6C">
      <w:pPr>
        <w:pStyle w:val="Listaszerbekezds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9319B5">
        <w:rPr>
          <w:rFonts w:ascii="Arial" w:hAnsi="Arial" w:cs="Arial"/>
          <w:b/>
        </w:rPr>
        <w:t xml:space="preserve">Ingatlan </w:t>
      </w:r>
      <w:r w:rsidR="00087B59" w:rsidRPr="009319B5">
        <w:rPr>
          <w:rFonts w:ascii="Arial" w:hAnsi="Arial" w:cs="Arial"/>
          <w:b/>
        </w:rPr>
        <w:t xml:space="preserve">és ingó vagyon </w:t>
      </w:r>
      <w:r w:rsidRPr="009319B5">
        <w:rPr>
          <w:rFonts w:ascii="Arial" w:hAnsi="Arial" w:cs="Arial"/>
          <w:b/>
        </w:rPr>
        <w:t>értékbecslés</w:t>
      </w:r>
    </w:p>
    <w:p w14:paraId="689713B3" w14:textId="77777777" w:rsidR="009D5610" w:rsidRPr="009319B5" w:rsidRDefault="009D5610" w:rsidP="00FA3C6C">
      <w:pPr>
        <w:pStyle w:val="Listaszerbekezds"/>
        <w:numPr>
          <w:ilvl w:val="1"/>
          <w:numId w:val="11"/>
        </w:numPr>
        <w:spacing w:after="120" w:line="240" w:lineRule="auto"/>
        <w:ind w:left="851" w:hanging="567"/>
        <w:contextualSpacing w:val="0"/>
        <w:jc w:val="both"/>
        <w:rPr>
          <w:rFonts w:ascii="Arial" w:hAnsi="Arial" w:cs="Arial"/>
          <w:b/>
        </w:rPr>
      </w:pPr>
      <w:r w:rsidRPr="009319B5">
        <w:rPr>
          <w:rFonts w:ascii="Arial" w:hAnsi="Arial" w:cs="Arial"/>
          <w:b/>
        </w:rPr>
        <w:t>Ingatlan</w:t>
      </w:r>
      <w:r w:rsidR="00813751" w:rsidRPr="009319B5">
        <w:rPr>
          <w:rFonts w:ascii="Arial" w:hAnsi="Arial" w:cs="Arial"/>
          <w:b/>
        </w:rPr>
        <w:t xml:space="preserve"> értékbecslés</w:t>
      </w:r>
      <w:r w:rsidR="004C5552" w:rsidRPr="009319B5">
        <w:rPr>
          <w:rFonts w:ascii="Arial" w:hAnsi="Arial" w:cs="Arial"/>
          <w:b/>
        </w:rPr>
        <w:t xml:space="preserve">, </w:t>
      </w:r>
      <w:r w:rsidR="003B00D7" w:rsidRPr="009319B5">
        <w:rPr>
          <w:rFonts w:ascii="Arial" w:hAnsi="Arial" w:cs="Arial"/>
          <w:b/>
        </w:rPr>
        <w:t>l</w:t>
      </w:r>
      <w:r w:rsidR="004C5552" w:rsidRPr="009319B5">
        <w:rPr>
          <w:rFonts w:ascii="Arial" w:hAnsi="Arial" w:cs="Arial"/>
          <w:b/>
        </w:rPr>
        <w:t>ejárt érvényességű értékbecslések aktualizálása</w:t>
      </w:r>
    </w:p>
    <w:p w14:paraId="06DBA135" w14:textId="77777777" w:rsidR="009D5610" w:rsidRPr="00FE0D3D" w:rsidRDefault="0014074A" w:rsidP="00FA3C6C">
      <w:pPr>
        <w:pStyle w:val="Listaszerbekezds"/>
        <w:numPr>
          <w:ilvl w:val="2"/>
          <w:numId w:val="11"/>
        </w:numPr>
        <w:spacing w:after="120" w:line="240" w:lineRule="auto"/>
        <w:ind w:left="1276" w:hanging="709"/>
        <w:contextualSpacing w:val="0"/>
        <w:jc w:val="both"/>
        <w:rPr>
          <w:rFonts w:ascii="Arial" w:hAnsi="Arial" w:cs="Arial"/>
          <w:i/>
        </w:rPr>
      </w:pPr>
      <w:r w:rsidRPr="00FE0D3D">
        <w:rPr>
          <w:rFonts w:ascii="Arial" w:hAnsi="Arial" w:cs="Arial"/>
          <w:i/>
        </w:rPr>
        <w:t>Értékbecslési feladattal érintett ingatlanok köre</w:t>
      </w:r>
    </w:p>
    <w:p w14:paraId="32C4264D" w14:textId="77777777" w:rsidR="009B281A" w:rsidRDefault="009D5610" w:rsidP="00FA3C6C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</w:pPr>
      <w:r w:rsidRPr="009A18E0">
        <w:t xml:space="preserve">Az Önkormányzat tulajdonában lévő ingatlanok, az Önkormányzat tulajdonában lévő társaságok ingatlanportfoliójában lévő ingatlanok, valamint az Önkormányzat érdekkörébe tartozó ingatlanok </w:t>
      </w:r>
      <w:r w:rsidR="00513919">
        <w:t xml:space="preserve">piaci </w:t>
      </w:r>
      <w:r w:rsidRPr="009A18E0">
        <w:t>érték, bérleti díj, nyilvántartási érték</w:t>
      </w:r>
      <w:r w:rsidR="00131A2F" w:rsidRPr="009A18E0">
        <w:t>,</w:t>
      </w:r>
      <w:r w:rsidR="00513919">
        <w:t xml:space="preserve"> </w:t>
      </w:r>
      <w:r w:rsidR="00131A2F" w:rsidRPr="009A18E0">
        <w:t>vagyoni értékű jog</w:t>
      </w:r>
      <w:r w:rsidR="00513919">
        <w:t xml:space="preserve">, </w:t>
      </w:r>
      <w:r w:rsidRPr="009A18E0">
        <w:t>meghatározása a Közszolgáltató közszolgáltatási feladatai ellátása körében, illetve az Önkormányzat igénye szerint a mindenkori vonatkozó jogszabályoknak megfelelően.</w:t>
      </w:r>
    </w:p>
    <w:p w14:paraId="29FE2CB8" w14:textId="77777777" w:rsidR="009B281A" w:rsidRDefault="009D5610" w:rsidP="00FA3C6C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</w:pPr>
      <w:r w:rsidRPr="009A18E0">
        <w:t>A</w:t>
      </w:r>
      <w:r w:rsidR="00FE0D3D">
        <w:t>z</w:t>
      </w:r>
      <w:r w:rsidRPr="009A18E0">
        <w:t xml:space="preserve"> Önkormányzat elővásárlási jogának gyakorlása kapcsán felmerülő ingatlanok véleményezése</w:t>
      </w:r>
      <w:r w:rsidR="00143E5C" w:rsidRPr="009A18E0">
        <w:t xml:space="preserve"> érték szempontjából,</w:t>
      </w:r>
      <w:r w:rsidRPr="009A18E0">
        <w:t xml:space="preserve"> </w:t>
      </w:r>
      <w:r w:rsidR="00143E5C" w:rsidRPr="009A18E0">
        <w:t>külső értékbecslések felülvizsgálata, egyszerűsített piaci ár meghatározás tulajdonosi döntéshez</w:t>
      </w:r>
      <w:r w:rsidR="009B281A">
        <w:t>.</w:t>
      </w:r>
    </w:p>
    <w:p w14:paraId="17065308" w14:textId="77777777" w:rsidR="009B281A" w:rsidRDefault="009B281A" w:rsidP="00FA3C6C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0" w:line="240" w:lineRule="auto"/>
        <w:ind w:left="1985" w:hanging="851"/>
      </w:pPr>
      <w:r>
        <w:t>Kisajátítási/kártalanítási ügyekhez kapcsolódóan az eljárás során kirendelt igazságügyi szakértő által elkészített és Önkormányzat által Közszolgáltató részére megküldött szakvélemény felülvizsgálatán alapuló szakmai véleményezés, valamint szükség esetén a szakmai háttér biztosítása érdekében az eljárásban kitűzött helyszíni szemlén, valamint a tárgyaláson való részvétel.</w:t>
      </w:r>
    </w:p>
    <w:p w14:paraId="68AC189E" w14:textId="77777777" w:rsidR="00F46D92" w:rsidRDefault="00F46D92" w:rsidP="00FA3C6C">
      <w:pPr>
        <w:pStyle w:val="BPszvegtest"/>
        <w:tabs>
          <w:tab w:val="clear" w:pos="3740"/>
          <w:tab w:val="clear" w:pos="5720"/>
        </w:tabs>
        <w:spacing w:after="0" w:line="240" w:lineRule="auto"/>
        <w:ind w:left="1985"/>
      </w:pPr>
    </w:p>
    <w:p w14:paraId="2D3966E0" w14:textId="420A17D4" w:rsidR="009D5610" w:rsidRPr="009A18E0" w:rsidRDefault="0014074A" w:rsidP="00FA3C6C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</w:t>
      </w:r>
      <w:r w:rsidR="00BA73FC">
        <w:rPr>
          <w:rFonts w:ascii="Arial" w:hAnsi="Arial" w:cs="Arial"/>
          <w:i/>
        </w:rPr>
        <w:t>g</w:t>
      </w:r>
      <w:r>
        <w:rPr>
          <w:rFonts w:ascii="Arial" w:hAnsi="Arial" w:cs="Arial"/>
          <w:i/>
        </w:rPr>
        <w:t xml:space="preserve">atlan-értékbecslés </w:t>
      </w:r>
      <w:r w:rsidR="00FA3C6C">
        <w:rPr>
          <w:rFonts w:ascii="Arial" w:hAnsi="Arial" w:cs="Arial"/>
          <w:i/>
        </w:rPr>
        <w:t>készítés</w:t>
      </w:r>
      <w:r w:rsidR="00035F1A">
        <w:rPr>
          <w:rFonts w:ascii="Arial" w:hAnsi="Arial" w:cs="Arial"/>
          <w:i/>
        </w:rPr>
        <w:t>ének folyamata</w:t>
      </w:r>
      <w:r w:rsidR="00FA3C6C">
        <w:rPr>
          <w:rFonts w:ascii="Arial" w:hAnsi="Arial" w:cs="Arial"/>
          <w:i/>
        </w:rPr>
        <w:t xml:space="preserve"> </w:t>
      </w:r>
      <w:r w:rsidR="00365CA3">
        <w:rPr>
          <w:rFonts w:ascii="Arial" w:hAnsi="Arial" w:cs="Arial"/>
          <w:i/>
        </w:rPr>
        <w:t>(Értékbecslési Szabályzatban részletesen rögzítettek szerint)</w:t>
      </w:r>
    </w:p>
    <w:p w14:paraId="0E2C746C" w14:textId="52BE3C0A" w:rsidR="009D5610" w:rsidRPr="009A18E0" w:rsidRDefault="009D5610" w:rsidP="004C03C7">
      <w:pPr>
        <w:pStyle w:val="BPszvegtest"/>
        <w:tabs>
          <w:tab w:val="clear" w:pos="3740"/>
          <w:tab w:val="clear" w:pos="5720"/>
        </w:tabs>
        <w:spacing w:after="120" w:line="240" w:lineRule="auto"/>
        <w:ind w:left="1985"/>
        <w:rPr>
          <w:bCs/>
        </w:rPr>
      </w:pPr>
    </w:p>
    <w:p w14:paraId="5A7B0CEE" w14:textId="214F174C" w:rsidR="009D5610" w:rsidRPr="009A18E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 w:rsidRPr="009A18E0">
        <w:rPr>
          <w:bCs/>
        </w:rPr>
        <w:t>a</w:t>
      </w:r>
      <w:r w:rsidR="00FA3C6C">
        <w:rPr>
          <w:bCs/>
        </w:rPr>
        <w:t>z ingatlanra vonatkozó</w:t>
      </w:r>
      <w:r w:rsidRPr="009A18E0">
        <w:rPr>
          <w:bCs/>
        </w:rPr>
        <w:t xml:space="preserve"> szü</w:t>
      </w:r>
      <w:r w:rsidR="00BA73FC">
        <w:rPr>
          <w:bCs/>
        </w:rPr>
        <w:t>kséges dokumentumok beszerzése;</w:t>
      </w:r>
    </w:p>
    <w:p w14:paraId="3DABDB0E" w14:textId="34DC65D9" w:rsidR="009D5610" w:rsidRPr="009A18E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 w:rsidRPr="009A18E0">
        <w:rPr>
          <w:bCs/>
        </w:rPr>
        <w:t>alaprajz, műszaki dokumentáció, tulajd</w:t>
      </w:r>
      <w:bookmarkStart w:id="0" w:name="_GoBack"/>
      <w:bookmarkEnd w:id="0"/>
      <w:r w:rsidRPr="009A18E0">
        <w:rPr>
          <w:bCs/>
        </w:rPr>
        <w:t xml:space="preserve">oni lap, térképmásolat, </w:t>
      </w:r>
      <w:r w:rsidR="00513919">
        <w:rPr>
          <w:bCs/>
        </w:rPr>
        <w:t>egyéb releváns adat (pl. bérleti szerződés, társasházi alapító okirat, stb.)</w:t>
      </w:r>
      <w:r w:rsidR="00BA73FC">
        <w:rPr>
          <w:bCs/>
        </w:rPr>
        <w:t>;</w:t>
      </w:r>
    </w:p>
    <w:p w14:paraId="04FF84B4" w14:textId="78554CB9" w:rsidR="009D5610" w:rsidRPr="009A18E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 w:rsidRPr="009A18E0">
        <w:rPr>
          <w:bCs/>
        </w:rPr>
        <w:t>közművekkel kapcsolatos egyeztet</w:t>
      </w:r>
      <w:r w:rsidR="00BA73FC">
        <w:rPr>
          <w:bCs/>
        </w:rPr>
        <w:t>ések és információk beszerzése;</w:t>
      </w:r>
    </w:p>
    <w:p w14:paraId="59928DFC" w14:textId="297ED580" w:rsidR="009D5610" w:rsidRPr="009A18E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 w:rsidRPr="009A18E0">
        <w:rPr>
          <w:bCs/>
        </w:rPr>
        <w:t>építésügyi</w:t>
      </w:r>
      <w:r w:rsidR="00BA73FC">
        <w:rPr>
          <w:bCs/>
        </w:rPr>
        <w:t xml:space="preserve"> hatósággal történő konzultáció;</w:t>
      </w:r>
    </w:p>
    <w:p w14:paraId="665DD6E9" w14:textId="3E09C776" w:rsidR="009D5610" w:rsidRPr="009A18E0" w:rsidRDefault="00BA73FC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>
        <w:rPr>
          <w:bCs/>
        </w:rPr>
        <w:t>ingatlanok helyszíni bejárása;</w:t>
      </w:r>
    </w:p>
    <w:p w14:paraId="390A84BB" w14:textId="5F9E7F97" w:rsidR="009D5610" w:rsidRPr="009A18E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 w:rsidRPr="009A18E0">
        <w:rPr>
          <w:bCs/>
        </w:rPr>
        <w:t>a valós adatok egybevet</w:t>
      </w:r>
      <w:r w:rsidR="00BA73FC">
        <w:rPr>
          <w:bCs/>
        </w:rPr>
        <w:t>ése a nyilvántartási adatokkal;</w:t>
      </w:r>
    </w:p>
    <w:p w14:paraId="6392DCD6" w14:textId="6AB6B1F0" w:rsidR="009D5610" w:rsidRPr="00F46D92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0" w:line="240" w:lineRule="auto"/>
        <w:ind w:left="1985" w:hanging="851"/>
      </w:pPr>
      <w:r w:rsidRPr="009A18E0">
        <w:rPr>
          <w:bCs/>
        </w:rPr>
        <w:t>fényképfelvételen történő rögzítés</w:t>
      </w:r>
      <w:r w:rsidR="00BA73FC">
        <w:rPr>
          <w:bCs/>
        </w:rPr>
        <w:t>.</w:t>
      </w:r>
    </w:p>
    <w:p w14:paraId="142EF4F5" w14:textId="77777777" w:rsidR="00F46D92" w:rsidRPr="009A18E0" w:rsidRDefault="00F46D92" w:rsidP="00FA3C6C">
      <w:pPr>
        <w:pStyle w:val="BPszvegtest"/>
        <w:tabs>
          <w:tab w:val="clear" w:pos="3740"/>
          <w:tab w:val="clear" w:pos="5720"/>
        </w:tabs>
        <w:spacing w:after="0" w:line="240" w:lineRule="auto"/>
        <w:ind w:left="1985"/>
      </w:pPr>
    </w:p>
    <w:p w14:paraId="68780E1A" w14:textId="77777777" w:rsidR="009D5610" w:rsidRPr="009A18E0" w:rsidRDefault="009D5610" w:rsidP="00FA3C6C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i/>
        </w:rPr>
      </w:pPr>
      <w:r w:rsidRPr="009A18E0">
        <w:rPr>
          <w:rFonts w:ascii="Arial" w:hAnsi="Arial" w:cs="Arial"/>
          <w:i/>
        </w:rPr>
        <w:t>Értékbecslési</w:t>
      </w:r>
      <w:r w:rsidR="00CE4BFA" w:rsidRPr="009A18E0">
        <w:rPr>
          <w:rFonts w:ascii="Arial" w:hAnsi="Arial" w:cs="Arial"/>
          <w:i/>
        </w:rPr>
        <w:t xml:space="preserve"> módszer kiválasztása</w:t>
      </w:r>
    </w:p>
    <w:p w14:paraId="60C1F700" w14:textId="7872535D" w:rsidR="009D5610" w:rsidRPr="009A18E0" w:rsidRDefault="009319B5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>
        <w:rPr>
          <w:bCs/>
        </w:rPr>
        <w:t>k</w:t>
      </w:r>
      <w:r w:rsidR="00401292">
        <w:rPr>
          <w:bCs/>
        </w:rPr>
        <w:t>özszolgáltató</w:t>
      </w:r>
      <w:r w:rsidR="009D5610" w:rsidRPr="009A18E0">
        <w:rPr>
          <w:bCs/>
        </w:rPr>
        <w:t xml:space="preserve"> saját ingatlan-értékesítési adatbázisával (Interneten és </w:t>
      </w:r>
      <w:r w:rsidR="007E32F8" w:rsidRPr="009A18E0">
        <w:rPr>
          <w:bCs/>
        </w:rPr>
        <w:t xml:space="preserve">Tulajdonosi, </w:t>
      </w:r>
      <w:r w:rsidR="009D5610" w:rsidRPr="009A18E0">
        <w:rPr>
          <w:bCs/>
        </w:rPr>
        <w:t xml:space="preserve">Gazdasági </w:t>
      </w:r>
      <w:r w:rsidR="007E32F8" w:rsidRPr="009A18E0">
        <w:rPr>
          <w:bCs/>
        </w:rPr>
        <w:t xml:space="preserve">és Közterület-hasznosítási </w:t>
      </w:r>
      <w:r w:rsidR="009D5610" w:rsidRPr="009A18E0">
        <w:rPr>
          <w:bCs/>
        </w:rPr>
        <w:t>Bizottság korábbi, elővásárlási joggal kapcsolatos határozatai alapján</w:t>
      </w:r>
      <w:r w:rsidR="00143E5C" w:rsidRPr="009A18E0">
        <w:rPr>
          <w:bCs/>
        </w:rPr>
        <w:t>, szükség esetén NAV adatbázis beszerzése</w:t>
      </w:r>
      <w:r w:rsidR="009D5610" w:rsidRPr="009A18E0">
        <w:rPr>
          <w:bCs/>
        </w:rPr>
        <w:t xml:space="preserve">), </w:t>
      </w:r>
      <w:r w:rsidR="006E3569">
        <w:rPr>
          <w:bCs/>
        </w:rPr>
        <w:t xml:space="preserve">valamint az </w:t>
      </w:r>
      <w:r w:rsidR="002F6E20">
        <w:rPr>
          <w:bCs/>
        </w:rPr>
        <w:t>általánosan elfogadott szakmai portálokon, ingatlan hirdetési felületeken található hirdetésekkel és ad</w:t>
      </w:r>
      <w:r w:rsidR="00BA73FC">
        <w:rPr>
          <w:bCs/>
        </w:rPr>
        <w:t>atokkal történő összehasonlítás;</w:t>
      </w:r>
    </w:p>
    <w:p w14:paraId="0C2DA900" w14:textId="1DD81E72" w:rsidR="009D5610" w:rsidRPr="009A18E0" w:rsidRDefault="00BA73FC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>
        <w:rPr>
          <w:bCs/>
        </w:rPr>
        <w:t>mikrokörnyezet tanulmányozása;</w:t>
      </w:r>
    </w:p>
    <w:p w14:paraId="4EB90AFD" w14:textId="57C7DBEF" w:rsidR="009D5610" w:rsidRPr="009A18E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 w:rsidRPr="009A18E0">
        <w:rPr>
          <w:bCs/>
        </w:rPr>
        <w:t>szakmai konzultáció külső és belső szakértőkkel</w:t>
      </w:r>
      <w:r w:rsidR="00BA73FC">
        <w:rPr>
          <w:bCs/>
        </w:rPr>
        <w:t>;</w:t>
      </w:r>
    </w:p>
    <w:p w14:paraId="2BE76946" w14:textId="476178E1" w:rsidR="009D5610" w:rsidRPr="009319B5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</w:pPr>
      <w:r w:rsidRPr="009319B5">
        <w:t>elemzések tanulmányozása</w:t>
      </w:r>
      <w:r w:rsidR="00BA73FC" w:rsidRPr="009319B5">
        <w:t>;</w:t>
      </w:r>
    </w:p>
    <w:p w14:paraId="67BE6257" w14:textId="46A6AD74" w:rsidR="009D561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0" w:line="240" w:lineRule="auto"/>
        <w:ind w:left="1985" w:hanging="851"/>
        <w:rPr>
          <w:bCs/>
        </w:rPr>
      </w:pPr>
      <w:r w:rsidRPr="009A18E0">
        <w:rPr>
          <w:bCs/>
        </w:rPr>
        <w:t>számítások elvégzése</w:t>
      </w:r>
      <w:r w:rsidR="009319B5">
        <w:rPr>
          <w:bCs/>
        </w:rPr>
        <w:t>.</w:t>
      </w:r>
    </w:p>
    <w:p w14:paraId="0DCFA17D" w14:textId="77777777" w:rsidR="00F46D92" w:rsidRDefault="00F46D92" w:rsidP="00FA3C6C">
      <w:pPr>
        <w:pStyle w:val="BPszvegtest"/>
        <w:tabs>
          <w:tab w:val="clear" w:pos="3740"/>
          <w:tab w:val="clear" w:pos="5720"/>
        </w:tabs>
        <w:spacing w:after="0" w:line="240" w:lineRule="auto"/>
        <w:ind w:left="1985"/>
        <w:rPr>
          <w:bCs/>
        </w:rPr>
      </w:pPr>
    </w:p>
    <w:p w14:paraId="7172F1E1" w14:textId="77777777" w:rsidR="009D5610" w:rsidRPr="003B00D7" w:rsidRDefault="009D5610" w:rsidP="00FA3C6C">
      <w:pPr>
        <w:pStyle w:val="Listaszerbekezds"/>
        <w:numPr>
          <w:ilvl w:val="2"/>
          <w:numId w:val="11"/>
        </w:numPr>
        <w:spacing w:after="0" w:line="240" w:lineRule="auto"/>
        <w:ind w:hanging="295"/>
        <w:contextualSpacing w:val="0"/>
        <w:jc w:val="both"/>
        <w:rPr>
          <w:rFonts w:ascii="Arial" w:hAnsi="Arial" w:cs="Arial"/>
          <w:i/>
        </w:rPr>
      </w:pPr>
      <w:r w:rsidRPr="009A18E0">
        <w:rPr>
          <w:rFonts w:ascii="Arial" w:hAnsi="Arial" w:cs="Arial"/>
          <w:bCs/>
          <w:i/>
        </w:rPr>
        <w:t>Becsült érték meghatároz</w:t>
      </w:r>
      <w:r w:rsidR="007E32F8" w:rsidRPr="009A18E0">
        <w:rPr>
          <w:rFonts w:ascii="Arial" w:hAnsi="Arial" w:cs="Arial"/>
          <w:bCs/>
          <w:i/>
        </w:rPr>
        <w:t>ása, a szakértői anyag lezárása</w:t>
      </w:r>
      <w:r w:rsidR="00365CA3">
        <w:rPr>
          <w:rFonts w:ascii="Arial" w:hAnsi="Arial" w:cs="Arial"/>
          <w:bCs/>
          <w:i/>
        </w:rPr>
        <w:t>, ellenőrzése</w:t>
      </w:r>
      <w:r w:rsidR="00BA73FC">
        <w:rPr>
          <w:rFonts w:ascii="Arial" w:hAnsi="Arial" w:cs="Arial"/>
          <w:bCs/>
          <w:i/>
        </w:rPr>
        <w:t>.</w:t>
      </w:r>
    </w:p>
    <w:p w14:paraId="61B62ACA" w14:textId="77777777" w:rsidR="003B00D7" w:rsidRPr="00186551" w:rsidRDefault="003B00D7" w:rsidP="00FA3C6C">
      <w:pPr>
        <w:pStyle w:val="Listaszerbekezds"/>
        <w:spacing w:after="120" w:line="240" w:lineRule="auto"/>
        <w:ind w:left="862" w:hanging="295"/>
        <w:contextualSpacing w:val="0"/>
        <w:jc w:val="both"/>
        <w:rPr>
          <w:rFonts w:ascii="Arial" w:hAnsi="Arial" w:cs="Arial"/>
          <w:i/>
        </w:rPr>
      </w:pPr>
    </w:p>
    <w:p w14:paraId="24947082" w14:textId="77777777" w:rsidR="00365CA3" w:rsidRPr="00186551" w:rsidRDefault="00365CA3" w:rsidP="00FA3C6C">
      <w:pPr>
        <w:pStyle w:val="Listaszerbekezds"/>
        <w:numPr>
          <w:ilvl w:val="2"/>
          <w:numId w:val="11"/>
        </w:numPr>
        <w:spacing w:after="0" w:line="240" w:lineRule="auto"/>
        <w:ind w:hanging="295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Az értékbecslés és megbízó részére történő átadása</w:t>
      </w:r>
      <w:r w:rsidR="00BA73FC">
        <w:rPr>
          <w:rFonts w:ascii="Arial" w:hAnsi="Arial" w:cs="Arial"/>
          <w:bCs/>
          <w:i/>
        </w:rPr>
        <w:t>.</w:t>
      </w:r>
    </w:p>
    <w:p w14:paraId="6DACFEFE" w14:textId="77777777" w:rsidR="004C5552" w:rsidRDefault="004C5552" w:rsidP="00FA3C6C">
      <w:pPr>
        <w:pStyle w:val="Listaszerbekezds"/>
        <w:spacing w:after="120" w:line="240" w:lineRule="auto"/>
        <w:ind w:left="1286"/>
        <w:contextualSpacing w:val="0"/>
        <w:jc w:val="both"/>
        <w:rPr>
          <w:rFonts w:ascii="Arial" w:hAnsi="Arial" w:cs="Arial"/>
          <w:i/>
        </w:rPr>
      </w:pPr>
    </w:p>
    <w:p w14:paraId="20BF5953" w14:textId="77777777" w:rsidR="0089441E" w:rsidRPr="00BA73FC" w:rsidRDefault="004C5552" w:rsidP="00FA3C6C">
      <w:pPr>
        <w:pStyle w:val="Listaszerbekezds"/>
        <w:numPr>
          <w:ilvl w:val="1"/>
          <w:numId w:val="11"/>
        </w:numPr>
        <w:spacing w:after="120" w:line="240" w:lineRule="auto"/>
        <w:ind w:left="851" w:hanging="567"/>
        <w:contextualSpacing w:val="0"/>
        <w:jc w:val="both"/>
        <w:rPr>
          <w:rFonts w:ascii="Arial" w:hAnsi="Arial" w:cs="Arial"/>
          <w:b/>
        </w:rPr>
      </w:pPr>
      <w:r w:rsidRPr="00BA73FC">
        <w:rPr>
          <w:rFonts w:ascii="Arial" w:hAnsi="Arial" w:cs="Arial"/>
          <w:b/>
        </w:rPr>
        <w:lastRenderedPageBreak/>
        <w:t>Az ingatlan értékbecslések készítésé</w:t>
      </w:r>
      <w:r w:rsidR="00F9436E">
        <w:rPr>
          <w:rFonts w:ascii="Arial" w:hAnsi="Arial" w:cs="Arial"/>
          <w:b/>
        </w:rPr>
        <w:t>né</w:t>
      </w:r>
      <w:r w:rsidRPr="00BA73FC">
        <w:rPr>
          <w:rFonts w:ascii="Arial" w:hAnsi="Arial" w:cs="Arial"/>
          <w:b/>
        </w:rPr>
        <w:t>l alkalmazott szakmai jogszabályok és szabványok</w:t>
      </w:r>
    </w:p>
    <w:p w14:paraId="67D29327" w14:textId="43B997BA" w:rsidR="004C5552" w:rsidRDefault="004C5552" w:rsidP="004C03C7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bCs/>
        </w:rPr>
      </w:pPr>
      <w:r w:rsidRPr="00BA73FC">
        <w:rPr>
          <w:rFonts w:ascii="Arial" w:hAnsi="Arial" w:cs="Arial"/>
          <w:bCs/>
        </w:rPr>
        <w:t>25/1997. (VIII.1.) PM rendelet a termőföldnek nem minősülő ingatlanok hitelbiztosítéki értékének meghatározására vonatkozó, módszertani elvekről</w:t>
      </w:r>
      <w:r w:rsidR="009319B5">
        <w:rPr>
          <w:rFonts w:ascii="Arial" w:hAnsi="Arial" w:cs="Arial"/>
          <w:bCs/>
        </w:rPr>
        <w:t>;</w:t>
      </w:r>
      <w:r w:rsidRPr="00BA73FC">
        <w:rPr>
          <w:rFonts w:ascii="Arial" w:hAnsi="Arial" w:cs="Arial"/>
          <w:bCs/>
        </w:rPr>
        <w:t xml:space="preserve"> továbbiakban: PM rendelet</w:t>
      </w:r>
      <w:r w:rsidR="009319B5">
        <w:rPr>
          <w:rFonts w:ascii="Arial" w:hAnsi="Arial" w:cs="Arial"/>
          <w:bCs/>
        </w:rPr>
        <w:t>,</w:t>
      </w:r>
    </w:p>
    <w:p w14:paraId="14641C62" w14:textId="4CE10141" w:rsidR="004C5552" w:rsidRPr="00BA73FC" w:rsidRDefault="004C5552" w:rsidP="004C03C7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bCs/>
        </w:rPr>
      </w:pPr>
      <w:r w:rsidRPr="00BA73FC">
        <w:rPr>
          <w:rFonts w:ascii="Arial" w:hAnsi="Arial" w:cs="Arial"/>
          <w:bCs/>
        </w:rPr>
        <w:t>1/2002.(BK.8.) BM-EuM-FvM,-GM-ISM-KoMKOVIM-NKOM-OM-SZCSM minisztériumi irányelv az önkormányzati ingatlanvagyon egységes és egyedi értékeléséhez</w:t>
      </w:r>
      <w:r w:rsidR="009319B5">
        <w:rPr>
          <w:rFonts w:ascii="Arial" w:hAnsi="Arial" w:cs="Arial"/>
          <w:bCs/>
        </w:rPr>
        <w:t>,</w:t>
      </w:r>
    </w:p>
    <w:p w14:paraId="5FA18D94" w14:textId="00210E71" w:rsidR="004C5552" w:rsidRPr="0021048D" w:rsidRDefault="004C5552" w:rsidP="004C03C7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bCs/>
        </w:rPr>
      </w:pPr>
      <w:r w:rsidRPr="0021048D">
        <w:rPr>
          <w:rFonts w:ascii="Arial" w:hAnsi="Arial" w:cs="Arial"/>
          <w:bCs/>
        </w:rPr>
        <w:t>Európai Értékelési Szabványok (European Valuation Standards), kiadja. The European Group of Valuers’ Associations, továbbiakban: EVS szabvány</w:t>
      </w:r>
      <w:r w:rsidR="009319B5">
        <w:rPr>
          <w:rFonts w:ascii="Arial" w:hAnsi="Arial" w:cs="Arial"/>
          <w:bCs/>
        </w:rPr>
        <w:t>,</w:t>
      </w:r>
    </w:p>
    <w:p w14:paraId="53C14686" w14:textId="5824BF84" w:rsidR="004C5552" w:rsidRPr="0021048D" w:rsidRDefault="004C5552" w:rsidP="004C03C7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bCs/>
        </w:rPr>
      </w:pPr>
      <w:r w:rsidRPr="0021048D">
        <w:rPr>
          <w:rFonts w:ascii="Arial" w:hAnsi="Arial" w:cs="Arial"/>
          <w:bCs/>
        </w:rPr>
        <w:t xml:space="preserve">RICS Értékbecslés – Szakmai Követelmények (IVSC Nemzetközi Értékbecslési Szabvány alapján), kiadja a RICS, továbbiakban: RICS követelmények. </w:t>
      </w:r>
    </w:p>
    <w:p w14:paraId="38BB61C4" w14:textId="77777777" w:rsidR="004C5552" w:rsidRDefault="004C5552" w:rsidP="00FA3C6C">
      <w:pPr>
        <w:spacing w:after="0" w:line="240" w:lineRule="auto"/>
        <w:jc w:val="both"/>
        <w:rPr>
          <w:rFonts w:ascii="Arial" w:hAnsi="Arial" w:cs="Arial"/>
          <w:bCs/>
        </w:rPr>
      </w:pPr>
      <w:r w:rsidRPr="0021048D">
        <w:rPr>
          <w:rFonts w:ascii="Arial" w:hAnsi="Arial" w:cs="Arial"/>
          <w:bCs/>
        </w:rPr>
        <w:t xml:space="preserve">Az értékbecslés során Magyarországon elsődlegesen az EVS szabvány </w:t>
      </w:r>
      <w:r w:rsidR="00365CA3">
        <w:rPr>
          <w:rFonts w:ascii="Arial" w:hAnsi="Arial" w:cs="Arial"/>
          <w:bCs/>
        </w:rPr>
        <w:t>leírásai</w:t>
      </w:r>
      <w:r w:rsidRPr="0021048D">
        <w:rPr>
          <w:rFonts w:ascii="Arial" w:hAnsi="Arial" w:cs="Arial"/>
          <w:bCs/>
        </w:rPr>
        <w:t xml:space="preserve"> az </w:t>
      </w:r>
      <w:r w:rsidR="00365CA3">
        <w:rPr>
          <w:rFonts w:ascii="Arial" w:hAnsi="Arial" w:cs="Arial"/>
          <w:bCs/>
        </w:rPr>
        <w:t>iránymutató</w:t>
      </w:r>
      <w:r w:rsidRPr="0021048D">
        <w:rPr>
          <w:rFonts w:ascii="Arial" w:hAnsi="Arial" w:cs="Arial"/>
          <w:bCs/>
        </w:rPr>
        <w:t>ak.</w:t>
      </w:r>
    </w:p>
    <w:p w14:paraId="07A262F0" w14:textId="77777777" w:rsidR="00F46D92" w:rsidRPr="0021048D" w:rsidRDefault="00F46D92" w:rsidP="00FA3C6C">
      <w:pPr>
        <w:spacing w:after="0" w:line="240" w:lineRule="auto"/>
        <w:jc w:val="both"/>
        <w:rPr>
          <w:rFonts w:ascii="Arial" w:hAnsi="Arial" w:cs="Arial"/>
          <w:bCs/>
        </w:rPr>
      </w:pPr>
    </w:p>
    <w:p w14:paraId="7BBA56A5" w14:textId="27919159" w:rsidR="00087B59" w:rsidRPr="0021048D" w:rsidRDefault="00087B59" w:rsidP="004C03C7">
      <w:pPr>
        <w:pStyle w:val="Listaszerbekezds"/>
        <w:numPr>
          <w:ilvl w:val="1"/>
          <w:numId w:val="11"/>
        </w:numPr>
        <w:spacing w:after="120" w:line="240" w:lineRule="auto"/>
        <w:ind w:left="851" w:hanging="567"/>
        <w:contextualSpacing w:val="0"/>
        <w:jc w:val="both"/>
        <w:rPr>
          <w:rFonts w:ascii="Arial" w:hAnsi="Arial" w:cs="Arial"/>
          <w:b/>
        </w:rPr>
      </w:pPr>
      <w:r w:rsidRPr="0021048D">
        <w:rPr>
          <w:rFonts w:ascii="Arial" w:hAnsi="Arial" w:cs="Arial"/>
          <w:b/>
        </w:rPr>
        <w:t>Ingó vagyon értékbecslés</w:t>
      </w:r>
    </w:p>
    <w:p w14:paraId="6E9F3E42" w14:textId="44FEADF4" w:rsidR="00FA3C6C" w:rsidRPr="004D7AB0" w:rsidRDefault="00087B59" w:rsidP="004C03C7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bCs/>
        </w:rPr>
      </w:pPr>
      <w:r w:rsidRPr="004D7AB0">
        <w:rPr>
          <w:rFonts w:ascii="Arial" w:hAnsi="Arial" w:cs="Arial"/>
          <w:bCs/>
        </w:rPr>
        <w:t>A Fővárosi Önkormányzat tulajdonában lévő ingó vagyon értékének meghatározására szakvélemény készítése az</w:t>
      </w:r>
      <w:r w:rsidR="002F6E20" w:rsidRPr="004D7AB0">
        <w:rPr>
          <w:rFonts w:ascii="Arial" w:hAnsi="Arial" w:cs="Arial"/>
          <w:bCs/>
        </w:rPr>
        <w:t xml:space="preserve"> 5.</w:t>
      </w:r>
      <w:r w:rsidR="00FA3C6C" w:rsidRPr="004D7AB0">
        <w:rPr>
          <w:rFonts w:ascii="Arial" w:hAnsi="Arial" w:cs="Arial"/>
          <w:bCs/>
        </w:rPr>
        <w:t>1</w:t>
      </w:r>
      <w:r w:rsidR="0021048D" w:rsidRPr="004D7AB0">
        <w:rPr>
          <w:rFonts w:ascii="Arial" w:hAnsi="Arial" w:cs="Arial"/>
          <w:bCs/>
        </w:rPr>
        <w:t>.2</w:t>
      </w:r>
      <w:r w:rsidR="002F6E20" w:rsidRPr="004D7AB0">
        <w:rPr>
          <w:rFonts w:ascii="Arial" w:hAnsi="Arial" w:cs="Arial"/>
          <w:bCs/>
        </w:rPr>
        <w:t>, az</w:t>
      </w:r>
      <w:r w:rsidRPr="004D7AB0">
        <w:rPr>
          <w:rFonts w:ascii="Arial" w:hAnsi="Arial" w:cs="Arial"/>
          <w:bCs/>
        </w:rPr>
        <w:t xml:space="preserve"> 5.</w:t>
      </w:r>
      <w:r w:rsidR="00FA3C6C" w:rsidRPr="004D7AB0">
        <w:rPr>
          <w:rFonts w:ascii="Arial" w:hAnsi="Arial" w:cs="Arial"/>
          <w:bCs/>
        </w:rPr>
        <w:t>1</w:t>
      </w:r>
      <w:r w:rsidRPr="004D7AB0">
        <w:rPr>
          <w:rFonts w:ascii="Arial" w:hAnsi="Arial" w:cs="Arial"/>
          <w:bCs/>
        </w:rPr>
        <w:t>.3,</w:t>
      </w:r>
      <w:r w:rsidR="0021048D" w:rsidRPr="004D7AB0">
        <w:rPr>
          <w:rFonts w:ascii="Arial" w:hAnsi="Arial" w:cs="Arial"/>
          <w:bCs/>
        </w:rPr>
        <w:t xml:space="preserve"> </w:t>
      </w:r>
      <w:r w:rsidR="00FA3C6C" w:rsidRPr="004D7AB0">
        <w:rPr>
          <w:rFonts w:ascii="Arial" w:hAnsi="Arial" w:cs="Arial"/>
          <w:bCs/>
        </w:rPr>
        <w:t xml:space="preserve">az </w:t>
      </w:r>
      <w:r w:rsidRPr="004D7AB0">
        <w:rPr>
          <w:rFonts w:ascii="Arial" w:hAnsi="Arial" w:cs="Arial"/>
          <w:bCs/>
        </w:rPr>
        <w:t>5.</w:t>
      </w:r>
      <w:r w:rsidR="00FA3C6C" w:rsidRPr="004D7AB0">
        <w:rPr>
          <w:rFonts w:ascii="Arial" w:hAnsi="Arial" w:cs="Arial"/>
          <w:bCs/>
        </w:rPr>
        <w:t>1</w:t>
      </w:r>
      <w:r w:rsidRPr="004D7AB0">
        <w:rPr>
          <w:rFonts w:ascii="Arial" w:hAnsi="Arial" w:cs="Arial"/>
          <w:bCs/>
        </w:rPr>
        <w:t xml:space="preserve">.4 </w:t>
      </w:r>
      <w:r w:rsidR="00172A4D" w:rsidRPr="004D7AB0">
        <w:rPr>
          <w:rFonts w:ascii="Arial" w:hAnsi="Arial" w:cs="Arial"/>
          <w:bCs/>
        </w:rPr>
        <w:t>és az 5.</w:t>
      </w:r>
      <w:r w:rsidR="00FA3C6C" w:rsidRPr="004D7AB0">
        <w:rPr>
          <w:rFonts w:ascii="Arial" w:hAnsi="Arial" w:cs="Arial"/>
          <w:bCs/>
        </w:rPr>
        <w:t>1</w:t>
      </w:r>
      <w:r w:rsidR="00172A4D" w:rsidRPr="004D7AB0">
        <w:rPr>
          <w:rFonts w:ascii="Arial" w:hAnsi="Arial" w:cs="Arial"/>
          <w:bCs/>
        </w:rPr>
        <w:t xml:space="preserve">.5 </w:t>
      </w:r>
      <w:r w:rsidRPr="004D7AB0">
        <w:rPr>
          <w:rFonts w:ascii="Arial" w:hAnsi="Arial" w:cs="Arial"/>
          <w:bCs/>
        </w:rPr>
        <w:t xml:space="preserve">pontokban szereplő feladatok </w:t>
      </w:r>
      <w:r w:rsidR="002F6E20" w:rsidRPr="004D7AB0">
        <w:rPr>
          <w:rFonts w:ascii="Arial" w:hAnsi="Arial" w:cs="Arial"/>
          <w:bCs/>
        </w:rPr>
        <w:t xml:space="preserve">ingóságokra vonatkoztatott paraméterek </w:t>
      </w:r>
      <w:r w:rsidRPr="004D7AB0">
        <w:rPr>
          <w:rFonts w:ascii="Arial" w:hAnsi="Arial" w:cs="Arial"/>
          <w:bCs/>
        </w:rPr>
        <w:t>szükség szerinti alkalmazásával</w:t>
      </w:r>
      <w:r w:rsidR="003B65BA" w:rsidRPr="004D7AB0">
        <w:rPr>
          <w:rFonts w:ascii="Arial" w:hAnsi="Arial" w:cs="Arial"/>
          <w:bCs/>
        </w:rPr>
        <w:t>, s</w:t>
      </w:r>
      <w:r w:rsidR="0014074A" w:rsidRPr="004D7AB0">
        <w:rPr>
          <w:rFonts w:ascii="Arial" w:hAnsi="Arial" w:cs="Arial"/>
          <w:bCs/>
        </w:rPr>
        <w:t>peciális szakértelmet igénylő esetekben külső szakértő igénybevételével.</w:t>
      </w:r>
    </w:p>
    <w:sectPr w:rsidR="00FA3C6C" w:rsidRPr="004D7AB0" w:rsidSect="00401292">
      <w:headerReference w:type="default" r:id="rId7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7F2F" w14:textId="77777777" w:rsidR="00D1357F" w:rsidRDefault="00D1357F" w:rsidP="009D5610">
      <w:pPr>
        <w:spacing w:after="0" w:line="240" w:lineRule="auto"/>
      </w:pPr>
      <w:r>
        <w:separator/>
      </w:r>
    </w:p>
  </w:endnote>
  <w:endnote w:type="continuationSeparator" w:id="0">
    <w:p w14:paraId="1FDCBD76" w14:textId="77777777" w:rsidR="00D1357F" w:rsidRDefault="00D1357F" w:rsidP="009D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4514C" w14:textId="77777777" w:rsidR="00D1357F" w:rsidRDefault="00D1357F" w:rsidP="009D5610">
      <w:pPr>
        <w:spacing w:after="0" w:line="240" w:lineRule="auto"/>
      </w:pPr>
      <w:r>
        <w:separator/>
      </w:r>
    </w:p>
  </w:footnote>
  <w:footnote w:type="continuationSeparator" w:id="0">
    <w:p w14:paraId="63649794" w14:textId="77777777" w:rsidR="00D1357F" w:rsidRDefault="00D1357F" w:rsidP="009D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FA6E" w14:textId="77777777" w:rsidR="009D5610" w:rsidRPr="009D5610" w:rsidRDefault="009D5610" w:rsidP="000C4B5D">
    <w:pPr>
      <w:pStyle w:val="lfej"/>
      <w:jc w:val="right"/>
      <w:rPr>
        <w:rFonts w:ascii="Times New Roman" w:hAnsi="Times New Roman"/>
      </w:rPr>
    </w:pPr>
    <w:r>
      <w:t>I.</w:t>
    </w:r>
    <w:r w:rsidR="00467A5F">
      <w:t xml:space="preserve"> </w:t>
    </w:r>
    <w:r>
      <w:t>Minőségi paraméterek 5</w:t>
    </w:r>
    <w:r w:rsidR="00467A5F">
      <w:t>.</w:t>
    </w:r>
    <w:r>
      <w:t xml:space="preserve">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CC"/>
    <w:multiLevelType w:val="multilevel"/>
    <w:tmpl w:val="20420F4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0836253"/>
    <w:multiLevelType w:val="multilevel"/>
    <w:tmpl w:val="7F9E6684"/>
    <w:lvl w:ilvl="0">
      <w:start w:val="1"/>
      <w:numFmt w:val="decimal"/>
      <w:pStyle w:val="Legal3L1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Legal3L2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Legal3L3"/>
      <w:lvlText w:val="%1.%2.%3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upperLetter"/>
      <w:pStyle w:val="Legal3L4"/>
      <w:lvlText w:val="%4"/>
      <w:lvlJc w:val="left"/>
      <w:pPr>
        <w:tabs>
          <w:tab w:val="num" w:pos="1389"/>
        </w:tabs>
        <w:ind w:left="1389" w:hanging="51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upperLetter"/>
      <w:pStyle w:val="Legal3L5"/>
      <w:lvlText w:val="By %5"/>
      <w:lvlJc w:val="left"/>
      <w:pPr>
        <w:tabs>
          <w:tab w:val="num" w:pos="1843"/>
        </w:tabs>
        <w:ind w:left="1843" w:hanging="794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lowerLetter"/>
      <w:pStyle w:val="Legal3L6"/>
      <w:lvlText w:val="%6)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lowerLetter"/>
      <w:pStyle w:val="Legal3L7"/>
      <w:lvlText w:val="(%7)"/>
      <w:lvlJc w:val="left"/>
      <w:pPr>
        <w:tabs>
          <w:tab w:val="num" w:pos="1070"/>
        </w:tabs>
        <w:ind w:left="-1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Roman"/>
      <w:pStyle w:val="Legal3L8"/>
      <w:lvlText w:val="(%8)"/>
      <w:lvlJc w:val="left"/>
      <w:pPr>
        <w:tabs>
          <w:tab w:val="num" w:pos="2139"/>
        </w:tabs>
        <w:ind w:left="-21" w:firstLine="14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decimal"/>
      <w:pStyle w:val="Legal3L9"/>
      <w:lvlText w:val="(%9)"/>
      <w:lvlJc w:val="left"/>
      <w:pPr>
        <w:tabs>
          <w:tab w:val="num" w:pos="2662"/>
        </w:tabs>
        <w:ind w:left="142" w:firstLine="21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20108A8"/>
    <w:multiLevelType w:val="multilevel"/>
    <w:tmpl w:val="68A871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8E158BF"/>
    <w:multiLevelType w:val="hybridMultilevel"/>
    <w:tmpl w:val="A5680D54"/>
    <w:lvl w:ilvl="0" w:tplc="8A7AFB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26AD"/>
    <w:multiLevelType w:val="multilevel"/>
    <w:tmpl w:val="F2A6691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11EE7D04"/>
    <w:multiLevelType w:val="hybridMultilevel"/>
    <w:tmpl w:val="C8C0FD5E"/>
    <w:lvl w:ilvl="0" w:tplc="1310B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151"/>
    <w:multiLevelType w:val="multilevel"/>
    <w:tmpl w:val="21CA9418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51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7" w15:restartNumberingAfterBreak="0">
    <w:nsid w:val="3EB8471B"/>
    <w:multiLevelType w:val="multilevel"/>
    <w:tmpl w:val="68A871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4A141612"/>
    <w:multiLevelType w:val="hybridMultilevel"/>
    <w:tmpl w:val="F0A0E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27CBA"/>
    <w:multiLevelType w:val="hybridMultilevel"/>
    <w:tmpl w:val="1C067AC8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C3655"/>
    <w:multiLevelType w:val="hybridMultilevel"/>
    <w:tmpl w:val="BC48C3C8"/>
    <w:lvl w:ilvl="0" w:tplc="F112E11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45F"/>
    <w:multiLevelType w:val="multilevel"/>
    <w:tmpl w:val="839C71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610"/>
    <w:rsid w:val="00035F1A"/>
    <w:rsid w:val="00052D87"/>
    <w:rsid w:val="00087B59"/>
    <w:rsid w:val="000C4B5D"/>
    <w:rsid w:val="000E68E1"/>
    <w:rsid w:val="000F6035"/>
    <w:rsid w:val="0011047F"/>
    <w:rsid w:val="00131A2F"/>
    <w:rsid w:val="00131F78"/>
    <w:rsid w:val="00132D98"/>
    <w:rsid w:val="0014074A"/>
    <w:rsid w:val="00143E5C"/>
    <w:rsid w:val="00145B9C"/>
    <w:rsid w:val="001624E9"/>
    <w:rsid w:val="00172A4D"/>
    <w:rsid w:val="00186551"/>
    <w:rsid w:val="001D0CFA"/>
    <w:rsid w:val="001F35EA"/>
    <w:rsid w:val="00207335"/>
    <w:rsid w:val="0021048D"/>
    <w:rsid w:val="00223AA7"/>
    <w:rsid w:val="002304C7"/>
    <w:rsid w:val="00230A0B"/>
    <w:rsid w:val="002B0FD8"/>
    <w:rsid w:val="002C65F8"/>
    <w:rsid w:val="002C7F65"/>
    <w:rsid w:val="002E5E56"/>
    <w:rsid w:val="002F6E20"/>
    <w:rsid w:val="00365CA3"/>
    <w:rsid w:val="003B00D7"/>
    <w:rsid w:val="003B65BA"/>
    <w:rsid w:val="00401292"/>
    <w:rsid w:val="00467A5F"/>
    <w:rsid w:val="00480928"/>
    <w:rsid w:val="004945B1"/>
    <w:rsid w:val="004C03C7"/>
    <w:rsid w:val="004C230B"/>
    <w:rsid w:val="004C5552"/>
    <w:rsid w:val="004D7AB0"/>
    <w:rsid w:val="004E4740"/>
    <w:rsid w:val="00513919"/>
    <w:rsid w:val="00582EDB"/>
    <w:rsid w:val="005B1FF4"/>
    <w:rsid w:val="005D06BE"/>
    <w:rsid w:val="006373ED"/>
    <w:rsid w:val="00694315"/>
    <w:rsid w:val="006E3569"/>
    <w:rsid w:val="007E32F8"/>
    <w:rsid w:val="00813751"/>
    <w:rsid w:val="008147BB"/>
    <w:rsid w:val="00820419"/>
    <w:rsid w:val="00857CDD"/>
    <w:rsid w:val="00862950"/>
    <w:rsid w:val="0089441E"/>
    <w:rsid w:val="008E4F80"/>
    <w:rsid w:val="009319B5"/>
    <w:rsid w:val="00961F52"/>
    <w:rsid w:val="00970DAE"/>
    <w:rsid w:val="00975E80"/>
    <w:rsid w:val="009A0602"/>
    <w:rsid w:val="009A18E0"/>
    <w:rsid w:val="009A3BB2"/>
    <w:rsid w:val="009B281A"/>
    <w:rsid w:val="009D5610"/>
    <w:rsid w:val="009E0D8E"/>
    <w:rsid w:val="009E7F7A"/>
    <w:rsid w:val="00A5623C"/>
    <w:rsid w:val="00A71B80"/>
    <w:rsid w:val="00AB5CAC"/>
    <w:rsid w:val="00AD0EB9"/>
    <w:rsid w:val="00AE1709"/>
    <w:rsid w:val="00B00B8A"/>
    <w:rsid w:val="00B51A1E"/>
    <w:rsid w:val="00B614DB"/>
    <w:rsid w:val="00B9516E"/>
    <w:rsid w:val="00BA73FC"/>
    <w:rsid w:val="00CE4BFA"/>
    <w:rsid w:val="00D1357F"/>
    <w:rsid w:val="00DE300C"/>
    <w:rsid w:val="00DF7727"/>
    <w:rsid w:val="00E653E9"/>
    <w:rsid w:val="00EA3C65"/>
    <w:rsid w:val="00F46D92"/>
    <w:rsid w:val="00F9436E"/>
    <w:rsid w:val="00FA3C6C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AB48"/>
  <w15:docId w15:val="{24A8012B-FD7F-4F4A-8109-E765A331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56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gal3L1">
    <w:name w:val="Legal3_L1"/>
    <w:basedOn w:val="Norml"/>
    <w:uiPriority w:val="99"/>
    <w:rsid w:val="009D5610"/>
    <w:pPr>
      <w:numPr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2">
    <w:name w:val="Legal3_L2"/>
    <w:basedOn w:val="Norml"/>
    <w:uiPriority w:val="99"/>
    <w:rsid w:val="009D5610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3">
    <w:name w:val="Legal3_L3"/>
    <w:basedOn w:val="Norml"/>
    <w:uiPriority w:val="99"/>
    <w:rsid w:val="009D5610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4">
    <w:name w:val="Legal3_L4"/>
    <w:basedOn w:val="Norml"/>
    <w:uiPriority w:val="99"/>
    <w:rsid w:val="009D5610"/>
    <w:pPr>
      <w:numPr>
        <w:ilvl w:val="3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5">
    <w:name w:val="Legal3_L5"/>
    <w:basedOn w:val="Norml"/>
    <w:uiPriority w:val="99"/>
    <w:rsid w:val="009D5610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6">
    <w:name w:val="Legal3_L6"/>
    <w:basedOn w:val="Norml"/>
    <w:uiPriority w:val="99"/>
    <w:rsid w:val="009D5610"/>
    <w:pPr>
      <w:numPr>
        <w:ilvl w:val="5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7">
    <w:name w:val="Legal3_L7"/>
    <w:basedOn w:val="Norml"/>
    <w:uiPriority w:val="99"/>
    <w:rsid w:val="009D5610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8">
    <w:name w:val="Legal3_L8"/>
    <w:basedOn w:val="Norml"/>
    <w:uiPriority w:val="99"/>
    <w:rsid w:val="009D5610"/>
    <w:pPr>
      <w:numPr>
        <w:ilvl w:val="7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9">
    <w:name w:val="Legal3_L9"/>
    <w:basedOn w:val="Norml"/>
    <w:uiPriority w:val="99"/>
    <w:rsid w:val="009D5610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D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9D5610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9D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9D5610"/>
    <w:rPr>
      <w:rFonts w:ascii="Calibri" w:eastAsia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D0CFA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087B59"/>
    <w:pPr>
      <w:ind w:left="720"/>
      <w:contextualSpacing/>
    </w:pPr>
  </w:style>
  <w:style w:type="paragraph" w:customStyle="1" w:styleId="BPszvegtest">
    <w:name w:val="BP_szövegtest"/>
    <w:basedOn w:val="Norml"/>
    <w:qFormat/>
    <w:rsid w:val="009B281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character" w:styleId="Jegyzethivatkozs">
    <w:name w:val="annotation reference"/>
    <w:basedOn w:val="Bekezdsalapbettpusa"/>
    <w:uiPriority w:val="99"/>
    <w:semiHidden/>
    <w:unhideWhenUsed/>
    <w:rsid w:val="00FA3C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3C6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C6C"/>
    <w:rPr>
      <w:rFonts w:ascii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3C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C6C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443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</vt:lpstr>
    </vt:vector>
  </TitlesOfParts>
  <Company>Főpolgármesteri Hivatal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Eblaho</dc:creator>
  <cp:lastModifiedBy>Fodor Zsolt</cp:lastModifiedBy>
  <cp:revision>12</cp:revision>
  <dcterms:created xsi:type="dcterms:W3CDTF">2017-03-02T08:31:00Z</dcterms:created>
  <dcterms:modified xsi:type="dcterms:W3CDTF">2018-03-28T09:41:00Z</dcterms:modified>
</cp:coreProperties>
</file>