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7F5792" w:rsidRPr="00C06161" w14:paraId="60FF97D7" w14:textId="77777777" w:rsidTr="007F5792">
        <w:trPr>
          <w:tblHeader/>
          <w:jc w:val="center"/>
        </w:trPr>
        <w:tc>
          <w:tcPr>
            <w:tcW w:w="9016" w:type="dxa"/>
            <w:gridSpan w:val="2"/>
            <w:vAlign w:val="center"/>
          </w:tcPr>
          <w:p w14:paraId="3264D301" w14:textId="77777777" w:rsidR="007F5792" w:rsidRPr="002B0E86" w:rsidRDefault="007F5792" w:rsidP="007F5792">
            <w:pPr>
              <w:spacing w:before="40" w:after="40" w:line="30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F5792">
              <w:rPr>
                <w:rFonts w:ascii="Arial" w:eastAsia="Calibri" w:hAnsi="Arial" w:cs="Arial"/>
                <w:b/>
                <w:sz w:val="20"/>
                <w:szCs w:val="20"/>
              </w:rPr>
              <w:t>Budapest Főváros szmogriadótervéről szóló 69/2008. (XII.10.) Főv. Kgy. rendelet</w:t>
            </w:r>
          </w:p>
        </w:tc>
      </w:tr>
      <w:tr w:rsidR="00C06161" w:rsidRPr="00C06161" w14:paraId="118BE60D" w14:textId="77777777" w:rsidTr="007F5792">
        <w:trPr>
          <w:tblHeader/>
          <w:jc w:val="center"/>
        </w:trPr>
        <w:tc>
          <w:tcPr>
            <w:tcW w:w="4508" w:type="dxa"/>
            <w:vAlign w:val="center"/>
          </w:tcPr>
          <w:p w14:paraId="48710213" w14:textId="77777777" w:rsidR="00C06161" w:rsidRPr="00C06161" w:rsidRDefault="00C06161" w:rsidP="00C06161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5BB9">
              <w:rPr>
                <w:rFonts w:ascii="Arial" w:eastAsia="Calibri" w:hAnsi="Arial" w:cs="Arial"/>
                <w:b/>
                <w:sz w:val="20"/>
                <w:szCs w:val="20"/>
              </w:rPr>
              <w:t>Hatályos szöveg</w:t>
            </w:r>
          </w:p>
        </w:tc>
        <w:tc>
          <w:tcPr>
            <w:tcW w:w="4508" w:type="dxa"/>
            <w:vAlign w:val="center"/>
          </w:tcPr>
          <w:p w14:paraId="32696D1E" w14:textId="77777777" w:rsidR="00C06161" w:rsidRPr="00C06161" w:rsidRDefault="00C06161" w:rsidP="00C06161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E86">
              <w:rPr>
                <w:rFonts w:ascii="Arial" w:eastAsia="Calibri" w:hAnsi="Arial" w:cs="Arial"/>
                <w:b/>
                <w:sz w:val="20"/>
                <w:szCs w:val="20"/>
              </w:rPr>
              <w:t>Módosít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ott szöveg</w:t>
            </w:r>
          </w:p>
        </w:tc>
      </w:tr>
      <w:tr w:rsidR="00C06161" w:rsidRPr="00C06161" w14:paraId="0E96C793" w14:textId="77777777" w:rsidTr="00DA0E3C">
        <w:trPr>
          <w:jc w:val="center"/>
        </w:trPr>
        <w:tc>
          <w:tcPr>
            <w:tcW w:w="4508" w:type="dxa"/>
          </w:tcPr>
          <w:p w14:paraId="3F054582" w14:textId="77777777" w:rsidR="00C06161" w:rsidRPr="00C06161" w:rsidRDefault="00C06161" w:rsidP="00C06161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161">
              <w:rPr>
                <w:rFonts w:ascii="Arial" w:hAnsi="Arial" w:cs="Arial"/>
                <w:sz w:val="20"/>
                <w:szCs w:val="20"/>
              </w:rPr>
              <w:t>5. §</w:t>
            </w:r>
          </w:p>
          <w:p w14:paraId="48485C53" w14:textId="77777777" w:rsidR="00C06161" w:rsidRPr="00C06161" w:rsidRDefault="00C06161" w:rsidP="00C06161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161">
              <w:rPr>
                <w:rFonts w:ascii="Arial" w:hAnsi="Arial" w:cs="Arial"/>
                <w:sz w:val="20"/>
                <w:szCs w:val="20"/>
              </w:rPr>
              <w:t xml:space="preserve">(2) A tájékoztatási, </w:t>
            </w:r>
            <w:r w:rsidRPr="00F855BE">
              <w:rPr>
                <w:rFonts w:ascii="Arial" w:hAnsi="Arial" w:cs="Arial"/>
                <w:sz w:val="20"/>
                <w:szCs w:val="20"/>
              </w:rPr>
              <w:t>illetve</w:t>
            </w:r>
            <w:r w:rsidRPr="00C06161">
              <w:rPr>
                <w:rFonts w:ascii="Arial" w:hAnsi="Arial" w:cs="Arial"/>
                <w:sz w:val="20"/>
                <w:szCs w:val="20"/>
              </w:rPr>
              <w:t xml:space="preserve"> a riasztási fokozatban megtehető intézkedésekre a 8-10. §-okban foglaltak az irányadók.</w:t>
            </w:r>
          </w:p>
        </w:tc>
        <w:tc>
          <w:tcPr>
            <w:tcW w:w="4508" w:type="dxa"/>
          </w:tcPr>
          <w:p w14:paraId="1B0ABCAA" w14:textId="77777777" w:rsidR="00C06161" w:rsidRPr="00C06161" w:rsidRDefault="00C06161" w:rsidP="00C06161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161">
              <w:rPr>
                <w:rFonts w:ascii="Arial" w:hAnsi="Arial" w:cs="Arial"/>
                <w:sz w:val="20"/>
                <w:szCs w:val="20"/>
              </w:rPr>
              <w:t>5. §</w:t>
            </w:r>
          </w:p>
          <w:p w14:paraId="05F47770" w14:textId="5752471A" w:rsidR="00DA0E3C" w:rsidRPr="00F855BE" w:rsidRDefault="00C06161" w:rsidP="00DA0E3C">
            <w:pPr>
              <w:spacing w:line="30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855BE">
              <w:rPr>
                <w:rFonts w:ascii="Arial" w:hAnsi="Arial" w:cs="Arial"/>
                <w:i/>
                <w:sz w:val="20"/>
                <w:szCs w:val="20"/>
              </w:rPr>
              <w:t xml:space="preserve">(2) A tájékoztatási </w:t>
            </w:r>
            <w:r w:rsidR="00DA0E3C" w:rsidRPr="00F855BE">
              <w:rPr>
                <w:rFonts w:ascii="Arial" w:hAnsi="Arial" w:cs="Arial"/>
                <w:b/>
                <w:i/>
                <w:sz w:val="20"/>
                <w:szCs w:val="20"/>
              </w:rPr>
              <w:t>vagy</w:t>
            </w:r>
            <w:r w:rsidRPr="00F855BE">
              <w:rPr>
                <w:rFonts w:ascii="Arial" w:hAnsi="Arial" w:cs="Arial"/>
                <w:i/>
                <w:sz w:val="20"/>
                <w:szCs w:val="20"/>
              </w:rPr>
              <w:t xml:space="preserve"> a riasztási fokozatban megtehető intézkedésekre a 8-</w:t>
            </w:r>
            <w:r w:rsidRPr="00F855BE">
              <w:rPr>
                <w:rFonts w:ascii="Arial" w:hAnsi="Arial" w:cs="Arial"/>
                <w:b/>
                <w:i/>
                <w:sz w:val="20"/>
                <w:szCs w:val="20"/>
              </w:rPr>
              <w:t>10/A</w:t>
            </w:r>
            <w:r w:rsidRPr="00F855BE">
              <w:rPr>
                <w:rFonts w:ascii="Arial" w:hAnsi="Arial" w:cs="Arial"/>
                <w:i/>
                <w:sz w:val="20"/>
                <w:szCs w:val="20"/>
              </w:rPr>
              <w:t>. §-</w:t>
            </w:r>
            <w:r w:rsidRPr="00F855BE">
              <w:rPr>
                <w:rFonts w:ascii="Arial" w:hAnsi="Arial" w:cs="Arial"/>
                <w:i/>
                <w:strike/>
                <w:sz w:val="20"/>
                <w:szCs w:val="20"/>
              </w:rPr>
              <w:t>ok</w:t>
            </w:r>
            <w:r w:rsidRPr="00F855BE">
              <w:rPr>
                <w:rFonts w:ascii="Arial" w:hAnsi="Arial" w:cs="Arial"/>
                <w:i/>
                <w:sz w:val="20"/>
                <w:szCs w:val="20"/>
              </w:rPr>
              <w:t>ban foglaltak az irányadók.</w:t>
            </w:r>
          </w:p>
        </w:tc>
      </w:tr>
      <w:tr w:rsidR="00C06161" w:rsidRPr="00C06161" w14:paraId="143C1804" w14:textId="77777777" w:rsidTr="00C06161">
        <w:trPr>
          <w:jc w:val="center"/>
        </w:trPr>
        <w:tc>
          <w:tcPr>
            <w:tcW w:w="4508" w:type="dxa"/>
          </w:tcPr>
          <w:p w14:paraId="49731B9B" w14:textId="3761D3EC" w:rsidR="00C06161" w:rsidRDefault="00C06161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0F76">
              <w:rPr>
                <w:rFonts w:ascii="Arial" w:hAnsi="Arial" w:cs="Arial"/>
                <w:sz w:val="20"/>
                <w:szCs w:val="20"/>
              </w:rPr>
              <w:t>8. § (2) A főpolgármester a tájékoztatási fokozat elrendelése esetén:</w:t>
            </w:r>
          </w:p>
          <w:p w14:paraId="3F0BCB3E" w14:textId="621E9EDB" w:rsidR="005D5972" w:rsidRPr="00EE0F76" w:rsidRDefault="005D5972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14:paraId="5FF6F4E7" w14:textId="77777777" w:rsidR="00C06161" w:rsidRPr="00EE0F76" w:rsidRDefault="00C06161" w:rsidP="00C061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6161">
              <w:rPr>
                <w:rFonts w:ascii="Arial" w:hAnsi="Arial" w:cs="Arial"/>
                <w:i/>
                <w:sz w:val="20"/>
                <w:szCs w:val="20"/>
              </w:rPr>
              <w:t>c)</w:t>
            </w:r>
            <w:r w:rsidRPr="00EE0F76">
              <w:rPr>
                <w:rFonts w:ascii="Arial" w:hAnsi="Arial" w:cs="Arial"/>
                <w:sz w:val="20"/>
                <w:szCs w:val="20"/>
              </w:rPr>
              <w:t xml:space="preserve"> felkérést adhat ki a szmoghelyzet további romlását megelőző intézkedésekre (a lakosság és a légszennyezők önkéntes önkorlátozó intézkedéseire), különösen kérve:</w:t>
            </w:r>
          </w:p>
          <w:p w14:paraId="201E3BD4" w14:textId="77777777" w:rsidR="00C06161" w:rsidRPr="00C06161" w:rsidRDefault="00C06161" w:rsidP="00C06161">
            <w:pPr>
              <w:spacing w:line="300" w:lineRule="auto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6161">
              <w:rPr>
                <w:rFonts w:ascii="Arial" w:hAnsi="Arial" w:cs="Arial"/>
                <w:i/>
                <w:sz w:val="20"/>
                <w:szCs w:val="20"/>
              </w:rPr>
              <w:t>ca</w:t>
            </w:r>
            <w:proofErr w:type="spellEnd"/>
            <w:r w:rsidRPr="00C06161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E0F76">
              <w:rPr>
                <w:rFonts w:ascii="Arial" w:hAnsi="Arial" w:cs="Arial"/>
                <w:sz w:val="20"/>
                <w:szCs w:val="20"/>
              </w:rPr>
              <w:t xml:space="preserve"> azon gépjárművek használatának szüneteltetését, amelyek </w:t>
            </w:r>
            <w:r w:rsidRPr="00F855BE">
              <w:rPr>
                <w:rFonts w:ascii="Arial" w:hAnsi="Arial" w:cs="Arial"/>
                <w:sz w:val="20"/>
                <w:szCs w:val="20"/>
              </w:rPr>
              <w:t xml:space="preserve">forgalmi engedélye a közúti járművek forgalomba helyezésének és forgalomban tartásának műszaki feltételeiről szóló 6/1990. (IV. 12.) </w:t>
            </w:r>
            <w:proofErr w:type="spellStart"/>
            <w:r w:rsidRPr="00F855BE">
              <w:rPr>
                <w:rFonts w:ascii="Arial" w:hAnsi="Arial" w:cs="Arial"/>
                <w:sz w:val="20"/>
                <w:szCs w:val="20"/>
              </w:rPr>
              <w:t>KöHÉM</w:t>
            </w:r>
            <w:proofErr w:type="spellEnd"/>
            <w:r w:rsidRPr="00F855BE">
              <w:rPr>
                <w:rFonts w:ascii="Arial" w:hAnsi="Arial" w:cs="Arial"/>
                <w:sz w:val="20"/>
                <w:szCs w:val="20"/>
              </w:rPr>
              <w:t xml:space="preserve"> rendelet 5. melléklet „II. A gépjárművek környezetvédelmi osztályba sorolása” címhez tartozó táblázat szerinti környezetvédelmi osztály jelzés (kód) közül a következők bármelyikét tartalmazza:</w:t>
            </w:r>
            <w:r w:rsidRPr="00F855BE">
              <w:rPr>
                <w:rFonts w:ascii="Arial" w:hAnsi="Arial" w:cs="Arial"/>
                <w:sz w:val="20"/>
                <w:szCs w:val="20"/>
              </w:rPr>
              <w:br/>
              <w:t>0; 1; 2; 3; 4, vagy amely forgalmi engedélye nem tartalmaz környezetvédelmi osztályt jelölő kódot</w:t>
            </w:r>
            <w:r w:rsidRPr="005D597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4508" w:type="dxa"/>
          </w:tcPr>
          <w:p w14:paraId="42E9FBCC" w14:textId="17E5D6B9" w:rsidR="00C06161" w:rsidRDefault="00C06161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 § (2) A főpolgármester a tájékoztatási fokozat elrendelése esetén:</w:t>
            </w:r>
          </w:p>
          <w:p w14:paraId="676B4175" w14:textId="0DC72B21" w:rsidR="005D5972" w:rsidRPr="00C06161" w:rsidRDefault="005D5972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</w:t>
            </w:r>
          </w:p>
          <w:p w14:paraId="256D9B66" w14:textId="77777777" w:rsidR="00C06161" w:rsidRPr="00C06161" w:rsidRDefault="00C06161" w:rsidP="00C06161">
            <w:pPr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161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c)</w:t>
            </w:r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felkérést adhat ki a szmoghelyzet további romlását megelőző intézkedésekre (a lakosság és a légszennyezők önkéntes önkorlátozó intézkedéseire), különösen kérve:</w:t>
            </w:r>
          </w:p>
          <w:p w14:paraId="78EF6D2C" w14:textId="63A8E335" w:rsidR="00E91441" w:rsidRPr="00F855BE" w:rsidRDefault="00E91441" w:rsidP="008B45D7">
            <w:pPr>
              <w:spacing w:line="300" w:lineRule="auto"/>
              <w:ind w:left="20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D5972">
              <w:rPr>
                <w:rFonts w:ascii="Arial" w:hAnsi="Arial" w:cs="Arial"/>
                <w:i/>
                <w:sz w:val="20"/>
                <w:szCs w:val="20"/>
              </w:rPr>
              <w:t>ca</w:t>
            </w:r>
            <w:proofErr w:type="spellEnd"/>
            <w:r w:rsidRPr="005D5972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F855BE">
              <w:rPr>
                <w:rFonts w:ascii="Arial" w:hAnsi="Arial" w:cs="Arial"/>
                <w:i/>
                <w:sz w:val="20"/>
                <w:szCs w:val="20"/>
              </w:rPr>
              <w:t xml:space="preserve">azon gépjárművek </w:t>
            </w:r>
            <w:r w:rsidRPr="00F855BE">
              <w:rPr>
                <w:rFonts w:ascii="Arial" w:hAnsi="Arial" w:cs="Arial"/>
                <w:b/>
                <w:i/>
                <w:sz w:val="20"/>
                <w:szCs w:val="20"/>
              </w:rPr>
              <w:t>Budapest főváros közigazgatási területén való</w:t>
            </w:r>
            <w:r w:rsidRPr="00F855BE">
              <w:rPr>
                <w:rFonts w:ascii="Arial" w:hAnsi="Arial" w:cs="Arial"/>
                <w:i/>
                <w:sz w:val="20"/>
                <w:szCs w:val="20"/>
              </w:rPr>
              <w:t xml:space="preserve"> használatának szüneteltetését, amelyek </w:t>
            </w:r>
            <w:r w:rsidR="008B45D7" w:rsidRPr="00F855BE">
              <w:rPr>
                <w:rFonts w:ascii="Arial" w:hAnsi="Arial" w:cs="Arial"/>
                <w:b/>
                <w:i/>
                <w:sz w:val="20"/>
                <w:szCs w:val="20"/>
              </w:rPr>
              <w:t>nem tartoznak a 10/A. §-</w:t>
            </w:r>
            <w:proofErr w:type="spellStart"/>
            <w:r w:rsidRPr="00F855BE">
              <w:rPr>
                <w:rFonts w:ascii="Arial" w:hAnsi="Arial" w:cs="Arial"/>
                <w:b/>
                <w:i/>
                <w:sz w:val="20"/>
                <w:szCs w:val="20"/>
              </w:rPr>
              <w:t>b</w:t>
            </w:r>
            <w:r w:rsidR="008B45D7" w:rsidRPr="00F855BE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F855BE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proofErr w:type="spellEnd"/>
            <w:r w:rsidRPr="00F855B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meghatározott kivételek közé</w:t>
            </w:r>
            <w:r w:rsidRPr="00F855BE"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</w:tc>
      </w:tr>
      <w:tr w:rsidR="00C06161" w:rsidRPr="00C06161" w14:paraId="773A1943" w14:textId="77777777" w:rsidTr="00C06161">
        <w:trPr>
          <w:jc w:val="center"/>
        </w:trPr>
        <w:tc>
          <w:tcPr>
            <w:tcW w:w="4508" w:type="dxa"/>
          </w:tcPr>
          <w:p w14:paraId="6071FBA3" w14:textId="77777777" w:rsidR="00C06161" w:rsidRPr="00C06161" w:rsidRDefault="00C06161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 § A főpolgármester a riasztási fokozat elrendelése esetén:</w:t>
            </w:r>
          </w:p>
          <w:p w14:paraId="0FCF802C" w14:textId="77777777" w:rsidR="00C06161" w:rsidRPr="00C06161" w:rsidRDefault="00C06161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</w:t>
            </w:r>
            <w:proofErr w:type="gramEnd"/>
          </w:p>
          <w:p w14:paraId="2674D74D" w14:textId="77777777" w:rsidR="00C06161" w:rsidRPr="00C06161" w:rsidRDefault="00C06161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161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b)</w:t>
            </w:r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elrendelheti </w:t>
            </w:r>
          </w:p>
          <w:p w14:paraId="0E0BA61C" w14:textId="77777777" w:rsidR="00C06161" w:rsidRPr="005D5972" w:rsidRDefault="00C06161" w:rsidP="00C06161">
            <w:pPr>
              <w:spacing w:line="300" w:lineRule="auto"/>
              <w:ind w:left="171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4716F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ba</w:t>
            </w:r>
            <w:proofErr w:type="spellEnd"/>
            <w:r w:rsidRPr="0034716F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)</w:t>
            </w:r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azon gépjárművek Budapest főváros közigazgatási területén való használatának korlátozását vagy közlekedésének tilalmát, amelyek </w:t>
            </w:r>
            <w:r w:rsidRPr="00F855B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forgalmi engedélye „0”, „1”, „2”, „3”, „4”, „7” vagy „8” környezetvédelmi osztályt jelölő kódot tartalmaz, vagy nem tartalmaz környezetvédelmi osztályt jelölő kódot</w:t>
            </w:r>
            <w:r w:rsidRPr="005D597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;</w:t>
            </w:r>
          </w:p>
          <w:p w14:paraId="6B746B1A" w14:textId="306CE853" w:rsidR="00A2171F" w:rsidRPr="00C06161" w:rsidRDefault="0034716F" w:rsidP="0034716F">
            <w:pPr>
              <w:spacing w:line="300" w:lineRule="auto"/>
              <w:ind w:left="17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bb</w:t>
            </w:r>
            <w:proofErr w:type="spellEnd"/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)</w:t>
            </w:r>
            <w:r w:rsidRPr="00F855B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belső égésű motorral hajtott segédmotoros kerékpárok Budapest főváros közigazgatási területén való használatának korlátozását vagy közlekedésének tilalmát</w:t>
            </w:r>
            <w:r w:rsidRPr="0034716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;</w:t>
            </w:r>
          </w:p>
        </w:tc>
        <w:tc>
          <w:tcPr>
            <w:tcW w:w="4508" w:type="dxa"/>
          </w:tcPr>
          <w:p w14:paraId="6C3DC53F" w14:textId="77777777" w:rsidR="00C06161" w:rsidRPr="00C06161" w:rsidRDefault="00C06161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 § A főpolgármester a riasztási fokozat elrendelése esetén:</w:t>
            </w:r>
          </w:p>
          <w:p w14:paraId="18C4E505" w14:textId="77777777" w:rsidR="00C06161" w:rsidRPr="00C06161" w:rsidRDefault="00C06161" w:rsidP="00C06161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C0616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…</w:t>
            </w:r>
          </w:p>
          <w:p w14:paraId="7D47D11F" w14:textId="5771EF8E" w:rsidR="005D5972" w:rsidRPr="00F855BE" w:rsidRDefault="005D5972" w:rsidP="005D5972">
            <w:pPr>
              <w:spacing w:line="300" w:lineRule="auto"/>
              <w:ind w:left="58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  <w:r w:rsidRPr="00F855BE">
              <w:rPr>
                <w:i/>
              </w:rPr>
              <w:t xml:space="preserve"> </w:t>
            </w:r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 xml:space="preserve">b) elrendelheti </w:t>
            </w:r>
          </w:p>
          <w:p w14:paraId="472E9490" w14:textId="25B45F08" w:rsidR="005D5972" w:rsidRPr="00F855BE" w:rsidRDefault="005D5972" w:rsidP="005D5972">
            <w:pPr>
              <w:spacing w:line="300" w:lineRule="auto"/>
              <w:ind w:left="20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  <w:proofErr w:type="spellStart"/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ba</w:t>
            </w:r>
            <w:proofErr w:type="spellEnd"/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 xml:space="preserve">) azon gépjárművek Budapest főváros közigazgatási területén való használatának korlátozását vagy közlekedésének tilalmát, amelyek 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nem tartoznak a 10-10/A. §-</w:t>
            </w: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ban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 meghatározott kivételek közé; </w:t>
            </w:r>
            <w:r w:rsidR="005D1D6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és</w:t>
            </w:r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 xml:space="preserve"> </w:t>
            </w:r>
          </w:p>
          <w:p w14:paraId="390BD8CC" w14:textId="77777777" w:rsidR="00AF33D5" w:rsidRDefault="00AF33D5" w:rsidP="005D5972">
            <w:pPr>
              <w:spacing w:line="300" w:lineRule="auto"/>
              <w:ind w:left="20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  <w:p w14:paraId="4B487848" w14:textId="77777777" w:rsidR="00AF33D5" w:rsidRDefault="00AF33D5" w:rsidP="005D5972">
            <w:pPr>
              <w:spacing w:line="300" w:lineRule="auto"/>
              <w:ind w:left="200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</w:pPr>
          </w:p>
          <w:p w14:paraId="1A818E3A" w14:textId="22705A64" w:rsidR="00426482" w:rsidRPr="00C06161" w:rsidRDefault="005D5972" w:rsidP="005D5972">
            <w:pPr>
              <w:spacing w:line="300" w:lineRule="auto"/>
              <w:ind w:left="20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bb</w:t>
            </w:r>
            <w:proofErr w:type="spellEnd"/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 xml:space="preserve">) 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</w:t>
            </w:r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 xml:space="preserve"> belső égésű motorral hajtott segédmotoros kerékpárok 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és a belső égésű motorral hajtott kerékpárok </w:t>
            </w:r>
            <w:r w:rsidRPr="00F855BE">
              <w:rPr>
                <w:rFonts w:ascii="Arial" w:eastAsia="Times New Roman" w:hAnsi="Arial" w:cs="Arial"/>
                <w:i/>
                <w:sz w:val="20"/>
                <w:szCs w:val="20"/>
                <w:lang w:eastAsia="hu-HU"/>
              </w:rPr>
              <w:t>Budapest főváros közigazgatási területén való használatának korlátozását vagy közlekedésének tilalmát;</w:t>
            </w:r>
          </w:p>
        </w:tc>
      </w:tr>
      <w:tr w:rsidR="00C06161" w:rsidRPr="00C06161" w14:paraId="30534C26" w14:textId="77777777" w:rsidTr="00C06161">
        <w:trPr>
          <w:jc w:val="center"/>
        </w:trPr>
        <w:tc>
          <w:tcPr>
            <w:tcW w:w="4508" w:type="dxa"/>
          </w:tcPr>
          <w:p w14:paraId="0AE82983" w14:textId="77777777" w:rsidR="00C06161" w:rsidRPr="00C06161" w:rsidRDefault="00C06161" w:rsidP="00C06161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4E88C6C" w14:textId="35A215B2" w:rsidR="00DF0C81" w:rsidRPr="00F855BE" w:rsidRDefault="00DF0C81" w:rsidP="00DF0C81">
            <w:pPr>
              <w:spacing w:line="30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10/A. § A 8. § (2) bekezdés </w:t>
            </w:r>
            <w:r w:rsidR="0058026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c) pont </w:t>
            </w: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ca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) alpontja, valamint a 9. § </w:t>
            </w:r>
            <w:r w:rsidR="0058026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b) pont </w:t>
            </w: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ba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) alpontja szerinti intézkedés alól mentesül</w:t>
            </w:r>
          </w:p>
          <w:p w14:paraId="185FEFB7" w14:textId="77777777" w:rsidR="00DF0C81" w:rsidRPr="00F855BE" w:rsidRDefault="00DF0C81" w:rsidP="00DF0C81">
            <w:pPr>
              <w:spacing w:line="300" w:lineRule="auto"/>
              <w:ind w:left="58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>azon gépjármű, amelynek forgalmi engedélye az alábbi környezetvédelmi osztályt jelölő kód valamelyikét tartalmazza:</w:t>
            </w:r>
          </w:p>
          <w:p w14:paraId="337C0949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aa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 xml:space="preserve">„5”, </w:t>
            </w:r>
          </w:p>
          <w:p w14:paraId="387D0C23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lastRenderedPageBreak/>
              <w:t>ab)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 xml:space="preserve">„5E”, </w:t>
            </w:r>
          </w:p>
          <w:p w14:paraId="304773A8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ac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 xml:space="preserve">„5N”, </w:t>
            </w:r>
          </w:p>
          <w:p w14:paraId="402CBECF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ad)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 xml:space="preserve">„5P”, </w:t>
            </w:r>
          </w:p>
          <w:p w14:paraId="0FA0EFAE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ae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>„5Z”,</w:t>
            </w:r>
          </w:p>
          <w:p w14:paraId="2C17AFF1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af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>„6”,</w:t>
            </w:r>
          </w:p>
          <w:p w14:paraId="23C58034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ag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>„9”,</w:t>
            </w:r>
          </w:p>
          <w:p w14:paraId="6AD40196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ah)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>„14”, ha a gépjármű hajtóanyaga a forgalmi engedély adata szerint benzin,</w:t>
            </w:r>
          </w:p>
          <w:p w14:paraId="624DC842" w14:textId="79441A91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proofErr w:type="spellStart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ai</w:t>
            </w:r>
            <w:proofErr w:type="spellEnd"/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>„15”,</w:t>
            </w:r>
            <w:r w:rsidR="005D1D6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="0058026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vagy</w:t>
            </w:r>
          </w:p>
          <w:p w14:paraId="5D08740D" w14:textId="77777777" w:rsidR="00DF0C81" w:rsidRPr="00F855BE" w:rsidRDefault="00DF0C81" w:rsidP="00DF0C81">
            <w:pPr>
              <w:spacing w:line="300" w:lineRule="auto"/>
              <w:ind w:left="3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aj)</w:t>
            </w: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ab/>
              <w:t xml:space="preserve">„16”; </w:t>
            </w:r>
          </w:p>
          <w:p w14:paraId="42CC3D2A" w14:textId="62AB5E47" w:rsidR="00C06161" w:rsidRPr="00F855BE" w:rsidRDefault="005D1D69" w:rsidP="00DF0C81">
            <w:pPr>
              <w:spacing w:after="40" w:line="300" w:lineRule="auto"/>
              <w:ind w:left="200" w:hanging="142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 xml:space="preserve">b) </w:t>
            </w:r>
            <w:r w:rsidR="00DF0C81"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azon gépjármű, amelynek forgalmi engedélye a 2019. október 1-jén hatályos legkedvezőbb környezetvédelmi osztályt jelölő kódoknál is kedvezőbb környezetvédelmi tulajdonságot jelentő kód valamelyikét tartalmazza.</w:t>
            </w:r>
          </w:p>
        </w:tc>
      </w:tr>
      <w:tr w:rsidR="00C06161" w:rsidRPr="00C06161" w14:paraId="11AC24D2" w14:textId="77777777" w:rsidTr="00C06161">
        <w:trPr>
          <w:jc w:val="center"/>
        </w:trPr>
        <w:tc>
          <w:tcPr>
            <w:tcW w:w="4508" w:type="dxa"/>
          </w:tcPr>
          <w:p w14:paraId="069D2A1F" w14:textId="77777777" w:rsidR="00C06161" w:rsidRPr="00C06161" w:rsidRDefault="00C06161" w:rsidP="00C06161">
            <w:pPr>
              <w:spacing w:line="30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6659258" w14:textId="77777777" w:rsidR="00C06161" w:rsidRPr="00F855BE" w:rsidRDefault="00C612F0" w:rsidP="00C06161">
            <w:pPr>
              <w:spacing w:line="30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55B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u-HU"/>
              </w:rPr>
              <w:t>10/B. § A 10/A. § szerinti szabályokat a Fővárosi Közgyűlés legalább háromévenként felülvizsgálja.</w:t>
            </w:r>
          </w:p>
        </w:tc>
      </w:tr>
    </w:tbl>
    <w:p w14:paraId="1A056C25" w14:textId="79B39B27" w:rsidR="00C460BD" w:rsidRDefault="00C460BD" w:rsidP="00C460BD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460BD" w:rsidSect="001B1B25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F4AE" w14:textId="77777777" w:rsidR="00ED62A4" w:rsidRDefault="00ED62A4" w:rsidP="008C3923">
      <w:pPr>
        <w:spacing w:after="0" w:line="240" w:lineRule="auto"/>
      </w:pPr>
      <w:r>
        <w:separator/>
      </w:r>
    </w:p>
  </w:endnote>
  <w:endnote w:type="continuationSeparator" w:id="0">
    <w:p w14:paraId="1FE397AD" w14:textId="77777777" w:rsidR="00ED62A4" w:rsidRDefault="00ED62A4" w:rsidP="008C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4E113" w14:textId="769C9EF1" w:rsidR="00F76EBF" w:rsidRPr="00F76EBF" w:rsidRDefault="00F76EBF" w:rsidP="00F76EBF">
    <w:pPr>
      <w:pStyle w:val="llb"/>
      <w:jc w:val="right"/>
      <w:rPr>
        <w:rFonts w:ascii="Arial" w:hAnsi="Arial" w:cs="Arial"/>
        <w:sz w:val="16"/>
        <w:szCs w:val="16"/>
      </w:rPr>
    </w:pPr>
    <w:r w:rsidRPr="00F76EBF">
      <w:rPr>
        <w:rFonts w:ascii="Arial" w:hAnsi="Arial" w:cs="Arial"/>
        <w:bCs/>
        <w:noProof/>
        <w:sz w:val="16"/>
        <w:szCs w:val="16"/>
      </w:rPr>
      <w:fldChar w:fldCharType="begin"/>
    </w:r>
    <w:r w:rsidRPr="00F76EBF">
      <w:rPr>
        <w:rFonts w:ascii="Arial" w:hAnsi="Arial" w:cs="Arial"/>
        <w:bCs/>
        <w:noProof/>
        <w:sz w:val="16"/>
        <w:szCs w:val="16"/>
      </w:rPr>
      <w:instrText>PAGE</w:instrText>
    </w:r>
    <w:r w:rsidRPr="00F76EBF">
      <w:rPr>
        <w:rFonts w:ascii="Arial" w:hAnsi="Arial" w:cs="Arial"/>
        <w:bCs/>
        <w:noProof/>
        <w:sz w:val="16"/>
        <w:szCs w:val="16"/>
      </w:rPr>
      <w:fldChar w:fldCharType="separate"/>
    </w:r>
    <w:r w:rsidR="00F855BE">
      <w:rPr>
        <w:rFonts w:ascii="Arial" w:hAnsi="Arial" w:cs="Arial"/>
        <w:bCs/>
        <w:noProof/>
        <w:sz w:val="16"/>
        <w:szCs w:val="16"/>
      </w:rPr>
      <w:t>2</w:t>
    </w:r>
    <w:r w:rsidRPr="00F76EBF">
      <w:rPr>
        <w:rFonts w:ascii="Arial" w:hAnsi="Arial" w:cs="Arial"/>
        <w:bCs/>
        <w:noProof/>
        <w:sz w:val="16"/>
        <w:szCs w:val="16"/>
      </w:rPr>
      <w:fldChar w:fldCharType="end"/>
    </w:r>
    <w:r w:rsidRPr="00F76EBF">
      <w:rPr>
        <w:rFonts w:ascii="Arial" w:hAnsi="Arial" w:cs="Arial"/>
        <w:bCs/>
        <w:noProof/>
        <w:sz w:val="16"/>
        <w:szCs w:val="16"/>
      </w:rPr>
      <w:t>/</w:t>
    </w:r>
    <w:r w:rsidRPr="00F76EBF">
      <w:rPr>
        <w:rFonts w:ascii="Arial" w:hAnsi="Arial" w:cs="Arial"/>
        <w:bCs/>
        <w:noProof/>
        <w:sz w:val="16"/>
        <w:szCs w:val="16"/>
      </w:rPr>
      <w:fldChar w:fldCharType="begin"/>
    </w:r>
    <w:r w:rsidRPr="00F76EBF">
      <w:rPr>
        <w:rFonts w:ascii="Arial" w:hAnsi="Arial" w:cs="Arial"/>
        <w:bCs/>
        <w:noProof/>
        <w:sz w:val="16"/>
        <w:szCs w:val="16"/>
      </w:rPr>
      <w:instrText>NUMPAGES</w:instrText>
    </w:r>
    <w:r w:rsidRPr="00F76EBF">
      <w:rPr>
        <w:rFonts w:ascii="Arial" w:hAnsi="Arial" w:cs="Arial"/>
        <w:bCs/>
        <w:noProof/>
        <w:sz w:val="16"/>
        <w:szCs w:val="16"/>
      </w:rPr>
      <w:fldChar w:fldCharType="separate"/>
    </w:r>
    <w:r w:rsidR="00F855BE">
      <w:rPr>
        <w:rFonts w:ascii="Arial" w:hAnsi="Arial" w:cs="Arial"/>
        <w:bCs/>
        <w:noProof/>
        <w:sz w:val="16"/>
        <w:szCs w:val="16"/>
      </w:rPr>
      <w:t>2</w:t>
    </w:r>
    <w:r w:rsidRPr="00F76EBF">
      <w:rPr>
        <w:rFonts w:ascii="Arial" w:hAnsi="Arial"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85327" w14:textId="77777777" w:rsidR="00ED62A4" w:rsidRDefault="00ED62A4" w:rsidP="008C3923">
      <w:pPr>
        <w:spacing w:after="0" w:line="240" w:lineRule="auto"/>
      </w:pPr>
      <w:r>
        <w:separator/>
      </w:r>
    </w:p>
  </w:footnote>
  <w:footnote w:type="continuationSeparator" w:id="0">
    <w:p w14:paraId="5F180E3E" w14:textId="77777777" w:rsidR="00ED62A4" w:rsidRDefault="00ED62A4" w:rsidP="008C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DA0F1" w14:textId="77777777" w:rsidR="008C3923" w:rsidRDefault="008C3923" w:rsidP="008C3923">
    <w:pPr>
      <w:pStyle w:val="lfej"/>
      <w:jc w:val="right"/>
    </w:pPr>
    <w:r w:rsidRPr="006A72FC">
      <w:rPr>
        <w:rFonts w:ascii="Arial" w:hAnsi="Arial" w:cs="Arial"/>
        <w:b/>
        <w:i/>
        <w:sz w:val="20"/>
        <w:szCs w:val="20"/>
      </w:rPr>
      <w:t>2.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4852"/>
    <w:multiLevelType w:val="hybridMultilevel"/>
    <w:tmpl w:val="6F9E62E2"/>
    <w:lvl w:ilvl="0" w:tplc="15E8CD4A">
      <w:start w:val="1"/>
      <w:numFmt w:val="lowerLetter"/>
      <w:lvlText w:val="%1)"/>
      <w:lvlJc w:val="left"/>
      <w:pPr>
        <w:ind w:left="92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1"/>
    <w:rsid w:val="00002E2E"/>
    <w:rsid w:val="00102A24"/>
    <w:rsid w:val="00147D18"/>
    <w:rsid w:val="001B1B25"/>
    <w:rsid w:val="002835D0"/>
    <w:rsid w:val="002B1EE6"/>
    <w:rsid w:val="002E0D1E"/>
    <w:rsid w:val="0034716F"/>
    <w:rsid w:val="00347499"/>
    <w:rsid w:val="00362D22"/>
    <w:rsid w:val="003905D9"/>
    <w:rsid w:val="00405162"/>
    <w:rsid w:val="00426482"/>
    <w:rsid w:val="004358EE"/>
    <w:rsid w:val="004F3138"/>
    <w:rsid w:val="005209D0"/>
    <w:rsid w:val="00546F22"/>
    <w:rsid w:val="00580264"/>
    <w:rsid w:val="005A3B90"/>
    <w:rsid w:val="005D1D69"/>
    <w:rsid w:val="005D5972"/>
    <w:rsid w:val="00613E41"/>
    <w:rsid w:val="006218FB"/>
    <w:rsid w:val="006375D5"/>
    <w:rsid w:val="00640FC0"/>
    <w:rsid w:val="00643958"/>
    <w:rsid w:val="00676C29"/>
    <w:rsid w:val="006847DC"/>
    <w:rsid w:val="006E3B09"/>
    <w:rsid w:val="007753AB"/>
    <w:rsid w:val="0079408E"/>
    <w:rsid w:val="007B4536"/>
    <w:rsid w:val="007C37DD"/>
    <w:rsid w:val="007E5CF9"/>
    <w:rsid w:val="007F5792"/>
    <w:rsid w:val="00830D85"/>
    <w:rsid w:val="008B45D7"/>
    <w:rsid w:val="008C3923"/>
    <w:rsid w:val="0096072D"/>
    <w:rsid w:val="00A2171F"/>
    <w:rsid w:val="00A26A2D"/>
    <w:rsid w:val="00A45187"/>
    <w:rsid w:val="00A752AC"/>
    <w:rsid w:val="00A973E5"/>
    <w:rsid w:val="00AE3538"/>
    <w:rsid w:val="00AF33D5"/>
    <w:rsid w:val="00B04DFC"/>
    <w:rsid w:val="00B10C40"/>
    <w:rsid w:val="00B4404B"/>
    <w:rsid w:val="00B76D21"/>
    <w:rsid w:val="00B85A5F"/>
    <w:rsid w:val="00BA5642"/>
    <w:rsid w:val="00BC03AC"/>
    <w:rsid w:val="00C04596"/>
    <w:rsid w:val="00C06161"/>
    <w:rsid w:val="00C16F9E"/>
    <w:rsid w:val="00C460BD"/>
    <w:rsid w:val="00C612F0"/>
    <w:rsid w:val="00C868EC"/>
    <w:rsid w:val="00D57835"/>
    <w:rsid w:val="00D74529"/>
    <w:rsid w:val="00DA0E3C"/>
    <w:rsid w:val="00DD103E"/>
    <w:rsid w:val="00DF0C81"/>
    <w:rsid w:val="00E2535D"/>
    <w:rsid w:val="00E91441"/>
    <w:rsid w:val="00ED62A4"/>
    <w:rsid w:val="00F024EC"/>
    <w:rsid w:val="00F061CD"/>
    <w:rsid w:val="00F17812"/>
    <w:rsid w:val="00F76EBF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E5CD"/>
  <w15:chartTrackingRefBased/>
  <w15:docId w15:val="{B91C4CA9-8D12-4EA1-8BE4-7E94802B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C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C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3923"/>
  </w:style>
  <w:style w:type="paragraph" w:styleId="llb">
    <w:name w:val="footer"/>
    <w:basedOn w:val="Norml"/>
    <w:link w:val="llbChar"/>
    <w:uiPriority w:val="99"/>
    <w:unhideWhenUsed/>
    <w:rsid w:val="008C3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3923"/>
  </w:style>
  <w:style w:type="character" w:styleId="Jegyzethivatkozs">
    <w:name w:val="annotation reference"/>
    <w:basedOn w:val="Bekezdsalapbettpusa"/>
    <w:uiPriority w:val="99"/>
    <w:semiHidden/>
    <w:unhideWhenUsed/>
    <w:rsid w:val="00C612F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1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12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1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Zsolt</dc:creator>
  <cp:keywords/>
  <dc:description/>
  <cp:lastModifiedBy>Molnár Zsolt</cp:lastModifiedBy>
  <cp:revision>3</cp:revision>
  <dcterms:created xsi:type="dcterms:W3CDTF">2019-04-15T08:43:00Z</dcterms:created>
  <dcterms:modified xsi:type="dcterms:W3CDTF">2019-04-15T08:45:00Z</dcterms:modified>
</cp:coreProperties>
</file>