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BF424" w14:textId="72B75AD8" w:rsidR="006C431E" w:rsidRPr="0007331B" w:rsidRDefault="00FF6C9C" w:rsidP="00B81FF0">
      <w:pPr>
        <w:pStyle w:val="Cmsor2"/>
        <w:numPr>
          <w:ilvl w:val="0"/>
          <w:numId w:val="0"/>
        </w:numPr>
        <w:ind w:left="431" w:hanging="431"/>
      </w:pPr>
      <w:bookmarkStart w:id="0" w:name="_Toc490491424"/>
      <w:bookmarkStart w:id="1" w:name="_Ref512592284"/>
      <w:bookmarkStart w:id="2" w:name="_Ref7441798"/>
      <w:bookmarkStart w:id="3" w:name="_Ref7441802"/>
      <w:bookmarkStart w:id="4" w:name="_Toc8118599"/>
      <w:bookmarkStart w:id="5" w:name="_Ref404846776"/>
      <w:bookmarkStart w:id="6" w:name="_Ref404847322"/>
      <w:bookmarkStart w:id="7" w:name="_Ref404847392"/>
      <w:bookmarkStart w:id="8" w:name="_Ref404847413"/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D1E5E0C" wp14:editId="674FAE28">
                <wp:simplePos x="0" y="0"/>
                <wp:positionH relativeFrom="column">
                  <wp:posOffset>-90805</wp:posOffset>
                </wp:positionH>
                <wp:positionV relativeFrom="paragraph">
                  <wp:posOffset>-233680</wp:posOffset>
                </wp:positionV>
                <wp:extent cx="4743450" cy="28575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4440" w14:textId="7B166154" w:rsidR="008A6CD3" w:rsidRPr="008A6CD3" w:rsidRDefault="008A6CD3" w:rsidP="008A6CD3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>Budapest K</w:t>
                            </w:r>
                            <w:r w:rsidR="00FF6AD2">
                              <w:rPr>
                                <w:color w:val="FFFFFF" w:themeColor="background1"/>
                                <w:sz w:val="20"/>
                              </w:rPr>
                              <w:t xml:space="preserve">örnyezeti Állapotértékelése </w:t>
                            </w:r>
                            <w:r w:rsidR="00FF6C9C">
                              <w:rPr>
                                <w:color w:val="FFFFFF" w:themeColor="background1"/>
                                <w:sz w:val="20"/>
                              </w:rPr>
                              <w:t xml:space="preserve">2019 - </w:t>
                            </w:r>
                            <w:r w:rsidR="00FF6AD2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r w:rsidR="00975114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E5E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7.15pt;margin-top:-18.4pt;width:373.5pt;height:22.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" filled="f" stroked="f">
                <v:textbox>
                  <w:txbxContent>
                    <w:p w14:paraId="2CF44440" w14:textId="7B166154" w:rsidR="008A6CD3" w:rsidRPr="008A6CD3" w:rsidRDefault="008A6CD3" w:rsidP="008A6CD3">
                      <w:pPr>
                        <w:rPr>
                          <w:color w:val="FFFFFF" w:themeColor="background1"/>
                          <w:sz w:val="20"/>
                        </w:rPr>
                      </w:pPr>
                      <w:r w:rsidRPr="008A6CD3">
                        <w:rPr>
                          <w:color w:val="FFFFFF" w:themeColor="background1"/>
                          <w:sz w:val="20"/>
                        </w:rPr>
                        <w:t>Budapest K</w:t>
                      </w:r>
                      <w:r w:rsidR="00FF6AD2">
                        <w:rPr>
                          <w:color w:val="FFFFFF" w:themeColor="background1"/>
                          <w:sz w:val="20"/>
                        </w:rPr>
                        <w:t xml:space="preserve">örnyezeti Állapotértékelése </w:t>
                      </w:r>
                      <w:r w:rsidR="00FF6C9C">
                        <w:rPr>
                          <w:color w:val="FFFFFF" w:themeColor="background1"/>
                          <w:sz w:val="20"/>
                        </w:rPr>
                        <w:t xml:space="preserve">2019 - </w:t>
                      </w:r>
                      <w:r w:rsidR="00FF6AD2"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r w:rsidR="00975114">
                        <w:rPr>
                          <w:color w:val="FFFFFF" w:themeColor="background1"/>
                          <w:sz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bookmarkStart w:id="9" w:name="_GoBack"/>
      <w:r w:rsidR="00795F06">
        <w:rPr>
          <w:noProof/>
          <w:lang w:eastAsia="hu-HU"/>
        </w:rPr>
        <w:drawing>
          <wp:anchor distT="0" distB="0" distL="114300" distR="114300" simplePos="0" relativeHeight="251662336" behindDoc="1" locked="0" layoutInCell="1" allowOverlap="1" wp14:anchorId="0BE9DDE6" wp14:editId="76D36E83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7560000" cy="10693191"/>
            <wp:effectExtent l="0" t="0" r="317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KÁÉ_Borító-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9"/>
      <w:r w:rsidR="00274FE6">
        <w:t>I</w:t>
      </w:r>
      <w:r w:rsidR="00715C52">
        <w:t xml:space="preserve">I.1. </w:t>
      </w:r>
      <w:r w:rsidR="00274FE6">
        <w:t>Épített</w:t>
      </w:r>
      <w:r w:rsidR="00715C52">
        <w:t xml:space="preserve"> környezet</w:t>
      </w:r>
    </w:p>
    <w:p w14:paraId="7171EC5B" w14:textId="130B4E20" w:rsidR="0007331B" w:rsidRDefault="00FF6AD2" w:rsidP="00FF6AD2">
      <w:pPr>
        <w:tabs>
          <w:tab w:val="left" w:pos="5806"/>
        </w:tabs>
        <w:rPr>
          <w:szCs w:val="20"/>
        </w:rPr>
      </w:pPr>
      <w:bookmarkStart w:id="10" w:name="_Toc407102849"/>
      <w:bookmarkStart w:id="11" w:name="_Toc488911491"/>
      <w:bookmarkStart w:id="12" w:name="_Toc490491425"/>
      <w:r>
        <w:rPr>
          <w:szCs w:val="20"/>
        </w:rPr>
        <w:tab/>
      </w:r>
    </w:p>
    <w:p w14:paraId="3A8552C0" w14:textId="7B8EE46B" w:rsidR="0007331B" w:rsidRDefault="001544A5" w:rsidP="0007331B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AB11C1" wp14:editId="78C4C906">
                <wp:simplePos x="0" y="0"/>
                <wp:positionH relativeFrom="column">
                  <wp:posOffset>8499</wp:posOffset>
                </wp:positionH>
                <wp:positionV relativeFrom="paragraph">
                  <wp:posOffset>173990</wp:posOffset>
                </wp:positionV>
                <wp:extent cx="4320000" cy="0"/>
                <wp:effectExtent l="0" t="19050" r="23495" b="19050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6C7550" id="Egyenes összekötő 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3.7pt" to="340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" strokecolor="white [3212]" strokeweight="3pt">
                <v:stroke joinstyle="miter"/>
              </v:line>
            </w:pict>
          </mc:Fallback>
        </mc:AlternateContent>
      </w:r>
    </w:p>
    <w:p w14:paraId="27C4549C" w14:textId="31E00E3C" w:rsidR="0007331B" w:rsidRDefault="0007331B" w:rsidP="0007331B">
      <w:pPr>
        <w:rPr>
          <w:szCs w:val="20"/>
        </w:rPr>
      </w:pPr>
    </w:p>
    <w:p w14:paraId="3DC00FF5" w14:textId="5C8BDA96" w:rsidR="000A1C9B" w:rsidRPr="000A1C9B" w:rsidRDefault="000A1C9B" w:rsidP="000A1C9B">
      <w:pPr>
        <w:pStyle w:val="Bevezetnorml"/>
      </w:pPr>
      <w:bookmarkStart w:id="13" w:name="_Toc8118600"/>
      <w:r w:rsidRPr="000A1C9B">
        <w:t>Az 52.514 ha területű főváros jelenleg 52%-a beépített. A beépített területek 61%-a lakó-, 12%-a gazdasági terület, minden más területhasználat</w:t>
      </w:r>
      <w:r w:rsidR="001972E8">
        <w:t xml:space="preserve"> összesen</w:t>
      </w:r>
      <w:r w:rsidRPr="000A1C9B">
        <w:t xml:space="preserve"> 6% alatti.</w:t>
      </w:r>
    </w:p>
    <w:p w14:paraId="0C310951" w14:textId="77777777" w:rsidR="000A1C9B" w:rsidRPr="000A1C9B" w:rsidRDefault="000A1C9B" w:rsidP="000A1C9B">
      <w:pPr>
        <w:pStyle w:val="Bevezetnorml"/>
      </w:pPr>
      <w:r w:rsidRPr="000A1C9B">
        <w:t>Budapest beépített területei az elmúlt 70 év alatt közel megháromszorozódtak, ami a vizsgálatok alapján évi átlagos 313 ha új beépítésnek, 0,6%-os bővülésnek felel meg. A beépítések folyamatos növekedése a város szabadterületeinek csökkenését eredményezte. Jelenleg a város szabad területeinek aránya összesen 32%.</w:t>
      </w:r>
    </w:p>
    <w:p w14:paraId="503F1DB3" w14:textId="14E4B9F6" w:rsidR="000A1C9B" w:rsidRPr="000A1C9B" w:rsidRDefault="000A1C9B" w:rsidP="000A1C9B">
      <w:pPr>
        <w:pStyle w:val="Bevezetnorml"/>
      </w:pPr>
      <w:r w:rsidRPr="000A1C9B">
        <w:t xml:space="preserve">Az épített környezet, illetve a beépített területek aránya a talajlezárás szempontjából (is) meghatározó. A talajlezárás kialakulása és mértéke szorosan összefügg a népesség növekedésével és a városok növekedésével, az infrastruktúra terjeszkedésével. A talajlezárás mértéke kapcsolatban áll a zöldfelület-intenzitással, </w:t>
      </w:r>
      <w:r w:rsidR="001972E8" w:rsidRPr="000A1C9B">
        <w:t xml:space="preserve">egyes területeken </w:t>
      </w:r>
      <w:r w:rsidRPr="000A1C9B">
        <w:t xml:space="preserve">azzal ellentétes értékeket mutat. </w:t>
      </w:r>
    </w:p>
    <w:p w14:paraId="20633B7D" w14:textId="77777777" w:rsidR="000A1C9B" w:rsidRPr="000A1C9B" w:rsidRDefault="000A1C9B" w:rsidP="000A1C9B">
      <w:pPr>
        <w:pStyle w:val="Bevezetnorml"/>
      </w:pPr>
      <w:r w:rsidRPr="000A1C9B">
        <w:t xml:space="preserve">Budapest talajlezárási mértéke, a nagyarányú erdő- és mezőgazdasági területeknek köszönhetően, közigazgatási területen belül 44%, a funkcionális urbánus környezet (FUA) határokat tekintve pedig 38%, mely a benchmark városokkal összehasonlítva kedvezőnek mondható. </w:t>
      </w:r>
    </w:p>
    <w:p w14:paraId="590CE64A" w14:textId="77777777" w:rsidR="0007331B" w:rsidRDefault="0007331B">
      <w:pPr>
        <w:spacing w:after="160" w:line="259" w:lineRule="auto"/>
        <w:ind w:right="0"/>
        <w:jc w:val="left"/>
        <w:rPr>
          <w:rFonts w:eastAsia="Calibri"/>
          <w:b/>
          <w:color w:val="333333"/>
          <w:spacing w:val="14"/>
          <w:sz w:val="22"/>
          <w:lang w:eastAsia="en-US"/>
        </w:rPr>
      </w:pPr>
      <w:r>
        <w:br w:type="page"/>
      </w:r>
    </w:p>
    <w:bookmarkEnd w:id="10"/>
    <w:bookmarkEnd w:id="11"/>
    <w:bookmarkEnd w:id="12"/>
    <w:bookmarkEnd w:id="13"/>
    <w:p w14:paraId="459F450A" w14:textId="77777777" w:rsidR="00971119" w:rsidRDefault="00971119" w:rsidP="00971119">
      <w:pPr>
        <w:pStyle w:val="Cmsor4"/>
      </w:pPr>
      <w:r>
        <w:lastRenderedPageBreak/>
        <w:t>Területhasználat</w:t>
      </w:r>
    </w:p>
    <w:p w14:paraId="3108F807" w14:textId="3476DDA8" w:rsidR="000A1C9B" w:rsidRPr="000A1C9B" w:rsidRDefault="000A1C9B" w:rsidP="000A1C9B">
      <w:pPr>
        <w:rPr>
          <w:szCs w:val="20"/>
        </w:rPr>
      </w:pPr>
      <w:r w:rsidRPr="000A1C9B">
        <w:rPr>
          <w:szCs w:val="20"/>
        </w:rPr>
        <w:t>Budapest 52.514 ha</w:t>
      </w:r>
      <w:r w:rsidRPr="00C31C6B">
        <w:rPr>
          <w:szCs w:val="20"/>
          <w:vertAlign w:val="superscript"/>
        </w:rPr>
        <w:endnoteReference w:id="1"/>
      </w:r>
      <w:r w:rsidRPr="000A1C9B">
        <w:rPr>
          <w:szCs w:val="20"/>
        </w:rPr>
        <w:t xml:space="preserve"> területen helyezkedik el, melynek jelenleg 52%-á</w:t>
      </w:r>
      <w:r>
        <w:rPr>
          <w:szCs w:val="20"/>
        </w:rPr>
        <w:t xml:space="preserve">t a beépített telkek teszik ki, </w:t>
      </w:r>
      <w:r w:rsidRPr="000A1C9B">
        <w:rPr>
          <w:szCs w:val="20"/>
        </w:rPr>
        <w:t>48%-a beépítetlen. A hatályos településszerkezeti terv (a továbbiakban: TSZT) alapján ez az arány akár 59%–41% is lehetne; ez azt jelenti, hogy a hatályos terv alapján a jelenleg még nem beépített területek rovására 3.675 ha terület újonnan beépíthető.</w:t>
      </w:r>
    </w:p>
    <w:p w14:paraId="401FFCBC" w14:textId="77777777" w:rsidR="000A1C9B" w:rsidRPr="000A1C9B" w:rsidRDefault="000A1C9B" w:rsidP="000A1C9B">
      <w:pPr>
        <w:rPr>
          <w:szCs w:val="20"/>
        </w:rPr>
      </w:pPr>
      <w:r w:rsidRPr="000A1C9B">
        <w:rPr>
          <w:szCs w:val="20"/>
        </w:rPr>
        <w:t>A területi mérleg Budapest 2030 – hosszú távú városfejlesztési koncepció helyzetfeltáró munkarésze során készült el. A mérleg jól mutatja, hogy a főváros területe jelenleg milyen célból igénybe vett, milyen a beépített és szabad (beépítetlen) területek aránya.</w:t>
      </w:r>
    </w:p>
    <w:p w14:paraId="262F8A1F" w14:textId="77777777" w:rsidR="000A1C9B" w:rsidRPr="000A1C9B" w:rsidRDefault="000A1C9B" w:rsidP="000A1C9B">
      <w:pPr>
        <w:rPr>
          <w:szCs w:val="20"/>
        </w:rPr>
      </w:pPr>
      <w:r w:rsidRPr="000A1C9B">
        <w:rPr>
          <w:szCs w:val="20"/>
        </w:rPr>
        <w:t>Az elemzések a beépített területek, a városi szabadterületek és a város speciális működtetési területei felosztásban mutatják be Budapest területi használatát.</w:t>
      </w:r>
    </w:p>
    <w:p w14:paraId="08D2883A" w14:textId="500BA009" w:rsidR="000A1C9B" w:rsidRPr="000A1C9B" w:rsidRDefault="000A1C9B" w:rsidP="000A1C9B">
      <w:pPr>
        <w:rPr>
          <w:szCs w:val="20"/>
        </w:rPr>
      </w:pPr>
      <w:r w:rsidRPr="000A1C9B">
        <w:rPr>
          <w:szCs w:val="20"/>
        </w:rPr>
        <w:t xml:space="preserve">A város területének legnagyobb részarányát a lakóterületek jelentik. Ezen belül a lakóterületek 10%-át kitevő zártsorúan, intenzíven beépített lakóterületen a lakosság 28%-a él. Ez a terület elsősorban a történelmi belvárost jelenti. A II. világháború után kezdtek épülni a lakótelepek, egészen a rendszerváltásig. Bár lakótelepek a lakóterületeknek csak a 12%-át adják, ugyanakkor a Budapestiek 34%-a itt él. Budapest lakóterületei azonban döntően szabadon állóan beépítettek (78%), itt a lakosság 38%-a talált otthonra. </w:t>
      </w:r>
    </w:p>
    <w:p w14:paraId="0FC0DF0E" w14:textId="0EE16BB6" w:rsidR="000A1C9B" w:rsidRDefault="000A1C9B" w:rsidP="000A1C9B">
      <w:pPr>
        <w:rPr>
          <w:szCs w:val="20"/>
        </w:rPr>
      </w:pPr>
      <w:r w:rsidRPr="000A1C9B">
        <w:rPr>
          <w:szCs w:val="20"/>
        </w:rPr>
        <w:t xml:space="preserve">A lakóterületek területhasználati jellemzői mellett a lakóépületek kora is meghatározó környezetállapot tekintetében. A lakóépületek 30%-a több mint 70 éves (lásd </w:t>
      </w:r>
      <w:r w:rsidR="00F36AB8" w:rsidRPr="00F36AB8">
        <w:rPr>
          <w:i/>
          <w:szCs w:val="20"/>
        </w:rPr>
        <w:fldChar w:fldCharType="begin"/>
      </w:r>
      <w:r w:rsidR="00F36AB8" w:rsidRPr="00F36AB8">
        <w:rPr>
          <w:i/>
          <w:szCs w:val="20"/>
        </w:rPr>
        <w:instrText xml:space="preserve"> REF _Ref23413271 \h  \* MERGEFORMAT </w:instrText>
      </w:r>
      <w:r w:rsidR="00F36AB8" w:rsidRPr="00F36AB8">
        <w:rPr>
          <w:i/>
          <w:szCs w:val="20"/>
        </w:rPr>
      </w:r>
      <w:r w:rsidR="00F36AB8" w:rsidRPr="00F36AB8">
        <w:rPr>
          <w:i/>
          <w:szCs w:val="20"/>
        </w:rPr>
        <w:fldChar w:fldCharType="separate"/>
      </w:r>
      <w:r w:rsidR="00FF6C9C" w:rsidRPr="00FF6C9C">
        <w:rPr>
          <w:i/>
        </w:rPr>
        <w:t>1. ábra</w:t>
      </w:r>
      <w:r w:rsidR="00F36AB8" w:rsidRPr="00F36AB8">
        <w:rPr>
          <w:i/>
          <w:szCs w:val="20"/>
        </w:rPr>
        <w:fldChar w:fldCharType="end"/>
      </w:r>
      <w:r w:rsidRPr="000A1C9B">
        <w:rPr>
          <w:szCs w:val="20"/>
        </w:rPr>
        <w:fldChar w:fldCharType="begin"/>
      </w:r>
      <w:r w:rsidRPr="000A1C9B">
        <w:rPr>
          <w:szCs w:val="20"/>
        </w:rPr>
        <w:instrText xml:space="preserve"> REF _Ref7786845 \h  \* MERGEFORMAT </w:instrText>
      </w:r>
      <w:r w:rsidRPr="000A1C9B">
        <w:rPr>
          <w:szCs w:val="20"/>
        </w:rPr>
        <w:fldChar w:fldCharType="separate"/>
      </w:r>
      <w:r w:rsidR="00FF6C9C">
        <w:rPr>
          <w:b/>
          <w:bCs/>
          <w:szCs w:val="20"/>
        </w:rPr>
        <w:t>Hiba! A hivatkozási forrás nem található.</w:t>
      </w:r>
      <w:r w:rsidRPr="000A1C9B">
        <w:rPr>
          <w:szCs w:val="20"/>
        </w:rPr>
        <w:fldChar w:fldCharType="end"/>
      </w:r>
      <w:r w:rsidRPr="000A1C9B">
        <w:rPr>
          <w:szCs w:val="20"/>
        </w:rPr>
        <w:t xml:space="preserve">), ami számos környezeti problémát (pl. elavult fűtési rendszerek légszennyezése, hiányos szigetelés energiapazarlása, vízhálózatban lévő ólomcsövek vízszennyezése stb.) okoz amennyiben a felújítások nem vagy csak részben valósultak meg az elmúlt időszakban. A lakóépületek energetikai állapota a város energiafelhasználásának legmeghatározóbb tényezője. </w:t>
      </w:r>
    </w:p>
    <w:p w14:paraId="112ACBB3" w14:textId="5427C229" w:rsidR="00700F36" w:rsidRDefault="00A50615" w:rsidP="00700F36">
      <w:pPr>
        <w:pStyle w:val="Kpalrs"/>
        <w:keepNext/>
      </w:pPr>
      <w:bookmarkStart w:id="14" w:name="_Ref23413271"/>
      <w:r>
        <w:drawing>
          <wp:anchor distT="0" distB="0" distL="114300" distR="114300" simplePos="0" relativeHeight="251659264" behindDoc="0" locked="0" layoutInCell="1" allowOverlap="1" wp14:anchorId="349B27E9" wp14:editId="3871276C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4320000" cy="3867193"/>
            <wp:effectExtent l="0" t="0" r="4445" b="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867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00F36" w:rsidRPr="001F103D">
        <w:rPr>
          <w:b/>
        </w:rPr>
        <w:fldChar w:fldCharType="begin"/>
      </w:r>
      <w:r w:rsidR="00700F36" w:rsidRPr="001F103D">
        <w:rPr>
          <w:b/>
        </w:rPr>
        <w:instrText xml:space="preserve"> SEQ ábra \* ARABIC </w:instrText>
      </w:r>
      <w:r w:rsidR="00700F36" w:rsidRPr="001F103D">
        <w:rPr>
          <w:b/>
        </w:rPr>
        <w:fldChar w:fldCharType="separate"/>
      </w:r>
      <w:r w:rsidR="00FF6C9C">
        <w:rPr>
          <w:b/>
        </w:rPr>
        <w:t>1</w:t>
      </w:r>
      <w:r w:rsidR="00700F36" w:rsidRPr="001F103D">
        <w:rPr>
          <w:b/>
        </w:rPr>
        <w:fldChar w:fldCharType="end"/>
      </w:r>
      <w:r w:rsidR="00700F36" w:rsidRPr="001F103D">
        <w:rPr>
          <w:b/>
        </w:rPr>
        <w:t>. ábra</w:t>
      </w:r>
      <w:bookmarkEnd w:id="14"/>
      <w:r w:rsidR="00700F36" w:rsidRPr="001F103D">
        <w:rPr>
          <w:b/>
        </w:rPr>
        <w:t>:</w:t>
      </w:r>
      <w:r w:rsidR="00700F36">
        <w:t xml:space="preserve"> </w:t>
      </w:r>
      <w:r w:rsidR="00700F36" w:rsidRPr="00F30084">
        <w:t>A lakóépületek, lakások, lakók megoszlása a lakóépület építés éve szerint (forrás: KSH)</w:t>
      </w:r>
    </w:p>
    <w:p w14:paraId="78E10783" w14:textId="0038E8F0" w:rsidR="00700F36" w:rsidRDefault="00700F36" w:rsidP="000A1C9B">
      <w:pPr>
        <w:rPr>
          <w:szCs w:val="20"/>
        </w:rPr>
      </w:pPr>
    </w:p>
    <w:p w14:paraId="6BEA3542" w14:textId="655D1E8A" w:rsidR="00700F36" w:rsidRDefault="00700F36" w:rsidP="000A1C9B">
      <w:pPr>
        <w:rPr>
          <w:szCs w:val="20"/>
        </w:rPr>
      </w:pPr>
    </w:p>
    <w:p w14:paraId="130A0ACF" w14:textId="1EF29B2F" w:rsidR="00700F36" w:rsidRDefault="00700F36" w:rsidP="000A1C9B">
      <w:pPr>
        <w:rPr>
          <w:szCs w:val="20"/>
        </w:rPr>
      </w:pPr>
    </w:p>
    <w:p w14:paraId="034D54FC" w14:textId="4FFE83EC" w:rsidR="00700F36" w:rsidRDefault="00700F36" w:rsidP="000A1C9B">
      <w:pPr>
        <w:rPr>
          <w:szCs w:val="20"/>
        </w:rPr>
      </w:pPr>
    </w:p>
    <w:p w14:paraId="48C1FA59" w14:textId="24FE2561" w:rsidR="00700F36" w:rsidRDefault="00700F36" w:rsidP="000A1C9B">
      <w:pPr>
        <w:rPr>
          <w:szCs w:val="20"/>
        </w:rPr>
      </w:pPr>
    </w:p>
    <w:p w14:paraId="54AE0804" w14:textId="77777777" w:rsidR="00700F36" w:rsidRDefault="00700F36" w:rsidP="000A1C9B">
      <w:pPr>
        <w:rPr>
          <w:szCs w:val="20"/>
        </w:rPr>
      </w:pPr>
    </w:p>
    <w:p w14:paraId="33767093" w14:textId="77777777" w:rsidR="00700F36" w:rsidRDefault="00700F36" w:rsidP="000A1C9B">
      <w:pPr>
        <w:rPr>
          <w:szCs w:val="20"/>
        </w:rPr>
      </w:pPr>
    </w:p>
    <w:p w14:paraId="61C97930" w14:textId="77777777" w:rsidR="00700F36" w:rsidRDefault="00700F36" w:rsidP="000A1C9B">
      <w:pPr>
        <w:rPr>
          <w:szCs w:val="20"/>
        </w:rPr>
      </w:pPr>
    </w:p>
    <w:p w14:paraId="093B12B6" w14:textId="77777777" w:rsidR="00700F36" w:rsidRDefault="00700F36" w:rsidP="000A1C9B">
      <w:pPr>
        <w:rPr>
          <w:szCs w:val="20"/>
        </w:rPr>
      </w:pPr>
    </w:p>
    <w:p w14:paraId="3A4995A7" w14:textId="77777777" w:rsidR="00700F36" w:rsidRDefault="00700F36" w:rsidP="000A1C9B">
      <w:pPr>
        <w:rPr>
          <w:szCs w:val="20"/>
        </w:rPr>
      </w:pPr>
    </w:p>
    <w:p w14:paraId="33FEF0B9" w14:textId="77777777" w:rsidR="00700F36" w:rsidRDefault="00700F36" w:rsidP="000A1C9B">
      <w:pPr>
        <w:rPr>
          <w:szCs w:val="20"/>
        </w:rPr>
      </w:pPr>
    </w:p>
    <w:p w14:paraId="5665C6DE" w14:textId="77777777" w:rsidR="00700F36" w:rsidRDefault="00700F36" w:rsidP="000A1C9B">
      <w:pPr>
        <w:rPr>
          <w:szCs w:val="20"/>
        </w:rPr>
      </w:pPr>
    </w:p>
    <w:p w14:paraId="198B0E70" w14:textId="77777777" w:rsidR="00700F36" w:rsidRDefault="00700F36" w:rsidP="000A1C9B">
      <w:pPr>
        <w:rPr>
          <w:szCs w:val="20"/>
        </w:rPr>
      </w:pPr>
    </w:p>
    <w:p w14:paraId="01A3652E" w14:textId="77777777" w:rsidR="00700F36" w:rsidRDefault="00700F36" w:rsidP="000A1C9B">
      <w:pPr>
        <w:rPr>
          <w:szCs w:val="20"/>
        </w:rPr>
      </w:pPr>
    </w:p>
    <w:p w14:paraId="74671BF3" w14:textId="785AE722" w:rsidR="00602D2E" w:rsidRPr="00602D2E" w:rsidRDefault="00602D2E" w:rsidP="00602D2E">
      <w:pPr>
        <w:rPr>
          <w:szCs w:val="20"/>
        </w:rPr>
      </w:pPr>
      <w:r w:rsidRPr="00602D2E">
        <w:rPr>
          <w:szCs w:val="20"/>
        </w:rPr>
        <w:lastRenderedPageBreak/>
        <w:t>A beépített területek zömét a lakóterületek (61%), ezt követően a gazdasági területek (12%) teszik ki, minden más területhasználat 6% alatti. A beépítetlen területek közül a mezőgazdasági területek, az erdők és a közlekedési területek hasonló arányban fordulnak elő. Mivel a közlekedési területek műszaki szempontból igénybe vett területek, a város szabad területeinek aránya a teljes területhez képest összesen csak 32%.</w:t>
      </w:r>
    </w:p>
    <w:p w14:paraId="32A826C0" w14:textId="56F53E1F" w:rsidR="00602D2E" w:rsidRPr="00602D2E" w:rsidRDefault="00602D2E" w:rsidP="00602D2E">
      <w:pPr>
        <w:rPr>
          <w:szCs w:val="20"/>
        </w:rPr>
      </w:pPr>
      <w:r w:rsidRPr="00602D2E">
        <w:rPr>
          <w:szCs w:val="20"/>
        </w:rPr>
        <w:t>Budapest területhasználatának megoszlását az alábbi ábra (</w:t>
      </w:r>
      <w:r w:rsidR="00F36AB8" w:rsidRPr="00F36AB8">
        <w:rPr>
          <w:i/>
          <w:szCs w:val="20"/>
        </w:rPr>
        <w:fldChar w:fldCharType="begin"/>
      </w:r>
      <w:r w:rsidR="00F36AB8" w:rsidRPr="00F36AB8">
        <w:rPr>
          <w:i/>
          <w:szCs w:val="20"/>
        </w:rPr>
        <w:instrText xml:space="preserve"> REF _Ref23413315 \h </w:instrText>
      </w:r>
      <w:r w:rsidR="00F36AB8">
        <w:rPr>
          <w:i/>
          <w:szCs w:val="20"/>
        </w:rPr>
        <w:instrText xml:space="preserve"> \* MERGEFORMAT </w:instrText>
      </w:r>
      <w:r w:rsidR="00F36AB8" w:rsidRPr="00F36AB8">
        <w:rPr>
          <w:i/>
          <w:szCs w:val="20"/>
        </w:rPr>
      </w:r>
      <w:r w:rsidR="00F36AB8" w:rsidRPr="00F36AB8">
        <w:rPr>
          <w:i/>
          <w:szCs w:val="20"/>
        </w:rPr>
        <w:fldChar w:fldCharType="separate"/>
      </w:r>
      <w:r w:rsidR="00FF6C9C" w:rsidRPr="00FF6C9C">
        <w:rPr>
          <w:i/>
        </w:rPr>
        <w:t>2. ábra</w:t>
      </w:r>
      <w:r w:rsidR="00F36AB8" w:rsidRPr="00F36AB8">
        <w:rPr>
          <w:i/>
          <w:szCs w:val="20"/>
        </w:rPr>
        <w:fldChar w:fldCharType="end"/>
      </w:r>
      <w:r w:rsidRPr="00602D2E">
        <w:rPr>
          <w:szCs w:val="20"/>
        </w:rPr>
        <w:t xml:space="preserve">) tartalmazza (adatforrás: </w:t>
      </w:r>
      <w:r w:rsidRPr="00F36AB8">
        <w:rPr>
          <w:i/>
          <w:szCs w:val="20"/>
        </w:rPr>
        <w:t>Budapest 2030 Helyzetelemzés</w:t>
      </w:r>
      <w:r w:rsidRPr="00C31C6B">
        <w:rPr>
          <w:szCs w:val="20"/>
          <w:vertAlign w:val="superscript"/>
        </w:rPr>
        <w:endnoteReference w:id="2"/>
      </w:r>
      <w:r w:rsidRPr="00602D2E">
        <w:rPr>
          <w:szCs w:val="20"/>
        </w:rPr>
        <w:t>).</w:t>
      </w:r>
    </w:p>
    <w:p w14:paraId="77E355C2" w14:textId="423F0115" w:rsidR="00602D2E" w:rsidRPr="00602D2E" w:rsidRDefault="00602D2E" w:rsidP="00602D2E">
      <w:pPr>
        <w:rPr>
          <w:szCs w:val="20"/>
        </w:rPr>
      </w:pPr>
      <w:r w:rsidRPr="00602D2E">
        <w:rPr>
          <w:szCs w:val="20"/>
        </w:rPr>
        <w:t xml:space="preserve">Tulajdonjogi, illetve használati szempont alapján megkülönböztetünk közterületeket és nem közterületi ingatlanokat. A területhasználat ilyen szempontú differenciálását lásd </w:t>
      </w:r>
      <w:r w:rsidR="002D7F1D">
        <w:rPr>
          <w:szCs w:val="20"/>
        </w:rPr>
        <w:t xml:space="preserve">a </w:t>
      </w:r>
      <w:r w:rsidR="002D7F1D" w:rsidRPr="002D7F1D">
        <w:rPr>
          <w:i/>
          <w:szCs w:val="20"/>
        </w:rPr>
        <w:t>II.8. Közterületek tisztántartása</w:t>
      </w:r>
      <w:r w:rsidR="002D7F1D">
        <w:rPr>
          <w:szCs w:val="20"/>
        </w:rPr>
        <w:t xml:space="preserve"> </w:t>
      </w:r>
      <w:r w:rsidRPr="00602D2E">
        <w:rPr>
          <w:szCs w:val="20"/>
        </w:rPr>
        <w:t xml:space="preserve">című fejezetben. </w:t>
      </w:r>
    </w:p>
    <w:p w14:paraId="675DF4A7" w14:textId="6A890F74" w:rsidR="00602D2E" w:rsidRPr="00602D2E" w:rsidRDefault="00602D2E" w:rsidP="00602D2E">
      <w:pPr>
        <w:rPr>
          <w:szCs w:val="20"/>
        </w:rPr>
      </w:pPr>
      <w:r w:rsidRPr="00602D2E">
        <w:rPr>
          <w:szCs w:val="20"/>
        </w:rPr>
        <w:t>Budapest területhasználati megoszlásról szintén információt nyújt a földhivatal adatbázisa (TakarNet</w:t>
      </w:r>
      <w:r w:rsidRPr="00C31C6B">
        <w:rPr>
          <w:szCs w:val="20"/>
          <w:vertAlign w:val="superscript"/>
        </w:rPr>
        <w:endnoteReference w:id="3"/>
      </w:r>
      <w:r w:rsidRPr="00602D2E">
        <w:rPr>
          <w:szCs w:val="20"/>
        </w:rPr>
        <w:t>), amely a közhiteles ingatlan-nyilvántartási adatokon alapul</w:t>
      </w:r>
      <w:r w:rsidRPr="00C31C6B">
        <w:rPr>
          <w:szCs w:val="20"/>
          <w:vertAlign w:val="superscript"/>
        </w:rPr>
        <w:endnoteReference w:id="4"/>
      </w:r>
      <w:r w:rsidRPr="00602D2E">
        <w:rPr>
          <w:szCs w:val="20"/>
        </w:rPr>
        <w:t xml:space="preserve">. A földhivatali adatok alapján a művelésből kivett területek aránya a település közigazgatási területére vetítve 76%. </w:t>
      </w:r>
    </w:p>
    <w:p w14:paraId="1A7F8A34" w14:textId="66C34190" w:rsidR="00602D2E" w:rsidRPr="00602D2E" w:rsidRDefault="00602D2E" w:rsidP="00602D2E">
      <w:pPr>
        <w:rPr>
          <w:szCs w:val="20"/>
        </w:rPr>
      </w:pPr>
      <w:r w:rsidRPr="00602D2E">
        <w:rPr>
          <w:szCs w:val="20"/>
        </w:rPr>
        <w:t xml:space="preserve">A fennmaradó termőterületek művelési ágak és minőségi osztályok szerinti megoszlását részletesen </w:t>
      </w:r>
      <w:r w:rsidR="002D7F1D">
        <w:rPr>
          <w:szCs w:val="20"/>
        </w:rPr>
        <w:t xml:space="preserve">az </w:t>
      </w:r>
      <w:r w:rsidR="002D7F1D" w:rsidRPr="002D7F1D">
        <w:rPr>
          <w:i/>
          <w:szCs w:val="20"/>
        </w:rPr>
        <w:t>I.3. Talajállapot</w:t>
      </w:r>
      <w:r w:rsidRPr="00602D2E">
        <w:rPr>
          <w:szCs w:val="20"/>
        </w:rPr>
        <w:t xml:space="preserve"> című fejezet mutatja be.</w:t>
      </w:r>
    </w:p>
    <w:p w14:paraId="2A846170" w14:textId="216397C1" w:rsidR="00602D2E" w:rsidRDefault="00E201F8" w:rsidP="00F36AB8">
      <w:pPr>
        <w:pStyle w:val="Kpalrs"/>
        <w:keepNext/>
      </w:pPr>
      <w:bookmarkStart w:id="15" w:name="_Ref23413315"/>
      <w:r>
        <w:drawing>
          <wp:anchor distT="0" distB="0" distL="114300" distR="114300" simplePos="0" relativeHeight="251665408" behindDoc="0" locked="0" layoutInCell="1" allowOverlap="1" wp14:anchorId="4FDCF298" wp14:editId="3330734C">
            <wp:simplePos x="0" y="0"/>
            <wp:positionH relativeFrom="margin">
              <wp:posOffset>1056450</wp:posOffset>
            </wp:positionH>
            <wp:positionV relativeFrom="paragraph">
              <wp:posOffset>74930</wp:posOffset>
            </wp:positionV>
            <wp:extent cx="2161309" cy="2078181"/>
            <wp:effectExtent l="0" t="0" r="0" b="0"/>
            <wp:wrapNone/>
            <wp:docPr id="11" name="Diagram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02D2E" w:rsidRPr="00F36AB8">
        <w:rPr>
          <w:b/>
        </w:rPr>
        <w:fldChar w:fldCharType="begin"/>
      </w:r>
      <w:r w:rsidR="00602D2E" w:rsidRPr="00F36AB8">
        <w:rPr>
          <w:b/>
        </w:rPr>
        <w:instrText xml:space="preserve"> SEQ ábra \* ARABIC </w:instrText>
      </w:r>
      <w:r w:rsidR="00602D2E" w:rsidRPr="00F36AB8">
        <w:rPr>
          <w:b/>
        </w:rPr>
        <w:fldChar w:fldCharType="separate"/>
      </w:r>
      <w:r w:rsidR="00FF6C9C">
        <w:rPr>
          <w:b/>
        </w:rPr>
        <w:t>2</w:t>
      </w:r>
      <w:r w:rsidR="00602D2E" w:rsidRPr="00F36AB8">
        <w:rPr>
          <w:b/>
        </w:rPr>
        <w:fldChar w:fldCharType="end"/>
      </w:r>
      <w:r w:rsidR="00602D2E" w:rsidRPr="00F36AB8">
        <w:rPr>
          <w:b/>
        </w:rPr>
        <w:t>. ábra</w:t>
      </w:r>
      <w:bookmarkEnd w:id="15"/>
      <w:r w:rsidR="00602D2E" w:rsidRPr="00F36AB8">
        <w:rPr>
          <w:b/>
        </w:rPr>
        <w:t>:</w:t>
      </w:r>
      <w:r w:rsidR="00602D2E">
        <w:t xml:space="preserve"> </w:t>
      </w:r>
      <w:r w:rsidR="00602D2E" w:rsidRPr="00602D2E">
        <w:t>Budapest területhasználata (Forrás: Budapest 2030 – Helyzetelemzés)</w:t>
      </w:r>
    </w:p>
    <w:p w14:paraId="7EE729B7" w14:textId="463A7FFA" w:rsidR="00274FE6" w:rsidRDefault="00274FE6" w:rsidP="009C16E4">
      <w:pPr>
        <w:rPr>
          <w:szCs w:val="20"/>
        </w:rPr>
      </w:pPr>
    </w:p>
    <w:p w14:paraId="19DD3799" w14:textId="4D4C8604" w:rsidR="00700F36" w:rsidRDefault="00D352AF" w:rsidP="009C16E4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47FCB06" wp14:editId="5E23B039">
            <wp:simplePos x="0" y="0"/>
            <wp:positionH relativeFrom="column">
              <wp:posOffset>4501515</wp:posOffset>
            </wp:positionH>
            <wp:positionV relativeFrom="paragraph">
              <wp:posOffset>19140</wp:posOffset>
            </wp:positionV>
            <wp:extent cx="1619603" cy="2837675"/>
            <wp:effectExtent l="0" t="0" r="0" b="1270"/>
            <wp:wrapNone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rulethasznalat-BP_jelmagy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2" b="15669"/>
                    <a:stretch/>
                  </pic:blipFill>
                  <pic:spPr bwMode="auto">
                    <a:xfrm>
                      <a:off x="0" y="0"/>
                      <a:ext cx="1619603" cy="283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6AA9CCE" w14:textId="210195A5" w:rsidR="00700F36" w:rsidRDefault="00700F36" w:rsidP="009C16E4">
      <w:pPr>
        <w:rPr>
          <w:szCs w:val="20"/>
        </w:rPr>
      </w:pPr>
    </w:p>
    <w:p w14:paraId="6A4E7BD3" w14:textId="3A59E54A" w:rsidR="00700F36" w:rsidRDefault="00700F36" w:rsidP="009C16E4">
      <w:pPr>
        <w:rPr>
          <w:szCs w:val="20"/>
        </w:rPr>
      </w:pPr>
    </w:p>
    <w:p w14:paraId="5FF14A8E" w14:textId="4E2B12BC" w:rsidR="00700F36" w:rsidRDefault="00700F36" w:rsidP="009C16E4">
      <w:pPr>
        <w:rPr>
          <w:szCs w:val="20"/>
        </w:rPr>
      </w:pPr>
    </w:p>
    <w:p w14:paraId="46C621EC" w14:textId="67F44095" w:rsidR="00700F36" w:rsidRDefault="00700F36" w:rsidP="009C16E4">
      <w:pPr>
        <w:rPr>
          <w:szCs w:val="20"/>
        </w:rPr>
      </w:pPr>
    </w:p>
    <w:p w14:paraId="03BE865A" w14:textId="40100968" w:rsidR="00E201F8" w:rsidRDefault="00E201F8" w:rsidP="009C16E4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48EBDDA" wp14:editId="65950ECF">
            <wp:simplePos x="0" y="0"/>
            <wp:positionH relativeFrom="margin">
              <wp:posOffset>332179</wp:posOffset>
            </wp:positionH>
            <wp:positionV relativeFrom="paragraph">
              <wp:posOffset>22860</wp:posOffset>
            </wp:positionV>
            <wp:extent cx="3966359" cy="3740150"/>
            <wp:effectExtent l="0" t="0" r="0" b="0"/>
            <wp:wrapNone/>
            <wp:docPr id="278" name="Kép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07" descr="Terulethasznalat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4" t="36534" r="4563" b="2148"/>
                    <a:stretch/>
                  </pic:blipFill>
                  <pic:spPr bwMode="auto">
                    <a:xfrm>
                      <a:off x="0" y="0"/>
                      <a:ext cx="3966359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D20A2" w14:textId="73849333" w:rsidR="00E201F8" w:rsidRDefault="00E201F8" w:rsidP="009C16E4">
      <w:pPr>
        <w:rPr>
          <w:szCs w:val="20"/>
        </w:rPr>
      </w:pPr>
    </w:p>
    <w:p w14:paraId="3FB9D24D" w14:textId="18F3646B" w:rsidR="00E201F8" w:rsidRDefault="00E201F8" w:rsidP="009C16E4">
      <w:pPr>
        <w:rPr>
          <w:szCs w:val="20"/>
        </w:rPr>
      </w:pPr>
    </w:p>
    <w:p w14:paraId="56C599BB" w14:textId="73A9C589" w:rsidR="00E201F8" w:rsidRDefault="00E201F8" w:rsidP="009C16E4">
      <w:pPr>
        <w:rPr>
          <w:szCs w:val="20"/>
        </w:rPr>
      </w:pPr>
    </w:p>
    <w:p w14:paraId="75A778E4" w14:textId="2D3058D6" w:rsidR="00E201F8" w:rsidRDefault="00E201F8" w:rsidP="009C16E4">
      <w:pPr>
        <w:rPr>
          <w:szCs w:val="20"/>
        </w:rPr>
      </w:pPr>
    </w:p>
    <w:p w14:paraId="34D5BA7D" w14:textId="428612BB" w:rsidR="00E201F8" w:rsidRDefault="00E201F8" w:rsidP="009C16E4">
      <w:pPr>
        <w:rPr>
          <w:szCs w:val="20"/>
        </w:rPr>
      </w:pPr>
    </w:p>
    <w:p w14:paraId="06602A66" w14:textId="40C68525" w:rsidR="00E201F8" w:rsidRDefault="00E201F8" w:rsidP="009C16E4">
      <w:pPr>
        <w:rPr>
          <w:szCs w:val="20"/>
        </w:rPr>
      </w:pPr>
    </w:p>
    <w:p w14:paraId="32474E7E" w14:textId="284B521E" w:rsidR="00E201F8" w:rsidRDefault="00E201F8" w:rsidP="009C16E4">
      <w:pPr>
        <w:rPr>
          <w:szCs w:val="20"/>
        </w:rPr>
      </w:pPr>
    </w:p>
    <w:p w14:paraId="749AFD87" w14:textId="78291EAD" w:rsidR="00E201F8" w:rsidRDefault="00E201F8" w:rsidP="009C16E4">
      <w:pPr>
        <w:rPr>
          <w:szCs w:val="20"/>
        </w:rPr>
      </w:pPr>
    </w:p>
    <w:p w14:paraId="3A1029A2" w14:textId="78E21E4E" w:rsidR="00700F36" w:rsidRDefault="00700F36" w:rsidP="009C16E4">
      <w:pPr>
        <w:rPr>
          <w:szCs w:val="20"/>
        </w:rPr>
      </w:pPr>
    </w:p>
    <w:p w14:paraId="191A0FF5" w14:textId="122A476F" w:rsidR="00700F36" w:rsidRDefault="00700F36" w:rsidP="009C16E4">
      <w:pPr>
        <w:rPr>
          <w:szCs w:val="20"/>
        </w:rPr>
      </w:pPr>
    </w:p>
    <w:p w14:paraId="558141A0" w14:textId="3BF24E2F" w:rsidR="00274FE6" w:rsidRDefault="00274FE6" w:rsidP="009C16E4">
      <w:pPr>
        <w:rPr>
          <w:szCs w:val="20"/>
        </w:rPr>
      </w:pPr>
    </w:p>
    <w:p w14:paraId="6EF05AB5" w14:textId="77777777" w:rsidR="00E201F8" w:rsidRDefault="00E201F8" w:rsidP="009C16E4">
      <w:pPr>
        <w:rPr>
          <w:szCs w:val="20"/>
        </w:rPr>
      </w:pPr>
    </w:p>
    <w:p w14:paraId="4CEB05B9" w14:textId="77777777" w:rsidR="00971119" w:rsidRPr="00EB3F15" w:rsidRDefault="00971119" w:rsidP="00971119">
      <w:pPr>
        <w:pStyle w:val="Cmsor4"/>
      </w:pPr>
      <w:r w:rsidRPr="00EB3F15">
        <w:lastRenderedPageBreak/>
        <w:t>A város terjeszkedése</w:t>
      </w:r>
    </w:p>
    <w:p w14:paraId="62089E71" w14:textId="25F47691" w:rsidR="00274FE6" w:rsidRDefault="00602D2E" w:rsidP="009C16E4">
      <w:pPr>
        <w:rPr>
          <w:szCs w:val="20"/>
        </w:rPr>
      </w:pPr>
      <w:r>
        <w:rPr>
          <w:szCs w:val="20"/>
        </w:rPr>
        <w:t>A korabeli térképeket elemezve az 1950-ben létrejött „Nagy-Budapest” beépített területei az elmúlt bő fél évszázad alatt közel megháromszorozódtak, ami évente átlagosan 0,6%-os (313 ha/év) bővülésnek felel meg (lásd</w:t>
      </w:r>
      <w:r w:rsidR="00F36AB8">
        <w:rPr>
          <w:szCs w:val="20"/>
        </w:rPr>
        <w:t xml:space="preserve"> </w:t>
      </w:r>
      <w:r w:rsidR="00F36AB8" w:rsidRPr="00F36AB8">
        <w:rPr>
          <w:i/>
          <w:szCs w:val="20"/>
        </w:rPr>
        <w:fldChar w:fldCharType="begin"/>
      </w:r>
      <w:r w:rsidR="00F36AB8" w:rsidRPr="00F36AB8">
        <w:rPr>
          <w:i/>
          <w:szCs w:val="20"/>
        </w:rPr>
        <w:instrText xml:space="preserve"> REF _Ref23413354 \h </w:instrText>
      </w:r>
      <w:r w:rsidR="00F36AB8">
        <w:rPr>
          <w:i/>
          <w:szCs w:val="20"/>
        </w:rPr>
        <w:instrText xml:space="preserve"> \* MERGEFORMAT </w:instrText>
      </w:r>
      <w:r w:rsidR="00F36AB8" w:rsidRPr="00F36AB8">
        <w:rPr>
          <w:i/>
          <w:szCs w:val="20"/>
        </w:rPr>
      </w:r>
      <w:r w:rsidR="00F36AB8" w:rsidRPr="00F36AB8">
        <w:rPr>
          <w:i/>
          <w:szCs w:val="20"/>
        </w:rPr>
        <w:fldChar w:fldCharType="separate"/>
      </w:r>
      <w:r w:rsidR="00FF6C9C" w:rsidRPr="00FF6C9C">
        <w:rPr>
          <w:i/>
        </w:rPr>
        <w:t>3. ábra</w:t>
      </w:r>
      <w:r w:rsidR="00F36AB8" w:rsidRPr="00F36AB8">
        <w:rPr>
          <w:i/>
          <w:szCs w:val="20"/>
        </w:rPr>
        <w:fldChar w:fldCharType="end"/>
      </w:r>
      <w:r>
        <w:rPr>
          <w:szCs w:val="20"/>
        </w:rPr>
        <w:t>), azaz nagyjából ilyen ütemben zajlott a város szabadterületeinek csökkenése. A vizsgálatok alapján 1950-1990 közötti erős növekedés volt tapasztalható (átlagosan 350 ha új beépítés évente), míg ’90 után a beépítések intenzitása csökkent (az 1990-2013 közötti beépítési viszonyokat elemezve átlagosan 250 ha új beépítés jelentkezett évente).</w:t>
      </w:r>
    </w:p>
    <w:bookmarkStart w:id="16" w:name="_Ref23413354"/>
    <w:p w14:paraId="39A42644" w14:textId="6873991D" w:rsidR="00602D2E" w:rsidRDefault="00602D2E" w:rsidP="00F36AB8">
      <w:pPr>
        <w:pStyle w:val="Kpalrs"/>
        <w:keepNext/>
      </w:pPr>
      <w:r w:rsidRPr="00F36AB8">
        <w:rPr>
          <w:b/>
        </w:rPr>
        <w:fldChar w:fldCharType="begin"/>
      </w:r>
      <w:r w:rsidRPr="00F36AB8">
        <w:rPr>
          <w:b/>
        </w:rPr>
        <w:instrText xml:space="preserve"> SEQ ábra \* ARABIC </w:instrText>
      </w:r>
      <w:r w:rsidRPr="00F36AB8">
        <w:rPr>
          <w:b/>
        </w:rPr>
        <w:fldChar w:fldCharType="separate"/>
      </w:r>
      <w:r w:rsidR="00FF6C9C">
        <w:rPr>
          <w:b/>
        </w:rPr>
        <w:t>3</w:t>
      </w:r>
      <w:r w:rsidRPr="00F36AB8">
        <w:rPr>
          <w:b/>
        </w:rPr>
        <w:fldChar w:fldCharType="end"/>
      </w:r>
      <w:r w:rsidRPr="00F36AB8">
        <w:rPr>
          <w:b/>
        </w:rPr>
        <w:t>. ábra</w:t>
      </w:r>
      <w:bookmarkEnd w:id="16"/>
      <w:r w:rsidRPr="00F36AB8">
        <w:rPr>
          <w:b/>
        </w:rPr>
        <w:t>:</w:t>
      </w:r>
      <w:r w:rsidR="009A6CE4">
        <w:t xml:space="preserve"> </w:t>
      </w:r>
      <w:r w:rsidR="009A6CE4" w:rsidRPr="009A6CE4">
        <w:t>Beépített területek alakulása 1950-2013 között Budapesten</w:t>
      </w:r>
    </w:p>
    <w:p w14:paraId="2F118C1D" w14:textId="4001AA50" w:rsidR="00274FE6" w:rsidRDefault="00602D2E" w:rsidP="009C16E4">
      <w:pPr>
        <w:rPr>
          <w:szCs w:val="20"/>
        </w:rPr>
      </w:pPr>
      <w:r>
        <w:rPr>
          <w:noProof/>
          <w:szCs w:val="20"/>
        </w:rPr>
        <w:drawing>
          <wp:inline distT="0" distB="0" distL="0" distR="0" wp14:anchorId="7605D95C" wp14:editId="15F47EC0">
            <wp:extent cx="4320000" cy="2504962"/>
            <wp:effectExtent l="0" t="0" r="4445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04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C0B1CF" w14:textId="3FE7CC28" w:rsidR="00274FE6" w:rsidRDefault="00274FE6" w:rsidP="009C16E4">
      <w:pPr>
        <w:rPr>
          <w:szCs w:val="20"/>
        </w:rPr>
      </w:pPr>
    </w:p>
    <w:p w14:paraId="1F8B60E8" w14:textId="77777777" w:rsidR="00971119" w:rsidRDefault="00971119" w:rsidP="00971119">
      <w:pPr>
        <w:pStyle w:val="Cmsor4"/>
      </w:pPr>
      <w:r>
        <w:t>Talajlezárás mértéke</w:t>
      </w:r>
    </w:p>
    <w:p w14:paraId="06FA6D78" w14:textId="77777777" w:rsidR="009A6CE4" w:rsidRPr="009A6CE4" w:rsidRDefault="009A6CE4" w:rsidP="009A6CE4">
      <w:pPr>
        <w:rPr>
          <w:szCs w:val="20"/>
        </w:rPr>
      </w:pPr>
      <w:r w:rsidRPr="009A6CE4">
        <w:rPr>
          <w:szCs w:val="20"/>
        </w:rPr>
        <w:t xml:space="preserve">A beépített területek változásaival párhuzamosan a talajlezárás mértéke is jelentősen kihat a környezet állapotára. A talajlezárás, mint fogalom, egyaránt jelenti a </w:t>
      </w:r>
      <w:r w:rsidRPr="00F36AB8">
        <w:rPr>
          <w:b/>
          <w:szCs w:val="20"/>
        </w:rPr>
        <w:t>talajok vízzáró anyaggal</w:t>
      </w:r>
      <w:r w:rsidRPr="009A6CE4">
        <w:rPr>
          <w:szCs w:val="20"/>
        </w:rPr>
        <w:t xml:space="preserve"> (például aszfalttal vagy betonnal) </w:t>
      </w:r>
      <w:r w:rsidRPr="00F36AB8">
        <w:rPr>
          <w:b/>
          <w:szCs w:val="20"/>
        </w:rPr>
        <w:t>történő fedését</w:t>
      </w:r>
      <w:r w:rsidRPr="009A6CE4">
        <w:rPr>
          <w:szCs w:val="20"/>
        </w:rPr>
        <w:t xml:space="preserve">, és a talajok főként építési műveletek következtében megvalósuló </w:t>
      </w:r>
      <w:r w:rsidRPr="00F36AB8">
        <w:rPr>
          <w:b/>
          <w:szCs w:val="20"/>
        </w:rPr>
        <w:t>eltávolítását</w:t>
      </w:r>
      <w:r w:rsidRPr="009A6CE4">
        <w:rPr>
          <w:szCs w:val="20"/>
        </w:rPr>
        <w:t xml:space="preserve">. Mértéke megmutatja, hogy </w:t>
      </w:r>
      <w:r w:rsidRPr="00F36AB8">
        <w:rPr>
          <w:b/>
          <w:szCs w:val="20"/>
        </w:rPr>
        <w:t>egy adott területen belül milyen arányban</w:t>
      </w:r>
      <w:r w:rsidRPr="009A6CE4">
        <w:rPr>
          <w:szCs w:val="20"/>
        </w:rPr>
        <w:t xml:space="preserve"> (%-ban) vannak jelen tartósan </w:t>
      </w:r>
      <w:r w:rsidRPr="00F36AB8">
        <w:rPr>
          <w:b/>
          <w:szCs w:val="20"/>
        </w:rPr>
        <w:t>mesterséges felszínnel fedett földterületek</w:t>
      </w:r>
      <w:r w:rsidRPr="009A6CE4">
        <w:rPr>
          <w:szCs w:val="20"/>
        </w:rPr>
        <w:t xml:space="preserve"> a természetes, illetve féltermészetes területek mellett. A talajlezárás mértéke, illetve kialakulása szorosan </w:t>
      </w:r>
      <w:r w:rsidRPr="00F36AB8">
        <w:rPr>
          <w:b/>
          <w:szCs w:val="20"/>
        </w:rPr>
        <w:t>összefügg</w:t>
      </w:r>
      <w:r w:rsidRPr="009A6CE4">
        <w:rPr>
          <w:szCs w:val="20"/>
        </w:rPr>
        <w:t xml:space="preserve"> egyrészt a </w:t>
      </w:r>
      <w:r w:rsidRPr="00F36AB8">
        <w:rPr>
          <w:b/>
          <w:szCs w:val="20"/>
        </w:rPr>
        <w:t>népesség növekedésével</w:t>
      </w:r>
      <w:r w:rsidRPr="009A6CE4">
        <w:rPr>
          <w:szCs w:val="20"/>
        </w:rPr>
        <w:t xml:space="preserve">, másrészt - a területelvonások és talajok eltávolítása miatt - a városok, illetve az </w:t>
      </w:r>
      <w:r w:rsidRPr="00F36AB8">
        <w:rPr>
          <w:b/>
          <w:szCs w:val="20"/>
        </w:rPr>
        <w:t>infrastruktúrák terjeszkedésével</w:t>
      </w:r>
      <w:r w:rsidRPr="009A6CE4">
        <w:rPr>
          <w:szCs w:val="20"/>
        </w:rPr>
        <w:t>, vagyis a beépítettség mértékének növekedésével.</w:t>
      </w:r>
    </w:p>
    <w:p w14:paraId="50464705" w14:textId="1EA53ADA" w:rsidR="009A6CE4" w:rsidRPr="009A6CE4" w:rsidRDefault="009A6CE4" w:rsidP="009A6CE4">
      <w:pPr>
        <w:rPr>
          <w:szCs w:val="20"/>
        </w:rPr>
      </w:pPr>
      <w:r w:rsidRPr="009A6CE4">
        <w:rPr>
          <w:szCs w:val="20"/>
        </w:rPr>
        <w:t>A talajlezárás veszélyforrást jelent mind az ökoszisztéma-szolgáltatásokra, mind a biológiai sokféleségre. A talajok nagyfokú leromlása, illetve degradáció kedvezőtlen hatásai a környezet állapotában közvetlenül és közvetetten is megmutatkoz</w:t>
      </w:r>
      <w:r w:rsidR="001972E8">
        <w:rPr>
          <w:szCs w:val="20"/>
        </w:rPr>
        <w:t>nak.</w:t>
      </w:r>
      <w:r w:rsidR="001972E8">
        <w:rPr>
          <w:szCs w:val="20"/>
        </w:rPr>
        <w:br/>
      </w:r>
      <w:r w:rsidRPr="009A6CE4">
        <w:rPr>
          <w:szCs w:val="20"/>
        </w:rPr>
        <w:t xml:space="preserve">Az alkalmazott vizsgálati módszer leírása a </w:t>
      </w:r>
      <w:r w:rsidRPr="00F36AB8">
        <w:rPr>
          <w:i/>
          <w:szCs w:val="20"/>
        </w:rPr>
        <w:t xml:space="preserve">Függelékben </w:t>
      </w:r>
      <w:r w:rsidRPr="009A6CE4">
        <w:rPr>
          <w:szCs w:val="20"/>
        </w:rPr>
        <w:t>található, a feldolgozott adatok pontossága, illetve a térképek megbízhatósága legalább 90%-os.</w:t>
      </w:r>
    </w:p>
    <w:p w14:paraId="5F67A649" w14:textId="77B6226B" w:rsidR="00274FE6" w:rsidRDefault="007A03C3" w:rsidP="009C16E4">
      <w:pPr>
        <w:rPr>
          <w:szCs w:val="20"/>
        </w:rPr>
      </w:pPr>
      <w:r>
        <w:rPr>
          <w:szCs w:val="20"/>
        </w:rPr>
        <w:t xml:space="preserve">A Budapestre vonatkozó vizsgálatból jól látható, hogy a talajlezárás mértéke </w:t>
      </w:r>
      <w:r w:rsidRPr="007A03C3">
        <w:rPr>
          <w:szCs w:val="20"/>
        </w:rPr>
        <w:t xml:space="preserve">a zöldfelület-intenzitáshoz </w:t>
      </w:r>
      <w:r w:rsidRPr="007A03C3">
        <w:t xml:space="preserve">(lásd </w:t>
      </w:r>
      <w:r w:rsidR="005468D2">
        <w:rPr>
          <w:i/>
        </w:rPr>
        <w:t>I.2. Épített zöldfelületek</w:t>
      </w:r>
      <w:r w:rsidRPr="00F36AB8">
        <w:rPr>
          <w:i/>
        </w:rPr>
        <w:t xml:space="preserve"> </w:t>
      </w:r>
      <w:r w:rsidRPr="00F36AB8">
        <w:rPr>
          <w:i/>
        </w:rPr>
        <w:fldChar w:fldCharType="begin"/>
      </w:r>
      <w:r w:rsidRPr="00F36AB8">
        <w:rPr>
          <w:i/>
        </w:rPr>
        <w:instrText xml:space="preserve"> REF _Ref7441802 \h  \* MERGEFORMAT </w:instrText>
      </w:r>
      <w:r w:rsidRPr="00F36AB8">
        <w:rPr>
          <w:i/>
        </w:rPr>
      </w:r>
      <w:r w:rsidRPr="00F36AB8">
        <w:rPr>
          <w:i/>
        </w:rPr>
        <w:fldChar w:fldCharType="end"/>
      </w:r>
      <w:r w:rsidRPr="007A03C3">
        <w:t xml:space="preserve"> c. fejezet </w:t>
      </w:r>
      <w:r w:rsidR="00F36AB8" w:rsidRPr="00F36AB8">
        <w:rPr>
          <w:i/>
        </w:rPr>
        <w:t>2. ábra</w:t>
      </w:r>
      <w:r w:rsidRPr="007A03C3">
        <w:t xml:space="preserve">) </w:t>
      </w:r>
      <w:r w:rsidRPr="007A03C3">
        <w:rPr>
          <w:szCs w:val="20"/>
        </w:rPr>
        <w:t>hasonló, ám azzal ellentétes értékekkel bíró területeket rajzol ki (</w:t>
      </w:r>
      <w:r w:rsidR="001F103D" w:rsidRPr="001F103D">
        <w:rPr>
          <w:i/>
          <w:szCs w:val="20"/>
        </w:rPr>
        <w:fldChar w:fldCharType="begin"/>
      </w:r>
      <w:r w:rsidR="001F103D" w:rsidRPr="001F103D">
        <w:rPr>
          <w:i/>
          <w:szCs w:val="20"/>
        </w:rPr>
        <w:instrText xml:space="preserve"> REF _Ref23412579 \h </w:instrText>
      </w:r>
      <w:r w:rsidR="001F103D">
        <w:rPr>
          <w:i/>
          <w:szCs w:val="20"/>
        </w:rPr>
        <w:instrText xml:space="preserve"> \* MERGEFORMAT </w:instrText>
      </w:r>
      <w:r w:rsidR="001F103D" w:rsidRPr="001F103D">
        <w:rPr>
          <w:i/>
          <w:szCs w:val="20"/>
        </w:rPr>
      </w:r>
      <w:r w:rsidR="001F103D" w:rsidRPr="001F103D">
        <w:rPr>
          <w:i/>
          <w:szCs w:val="20"/>
        </w:rPr>
        <w:fldChar w:fldCharType="separate"/>
      </w:r>
      <w:r w:rsidR="00FF6C9C" w:rsidRPr="00FF6C9C">
        <w:rPr>
          <w:i/>
        </w:rPr>
        <w:t>4. ábra</w:t>
      </w:r>
      <w:r w:rsidR="001F103D" w:rsidRPr="001F103D">
        <w:rPr>
          <w:i/>
          <w:szCs w:val="20"/>
        </w:rPr>
        <w:fldChar w:fldCharType="end"/>
      </w:r>
      <w:r w:rsidR="001972E8">
        <w:rPr>
          <w:szCs w:val="20"/>
        </w:rPr>
        <w:t>).</w:t>
      </w:r>
      <w:r w:rsidR="001972E8">
        <w:rPr>
          <w:szCs w:val="20"/>
        </w:rPr>
        <w:br/>
      </w:r>
      <w:r w:rsidRPr="007A03C3">
        <w:rPr>
          <w:szCs w:val="20"/>
        </w:rPr>
        <w:t>A talajlezárás esetében a legmagasabb átlagértékekkel a belső zóna területei rendelkeznek, valamint az egykori Csepel Művek, és a soroksári bevásárlóközpont területei is szembetűnők.</w:t>
      </w:r>
    </w:p>
    <w:p w14:paraId="6C8657ED" w14:textId="5A48912C" w:rsidR="007A03C3" w:rsidRDefault="00CC609A" w:rsidP="007A03C3">
      <w:pPr>
        <w:pStyle w:val="Kpalrs"/>
        <w:keepNext/>
        <w:jc w:val="both"/>
      </w:pPr>
      <w:bookmarkStart w:id="17" w:name="_Ref23412579"/>
      <w:r>
        <w:lastRenderedPageBreak/>
        <w:drawing>
          <wp:anchor distT="0" distB="0" distL="114300" distR="114300" simplePos="0" relativeHeight="251661312" behindDoc="0" locked="0" layoutInCell="1" allowOverlap="1" wp14:anchorId="22FF52C0" wp14:editId="34624861">
            <wp:simplePos x="0" y="0"/>
            <wp:positionH relativeFrom="margin">
              <wp:posOffset>0</wp:posOffset>
            </wp:positionH>
            <wp:positionV relativeFrom="paragraph">
              <wp:posOffset>1179</wp:posOffset>
            </wp:positionV>
            <wp:extent cx="4320000" cy="3980715"/>
            <wp:effectExtent l="0" t="0" r="4445" b="127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6" t="10827" r="6363" b="34002"/>
                    <a:stretch/>
                  </pic:blipFill>
                  <pic:spPr bwMode="auto">
                    <a:xfrm>
                      <a:off x="0" y="0"/>
                      <a:ext cx="4320000" cy="39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3C3" w:rsidRPr="001F103D">
        <w:rPr>
          <w:b/>
        </w:rPr>
        <w:fldChar w:fldCharType="begin"/>
      </w:r>
      <w:r w:rsidR="007A03C3" w:rsidRPr="001F103D">
        <w:rPr>
          <w:b/>
        </w:rPr>
        <w:instrText xml:space="preserve"> SEQ ábra \* ARABIC </w:instrText>
      </w:r>
      <w:r w:rsidR="007A03C3" w:rsidRPr="001F103D">
        <w:rPr>
          <w:b/>
        </w:rPr>
        <w:fldChar w:fldCharType="separate"/>
      </w:r>
      <w:r w:rsidR="00FF6C9C">
        <w:rPr>
          <w:b/>
        </w:rPr>
        <w:t>4</w:t>
      </w:r>
      <w:r w:rsidR="007A03C3" w:rsidRPr="001F103D">
        <w:rPr>
          <w:b/>
        </w:rPr>
        <w:fldChar w:fldCharType="end"/>
      </w:r>
      <w:r w:rsidR="007A03C3" w:rsidRPr="001F103D">
        <w:rPr>
          <w:b/>
        </w:rPr>
        <w:t>. ábra</w:t>
      </w:r>
      <w:bookmarkEnd w:id="17"/>
      <w:r w:rsidR="007A03C3" w:rsidRPr="001F103D">
        <w:rPr>
          <w:b/>
        </w:rPr>
        <w:t>:</w:t>
      </w:r>
      <w:r w:rsidR="007A03C3">
        <w:t xml:space="preserve"> </w:t>
      </w:r>
      <w:r w:rsidR="007A03C3" w:rsidRPr="00CC1186">
        <w:t xml:space="preserve">Budapest talajlezárási mértéke, 2015. (saját ábra, adatforrás: </w:t>
      </w:r>
      <w:r w:rsidR="00EC15A0" w:rsidRPr="00EC15A0">
        <w:t>Copernicus Land Monitoring Service</w:t>
      </w:r>
      <w:bookmarkStart w:id="18" w:name="_Ref54867931"/>
      <w:r w:rsidR="00EC15A0">
        <w:rPr>
          <w:rStyle w:val="Vgjegyzet-hivatkozs"/>
        </w:rPr>
        <w:endnoteReference w:id="5"/>
      </w:r>
      <w:bookmarkEnd w:id="18"/>
      <w:r w:rsidR="007A03C3" w:rsidRPr="00CC1186">
        <w:t>)</w:t>
      </w:r>
    </w:p>
    <w:p w14:paraId="06C085CA" w14:textId="67474656" w:rsidR="00274FE6" w:rsidRDefault="00EC15A0" w:rsidP="009C16E4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0A74195" wp14:editId="0DEC63A4">
            <wp:simplePos x="0" y="0"/>
            <wp:positionH relativeFrom="column">
              <wp:posOffset>4497705</wp:posOffset>
            </wp:positionH>
            <wp:positionV relativeFrom="paragraph">
              <wp:posOffset>201295</wp:posOffset>
            </wp:positionV>
            <wp:extent cx="1728470" cy="1421765"/>
            <wp:effectExtent l="0" t="0" r="5080" b="698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lajlezárás_BP_01_jelmagy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" t="9510"/>
                    <a:stretch/>
                  </pic:blipFill>
                  <pic:spPr bwMode="auto">
                    <a:xfrm>
                      <a:off x="0" y="0"/>
                      <a:ext cx="1728470" cy="1421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3F070AE" w14:textId="77777777" w:rsidR="001C5359" w:rsidRDefault="001C5359" w:rsidP="009C16E4">
      <w:pPr>
        <w:rPr>
          <w:szCs w:val="20"/>
        </w:rPr>
      </w:pPr>
    </w:p>
    <w:p w14:paraId="0A913C18" w14:textId="77777777" w:rsidR="001C5359" w:rsidRDefault="001C5359" w:rsidP="009C16E4">
      <w:pPr>
        <w:rPr>
          <w:szCs w:val="20"/>
        </w:rPr>
      </w:pPr>
    </w:p>
    <w:p w14:paraId="00BB2CBB" w14:textId="77777777" w:rsidR="001C5359" w:rsidRDefault="001C5359" w:rsidP="009C16E4">
      <w:pPr>
        <w:rPr>
          <w:szCs w:val="20"/>
        </w:rPr>
      </w:pPr>
    </w:p>
    <w:p w14:paraId="27AFA467" w14:textId="77777777" w:rsidR="001C5359" w:rsidRDefault="001C5359" w:rsidP="009C16E4">
      <w:pPr>
        <w:rPr>
          <w:szCs w:val="20"/>
        </w:rPr>
      </w:pPr>
    </w:p>
    <w:p w14:paraId="1842CC2D" w14:textId="77777777" w:rsidR="001C5359" w:rsidRDefault="001C5359" w:rsidP="009C16E4">
      <w:pPr>
        <w:rPr>
          <w:szCs w:val="20"/>
        </w:rPr>
      </w:pPr>
    </w:p>
    <w:p w14:paraId="559FA7A3" w14:textId="77777777" w:rsidR="001C5359" w:rsidRDefault="001C5359" w:rsidP="009C16E4">
      <w:pPr>
        <w:rPr>
          <w:szCs w:val="20"/>
        </w:rPr>
      </w:pPr>
    </w:p>
    <w:p w14:paraId="68EEECC5" w14:textId="77777777" w:rsidR="001C5359" w:rsidRDefault="001C5359" w:rsidP="009C16E4">
      <w:pPr>
        <w:rPr>
          <w:szCs w:val="20"/>
        </w:rPr>
      </w:pPr>
    </w:p>
    <w:p w14:paraId="30FE2DEA" w14:textId="77777777" w:rsidR="001C5359" w:rsidRDefault="001C5359" w:rsidP="009C16E4">
      <w:pPr>
        <w:rPr>
          <w:szCs w:val="20"/>
        </w:rPr>
      </w:pPr>
    </w:p>
    <w:p w14:paraId="22343683" w14:textId="77777777" w:rsidR="001C5359" w:rsidRDefault="001C5359" w:rsidP="009C16E4">
      <w:pPr>
        <w:rPr>
          <w:szCs w:val="20"/>
        </w:rPr>
      </w:pPr>
    </w:p>
    <w:p w14:paraId="481C0486" w14:textId="77777777" w:rsidR="001C5359" w:rsidRDefault="001C5359" w:rsidP="009C16E4">
      <w:pPr>
        <w:rPr>
          <w:szCs w:val="20"/>
        </w:rPr>
      </w:pPr>
    </w:p>
    <w:p w14:paraId="75E666B6" w14:textId="77777777" w:rsidR="001C5359" w:rsidRDefault="001C5359" w:rsidP="009C16E4">
      <w:pPr>
        <w:rPr>
          <w:szCs w:val="20"/>
        </w:rPr>
      </w:pPr>
    </w:p>
    <w:p w14:paraId="193509AD" w14:textId="77777777" w:rsidR="001C5359" w:rsidRDefault="001C5359" w:rsidP="009C16E4">
      <w:pPr>
        <w:rPr>
          <w:szCs w:val="20"/>
        </w:rPr>
      </w:pPr>
    </w:p>
    <w:p w14:paraId="108AF530" w14:textId="77777777" w:rsidR="007A03C3" w:rsidRPr="007A03C3" w:rsidRDefault="007A03C3" w:rsidP="007A03C3">
      <w:pPr>
        <w:rPr>
          <w:szCs w:val="20"/>
        </w:rPr>
      </w:pPr>
      <w:r w:rsidRPr="007A03C3">
        <w:rPr>
          <w:szCs w:val="20"/>
        </w:rPr>
        <w:t>Jó áteresztő képességű talajok főként a külvárosban figyelhetők meg. Ezen területek nagyrészt átfedésben vannak a magas zöldfelület-intenzitással rendelkező területekkel. Az átmeneti zónában még változatos, hol magasabb – hol alacsonyabb értékek mutatkoznak, ám a Duna menti, a hegyvidéki és az elővárosi zónák felé haladva a talajlezárás mértéke jellemzően csökken. Ezekben a zónákban főként az alacsonyabb értékek jellemzőek, továbbá nagy arányban fordulnak elő olyan területek, ahol nincs talajlezárás (0%), például erdőterületek vagy mezőgazdasági területek esetében.</w:t>
      </w:r>
    </w:p>
    <w:p w14:paraId="51FCA16A" w14:textId="1835247E" w:rsidR="001A0CC1" w:rsidRDefault="007A03C3" w:rsidP="009C16E4">
      <w:pPr>
        <w:rPr>
          <w:szCs w:val="20"/>
        </w:rPr>
      </w:pPr>
      <w:r w:rsidRPr="007A03C3">
        <w:rPr>
          <w:szCs w:val="20"/>
        </w:rPr>
        <w:t xml:space="preserve">Az </w:t>
      </w:r>
      <w:r>
        <w:rPr>
          <w:szCs w:val="20"/>
        </w:rPr>
        <w:t>Európára kiterjedő adatbázis lehetőséget ad a Budapestre vonatkozó adatok összehasonlítására (</w:t>
      </w:r>
      <w:r w:rsidR="003E6C84" w:rsidRPr="003E6C84">
        <w:rPr>
          <w:i/>
          <w:szCs w:val="20"/>
        </w:rPr>
        <w:fldChar w:fldCharType="begin"/>
      </w:r>
      <w:r w:rsidR="003E6C84" w:rsidRPr="003E6C84">
        <w:rPr>
          <w:i/>
          <w:szCs w:val="20"/>
        </w:rPr>
        <w:instrText xml:space="preserve"> REF _Ref23412608 \h </w:instrText>
      </w:r>
      <w:r w:rsidR="003E6C84">
        <w:rPr>
          <w:i/>
          <w:szCs w:val="20"/>
        </w:rPr>
        <w:instrText xml:space="preserve"> \* MERGEFORMAT </w:instrText>
      </w:r>
      <w:r w:rsidR="003E6C84" w:rsidRPr="003E6C84">
        <w:rPr>
          <w:i/>
          <w:szCs w:val="20"/>
        </w:rPr>
      </w:r>
      <w:r w:rsidR="003E6C84" w:rsidRPr="003E6C84">
        <w:rPr>
          <w:i/>
          <w:szCs w:val="20"/>
        </w:rPr>
        <w:fldChar w:fldCharType="separate"/>
      </w:r>
      <w:r w:rsidR="00FF6C9C" w:rsidRPr="00FF6C9C">
        <w:rPr>
          <w:i/>
        </w:rPr>
        <w:t>5. ábra</w:t>
      </w:r>
      <w:r w:rsidR="003E6C84" w:rsidRPr="003E6C84">
        <w:rPr>
          <w:i/>
          <w:szCs w:val="20"/>
        </w:rPr>
        <w:fldChar w:fldCharType="end"/>
      </w:r>
      <w:r>
        <w:rPr>
          <w:szCs w:val="20"/>
        </w:rPr>
        <w:t>).</w:t>
      </w:r>
    </w:p>
    <w:p w14:paraId="580A1FF6" w14:textId="07BDA012" w:rsidR="007A03C3" w:rsidRDefault="001C5359" w:rsidP="006D7E71">
      <w:pPr>
        <w:pStyle w:val="Kpalrs"/>
        <w:keepNext/>
      </w:pPr>
      <w:bookmarkStart w:id="19" w:name="_Ref23412608"/>
      <w:r>
        <w:drawing>
          <wp:anchor distT="0" distB="0" distL="114300" distR="114300" simplePos="0" relativeHeight="251658240" behindDoc="1" locked="0" layoutInCell="1" allowOverlap="1" wp14:anchorId="5B2553C6" wp14:editId="76C47B51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6134100" cy="2679700"/>
            <wp:effectExtent l="0" t="0" r="0" b="6350"/>
            <wp:wrapNone/>
            <wp:docPr id="500" name="Diagram 50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3C3" w:rsidRPr="003E6C84">
        <w:rPr>
          <w:b/>
        </w:rPr>
        <w:fldChar w:fldCharType="begin"/>
      </w:r>
      <w:r w:rsidR="007A03C3" w:rsidRPr="003E6C84">
        <w:rPr>
          <w:b/>
        </w:rPr>
        <w:instrText xml:space="preserve"> SEQ ábra \* ARABIC </w:instrText>
      </w:r>
      <w:r w:rsidR="007A03C3" w:rsidRPr="003E6C84">
        <w:rPr>
          <w:b/>
        </w:rPr>
        <w:fldChar w:fldCharType="separate"/>
      </w:r>
      <w:r w:rsidR="00FF6C9C">
        <w:rPr>
          <w:b/>
        </w:rPr>
        <w:t>5</w:t>
      </w:r>
      <w:r w:rsidR="007A03C3" w:rsidRPr="003E6C84">
        <w:rPr>
          <w:b/>
        </w:rPr>
        <w:fldChar w:fldCharType="end"/>
      </w:r>
      <w:r w:rsidR="007A03C3" w:rsidRPr="003E6C84">
        <w:rPr>
          <w:b/>
        </w:rPr>
        <w:t>. ábra</w:t>
      </w:r>
      <w:bookmarkEnd w:id="19"/>
      <w:r w:rsidR="007A03C3" w:rsidRPr="003E6C84">
        <w:rPr>
          <w:b/>
        </w:rPr>
        <w:t>:</w:t>
      </w:r>
      <w:r w:rsidR="007A03C3">
        <w:t xml:space="preserve"> </w:t>
      </w:r>
      <w:r w:rsidR="007A03C3" w:rsidRPr="007A03C3">
        <w:t>Európai nagyvárosok talajlezárási mértéke, 2015. (saját á</w:t>
      </w:r>
      <w:r w:rsidR="00EC15A0">
        <w:t>bra, adatforrás: CLMS</w:t>
      </w:r>
      <w:r w:rsidR="00EC15A0" w:rsidRPr="00EC15A0">
        <w:rPr>
          <w:vertAlign w:val="superscript"/>
        </w:rPr>
        <w:fldChar w:fldCharType="begin"/>
      </w:r>
      <w:r w:rsidR="00EC15A0" w:rsidRPr="00EC15A0">
        <w:rPr>
          <w:vertAlign w:val="superscript"/>
        </w:rPr>
        <w:instrText xml:space="preserve"> NOTEREF _Ref54867931 \h </w:instrText>
      </w:r>
      <w:r w:rsidR="00EC15A0">
        <w:rPr>
          <w:vertAlign w:val="superscript"/>
        </w:rPr>
        <w:instrText xml:space="preserve"> \* MERGEFORMAT </w:instrText>
      </w:r>
      <w:r w:rsidR="00EC15A0" w:rsidRPr="00EC15A0">
        <w:rPr>
          <w:vertAlign w:val="superscript"/>
        </w:rPr>
      </w:r>
      <w:r w:rsidR="00EC15A0" w:rsidRPr="00EC15A0">
        <w:rPr>
          <w:vertAlign w:val="superscript"/>
        </w:rPr>
        <w:fldChar w:fldCharType="separate"/>
      </w:r>
      <w:r w:rsidR="00FF6C9C">
        <w:rPr>
          <w:vertAlign w:val="superscript"/>
        </w:rPr>
        <w:t>5</w:t>
      </w:r>
      <w:r w:rsidR="00EC15A0" w:rsidRPr="00EC15A0">
        <w:rPr>
          <w:vertAlign w:val="superscript"/>
        </w:rPr>
        <w:fldChar w:fldCharType="end"/>
      </w:r>
      <w:r w:rsidR="005468D2">
        <w:t>, eurostat</w:t>
      </w:r>
      <w:r w:rsidR="005468D2">
        <w:rPr>
          <w:rStyle w:val="Vgjegyzet-hivatkozs"/>
        </w:rPr>
        <w:endnoteReference w:id="6"/>
      </w:r>
      <w:r w:rsidR="007A03C3" w:rsidRPr="007A03C3">
        <w:t>)</w:t>
      </w:r>
    </w:p>
    <w:p w14:paraId="22F461E8" w14:textId="530D7B76" w:rsidR="001A0CC1" w:rsidRDefault="001A0CC1" w:rsidP="007A03C3">
      <w:pPr>
        <w:rPr>
          <w:szCs w:val="20"/>
        </w:rPr>
      </w:pPr>
    </w:p>
    <w:p w14:paraId="145CBBCE" w14:textId="77777777" w:rsidR="001A0CC1" w:rsidRDefault="001A0CC1" w:rsidP="007A03C3">
      <w:pPr>
        <w:rPr>
          <w:szCs w:val="20"/>
        </w:rPr>
      </w:pPr>
    </w:p>
    <w:p w14:paraId="3A41836F" w14:textId="77777777" w:rsidR="00700F36" w:rsidRDefault="00700F36" w:rsidP="007A03C3">
      <w:pPr>
        <w:rPr>
          <w:szCs w:val="20"/>
        </w:rPr>
      </w:pPr>
    </w:p>
    <w:p w14:paraId="7E5C121C" w14:textId="77777777" w:rsidR="00700F36" w:rsidRDefault="00700F36" w:rsidP="007A03C3">
      <w:pPr>
        <w:rPr>
          <w:szCs w:val="20"/>
        </w:rPr>
      </w:pPr>
    </w:p>
    <w:p w14:paraId="2D2FC5BE" w14:textId="77777777" w:rsidR="00700F36" w:rsidRDefault="00700F36" w:rsidP="007A03C3">
      <w:pPr>
        <w:rPr>
          <w:szCs w:val="20"/>
        </w:rPr>
      </w:pPr>
    </w:p>
    <w:p w14:paraId="1CC1D062" w14:textId="77777777" w:rsidR="00700F36" w:rsidRDefault="00700F36" w:rsidP="007A03C3">
      <w:pPr>
        <w:rPr>
          <w:szCs w:val="20"/>
        </w:rPr>
      </w:pPr>
    </w:p>
    <w:p w14:paraId="52640895" w14:textId="77777777" w:rsidR="00700F36" w:rsidRDefault="00700F36" w:rsidP="007A03C3">
      <w:pPr>
        <w:rPr>
          <w:szCs w:val="20"/>
        </w:rPr>
      </w:pPr>
    </w:p>
    <w:p w14:paraId="42E7437F" w14:textId="77777777" w:rsidR="001C5359" w:rsidRDefault="001C5359" w:rsidP="007A03C3">
      <w:pPr>
        <w:rPr>
          <w:szCs w:val="20"/>
        </w:rPr>
      </w:pPr>
    </w:p>
    <w:p w14:paraId="78EA6A1A" w14:textId="77777777" w:rsidR="009154E5" w:rsidRDefault="009154E5" w:rsidP="007A03C3">
      <w:pPr>
        <w:rPr>
          <w:szCs w:val="20"/>
        </w:rPr>
      </w:pPr>
    </w:p>
    <w:p w14:paraId="459B5E15" w14:textId="7FDFF596" w:rsidR="007A03C3" w:rsidRPr="007A03C3" w:rsidRDefault="007A03C3" w:rsidP="007A03C3">
      <w:pPr>
        <w:rPr>
          <w:szCs w:val="20"/>
        </w:rPr>
      </w:pPr>
      <w:r>
        <w:rPr>
          <w:szCs w:val="20"/>
        </w:rPr>
        <w:lastRenderedPageBreak/>
        <w:t>Az összehasonlítás az egyes városok közigazgatási határait, valamint azok funkcionális urbánus környezetét (FUA) vette alapul. A funkcionális urbánus környezet a települések határain túl értelmezett terület, mely a magas népsűrűségű városból, illetve annak környező, munkaerőpiaca által a városhoz kapcsolódó területeiből, vagyis ingázási zónáiból áll.</w:t>
      </w:r>
      <w:r w:rsidRPr="00C31C6B">
        <w:rPr>
          <w:vertAlign w:val="superscript"/>
        </w:rPr>
        <w:endnoteReference w:id="7"/>
      </w:r>
    </w:p>
    <w:p w14:paraId="7475189E" w14:textId="77777777" w:rsidR="007A03C3" w:rsidRPr="00DB6C38" w:rsidRDefault="007A03C3" w:rsidP="007A03C3">
      <w:pPr>
        <w:rPr>
          <w:szCs w:val="20"/>
        </w:rPr>
      </w:pPr>
      <w:r>
        <w:rPr>
          <w:szCs w:val="20"/>
        </w:rPr>
        <w:t>Az elemzés alapján elmondható, hogy Budapest – köszönhetően a közigazgatási területén belül megtalálható nagyarányú erdő- és mezőgazdasági területeknek – európai viszonylatban kedvező értékekkel bír (közigazgatási területen 44%, FUA szerint 38%).</w:t>
      </w:r>
    </w:p>
    <w:p w14:paraId="4B3E4FF2" w14:textId="77777777" w:rsidR="007A03C3" w:rsidRDefault="007A03C3" w:rsidP="007A03C3">
      <w:pPr>
        <w:rPr>
          <w:szCs w:val="20"/>
        </w:rPr>
      </w:pPr>
      <w:r w:rsidRPr="00740C04">
        <w:rPr>
          <w:szCs w:val="20"/>
        </w:rPr>
        <w:t xml:space="preserve">A vizsgált állapotfelmérések alapján </w:t>
      </w:r>
      <w:r>
        <w:rPr>
          <w:szCs w:val="20"/>
        </w:rPr>
        <w:t>Budapest talajlezárási mértéke 2006 és 2015 között gyakorlatilag 1%-kal növekedett, ami hibahatáron belül változást jelent. Az adott időszakaszon belül szignifikáns változás a többi vizsgált európai város tekintetében sem volt kimutatható.</w:t>
      </w:r>
    </w:p>
    <w:p w14:paraId="4A44CB3E" w14:textId="67DDEA2D" w:rsidR="007A03C3" w:rsidRDefault="007A03C3" w:rsidP="009C16E4">
      <w:pPr>
        <w:rPr>
          <w:szCs w:val="20"/>
        </w:rPr>
      </w:pPr>
    </w:p>
    <w:p w14:paraId="535A6863" w14:textId="77777777" w:rsidR="00971119" w:rsidRPr="00BB096F" w:rsidRDefault="00971119" w:rsidP="00971119">
      <w:pPr>
        <w:pStyle w:val="Cmsor4"/>
      </w:pPr>
      <w:r w:rsidRPr="00BB096F">
        <w:t>Épített környezet értékei</w:t>
      </w:r>
      <w:r>
        <w:t>, örökségvédelem</w:t>
      </w:r>
    </w:p>
    <w:p w14:paraId="1A29BC91" w14:textId="77777777" w:rsidR="007A03C3" w:rsidRDefault="007A03C3" w:rsidP="007A03C3">
      <w:pPr>
        <w:rPr>
          <w:szCs w:val="20"/>
        </w:rPr>
      </w:pPr>
      <w:r w:rsidRPr="00185453">
        <w:rPr>
          <w:szCs w:val="20"/>
        </w:rPr>
        <w:t>Az egyedi városkarakter, a megőrzött történetiség egyre</w:t>
      </w:r>
      <w:r>
        <w:rPr>
          <w:szCs w:val="20"/>
        </w:rPr>
        <w:t xml:space="preserve"> </w:t>
      </w:r>
      <w:r w:rsidRPr="00185453">
        <w:rPr>
          <w:szCs w:val="20"/>
        </w:rPr>
        <w:t>nagyobb értékei az európai településeknek. Budapest</w:t>
      </w:r>
      <w:r>
        <w:rPr>
          <w:szCs w:val="20"/>
        </w:rPr>
        <w:t xml:space="preserve"> </w:t>
      </w:r>
      <w:r w:rsidRPr="00185453">
        <w:rPr>
          <w:szCs w:val="20"/>
        </w:rPr>
        <w:t>is a legtöbb európai nagyvároshoz hasonlóan különböző</w:t>
      </w:r>
      <w:r>
        <w:rPr>
          <w:szCs w:val="20"/>
        </w:rPr>
        <w:t xml:space="preserve"> </w:t>
      </w:r>
      <w:r w:rsidRPr="00185453">
        <w:rPr>
          <w:szCs w:val="20"/>
        </w:rPr>
        <w:t>történelmi korszakokból származó épített örökséggel</w:t>
      </w:r>
      <w:r>
        <w:rPr>
          <w:szCs w:val="20"/>
        </w:rPr>
        <w:t xml:space="preserve"> </w:t>
      </w:r>
      <w:r w:rsidRPr="00185453">
        <w:rPr>
          <w:szCs w:val="20"/>
        </w:rPr>
        <w:t>rendelkezik. Legjelentősebb a XIX. század utolsó és</w:t>
      </w:r>
      <w:r>
        <w:rPr>
          <w:szCs w:val="20"/>
        </w:rPr>
        <w:t xml:space="preserve"> </w:t>
      </w:r>
      <w:r w:rsidRPr="00185453">
        <w:rPr>
          <w:szCs w:val="20"/>
        </w:rPr>
        <w:t>a XX. század első negyedének építészete, amely kialakította</w:t>
      </w:r>
      <w:r>
        <w:rPr>
          <w:szCs w:val="20"/>
        </w:rPr>
        <w:t xml:space="preserve"> </w:t>
      </w:r>
      <w:r w:rsidRPr="00185453">
        <w:rPr>
          <w:szCs w:val="20"/>
        </w:rPr>
        <w:t>a belső városrészek funkcionális szerkezetét és</w:t>
      </w:r>
      <w:r>
        <w:rPr>
          <w:szCs w:val="20"/>
        </w:rPr>
        <w:t xml:space="preserve"> </w:t>
      </w:r>
      <w:r w:rsidRPr="00185453">
        <w:rPr>
          <w:szCs w:val="20"/>
        </w:rPr>
        <w:t>ma is látható arculatát.</w:t>
      </w:r>
      <w:r>
        <w:rPr>
          <w:szCs w:val="20"/>
        </w:rPr>
        <w:br/>
      </w:r>
      <w:r w:rsidRPr="00185453">
        <w:rPr>
          <w:szCs w:val="20"/>
        </w:rPr>
        <w:t>A historizmus építészeti stílus</w:t>
      </w:r>
      <w:r>
        <w:rPr>
          <w:szCs w:val="20"/>
        </w:rPr>
        <w:t xml:space="preserve"> </w:t>
      </w:r>
      <w:r w:rsidRPr="00185453">
        <w:rPr>
          <w:szCs w:val="20"/>
        </w:rPr>
        <w:t>együttesét</w:t>
      </w:r>
      <w:r>
        <w:rPr>
          <w:szCs w:val="20"/>
        </w:rPr>
        <w:t xml:space="preserve"> </w:t>
      </w:r>
      <w:r w:rsidRPr="00185453">
        <w:rPr>
          <w:szCs w:val="20"/>
        </w:rPr>
        <w:t>tekintve, azaz a neoreneszánsz, a neobarokk,</w:t>
      </w:r>
      <w:r>
        <w:rPr>
          <w:szCs w:val="20"/>
        </w:rPr>
        <w:t xml:space="preserve"> </w:t>
      </w:r>
      <w:r w:rsidRPr="00185453">
        <w:rPr>
          <w:szCs w:val="20"/>
        </w:rPr>
        <w:t>a neoromán és a neogót stílusokban (1860–1905),</w:t>
      </w:r>
      <w:r>
        <w:rPr>
          <w:szCs w:val="20"/>
        </w:rPr>
        <w:t xml:space="preserve"> </w:t>
      </w:r>
      <w:r w:rsidRPr="00185453">
        <w:rPr>
          <w:szCs w:val="20"/>
        </w:rPr>
        <w:t>a mintegy 12 km</w:t>
      </w:r>
      <w:r w:rsidRPr="00F36AB8">
        <w:rPr>
          <w:szCs w:val="20"/>
          <w:vertAlign w:val="superscript"/>
        </w:rPr>
        <w:t>2</w:t>
      </w:r>
      <w:r w:rsidRPr="00185453">
        <w:rPr>
          <w:szCs w:val="20"/>
        </w:rPr>
        <w:t>-nyi egységes építészeti együttesével</w:t>
      </w:r>
      <w:r>
        <w:rPr>
          <w:szCs w:val="20"/>
        </w:rPr>
        <w:t xml:space="preserve"> világszinten meghatározó</w:t>
      </w:r>
      <w:r w:rsidRPr="00185453">
        <w:rPr>
          <w:szCs w:val="20"/>
        </w:rPr>
        <w:t>.</w:t>
      </w:r>
      <w:r>
        <w:rPr>
          <w:szCs w:val="20"/>
        </w:rPr>
        <w:t xml:space="preserve"> </w:t>
      </w:r>
      <w:r w:rsidRPr="00185453">
        <w:rPr>
          <w:szCs w:val="20"/>
        </w:rPr>
        <w:t>Ehhez képest más történeti korszakok csak nyomaikban,</w:t>
      </w:r>
      <w:r>
        <w:rPr>
          <w:szCs w:val="20"/>
        </w:rPr>
        <w:t xml:space="preserve"> </w:t>
      </w:r>
      <w:r w:rsidRPr="00185453">
        <w:rPr>
          <w:szCs w:val="20"/>
        </w:rPr>
        <w:t xml:space="preserve">az alapkaraktert színesítve vannak jelen. </w:t>
      </w:r>
    </w:p>
    <w:p w14:paraId="179B3414" w14:textId="77777777" w:rsidR="00C31C6B" w:rsidRPr="00C31C6B" w:rsidRDefault="00C31C6B" w:rsidP="00C31C6B">
      <w:pPr>
        <w:rPr>
          <w:szCs w:val="20"/>
        </w:rPr>
      </w:pPr>
      <w:r w:rsidRPr="00BB096F">
        <w:rPr>
          <w:szCs w:val="20"/>
        </w:rPr>
        <w:t>Területi védelmek</w:t>
      </w:r>
      <w:r>
        <w:rPr>
          <w:szCs w:val="20"/>
        </w:rPr>
        <w:t>:</w:t>
      </w:r>
    </w:p>
    <w:p w14:paraId="13EE74D4" w14:textId="77777777" w:rsidR="00C31C6B" w:rsidRPr="003E6C84" w:rsidRDefault="00C31C6B" w:rsidP="003E6C84">
      <w:pPr>
        <w:pStyle w:val="Listaszerbekezds"/>
        <w:numPr>
          <w:ilvl w:val="0"/>
          <w:numId w:val="10"/>
        </w:numPr>
        <w:spacing w:after="200"/>
        <w:ind w:left="357" w:hanging="357"/>
        <w:rPr>
          <w:szCs w:val="20"/>
        </w:rPr>
      </w:pPr>
      <w:r w:rsidRPr="003E6C84">
        <w:rPr>
          <w:szCs w:val="20"/>
        </w:rPr>
        <w:t xml:space="preserve">Az UNESCO </w:t>
      </w:r>
      <w:r w:rsidRPr="00F36AB8">
        <w:rPr>
          <w:b/>
          <w:szCs w:val="20"/>
        </w:rPr>
        <w:t>Világörökség területe</w:t>
      </w:r>
      <w:r w:rsidRPr="003E6C84">
        <w:rPr>
          <w:szCs w:val="20"/>
        </w:rPr>
        <w:t xml:space="preserve"> és pufferzónája.</w:t>
      </w:r>
      <w:r w:rsidRPr="00C31C6B">
        <w:rPr>
          <w:vertAlign w:val="superscript"/>
        </w:rPr>
        <w:endnoteReference w:id="8"/>
      </w:r>
    </w:p>
    <w:p w14:paraId="3E04AFE6" w14:textId="77777777" w:rsidR="00C31C6B" w:rsidRPr="003E6C84" w:rsidRDefault="00C31C6B" w:rsidP="003E6C84">
      <w:pPr>
        <w:pStyle w:val="Listaszerbekezds"/>
        <w:numPr>
          <w:ilvl w:val="0"/>
          <w:numId w:val="10"/>
        </w:numPr>
        <w:spacing w:after="200"/>
        <w:ind w:left="357" w:hanging="357"/>
        <w:rPr>
          <w:szCs w:val="20"/>
        </w:rPr>
      </w:pPr>
      <w:r w:rsidRPr="00F36AB8">
        <w:rPr>
          <w:b/>
          <w:szCs w:val="20"/>
        </w:rPr>
        <w:t>Műemléki jelentőségű területként</w:t>
      </w:r>
      <w:r w:rsidRPr="003E6C84">
        <w:rPr>
          <w:szCs w:val="20"/>
        </w:rPr>
        <w:t xml:space="preserve"> műemléki védelemben részesül a település azon része, amelynek a jellegzetes, történelmileg kialakult szerkezete, beépítésének módja, összképe, a tájjal való kapcsolata, terei és utcaképei, építményeinek együttese összefüggő rendszert alkotva – védelemre érdemes módon – fejezi ki az azt létrehozó közösség építészeti kultúráját, és amelyet jogszabály ilyenként védetté nyilvánított</w:t>
      </w:r>
      <w:r w:rsidRPr="00C31C6B">
        <w:rPr>
          <w:vertAlign w:val="superscript"/>
        </w:rPr>
        <w:endnoteReference w:id="9"/>
      </w:r>
      <w:r w:rsidRPr="003E6C84">
        <w:rPr>
          <w:szCs w:val="20"/>
        </w:rPr>
        <w:t xml:space="preserve">. </w:t>
      </w:r>
    </w:p>
    <w:p w14:paraId="54DCDDF3" w14:textId="77777777" w:rsidR="00C31C6B" w:rsidRPr="003E6C84" w:rsidRDefault="00C31C6B" w:rsidP="003E6C84">
      <w:pPr>
        <w:pStyle w:val="Listaszerbekezds"/>
        <w:numPr>
          <w:ilvl w:val="0"/>
          <w:numId w:val="10"/>
        </w:numPr>
        <w:spacing w:after="200"/>
        <w:ind w:left="357" w:hanging="357"/>
        <w:rPr>
          <w:szCs w:val="20"/>
        </w:rPr>
      </w:pPr>
      <w:r w:rsidRPr="00F36AB8">
        <w:rPr>
          <w:b/>
          <w:szCs w:val="20"/>
        </w:rPr>
        <w:t>Műemléki környezet</w:t>
      </w:r>
      <w:r w:rsidRPr="003E6C84">
        <w:rPr>
          <w:szCs w:val="20"/>
        </w:rPr>
        <w:t>nek minősül a kulturális örökségvédelemről szóló 2001. évi LXIV. törvény (Kötv.) 39. § (2) alapján „</w:t>
      </w:r>
      <w:r w:rsidRPr="00F36AB8">
        <w:rPr>
          <w:i/>
          <w:szCs w:val="20"/>
        </w:rPr>
        <w:t>a műemlék jogszabályban meghatározott környezete</w:t>
      </w:r>
      <w:r w:rsidRPr="003E6C84">
        <w:rPr>
          <w:szCs w:val="20"/>
        </w:rPr>
        <w:t xml:space="preserve">.” A 39/2015. (III. 11.) számú kormányrendelet meghatározza, hogy a nyilvántartott műemléki érték műemlékké nyilvánításakor műemléki környezetnek milyen területek jelölhetők ki, illetve mely esetekben nem jön létre műemléki környezet. </w:t>
      </w:r>
    </w:p>
    <w:p w14:paraId="110C6733" w14:textId="77777777" w:rsidR="00C31C6B" w:rsidRPr="003E6C84" w:rsidRDefault="00C31C6B" w:rsidP="003E6C84">
      <w:pPr>
        <w:pStyle w:val="Listaszerbekezds"/>
        <w:numPr>
          <w:ilvl w:val="0"/>
          <w:numId w:val="10"/>
        </w:numPr>
        <w:spacing w:after="200"/>
        <w:ind w:left="357" w:hanging="357"/>
        <w:rPr>
          <w:szCs w:val="20"/>
        </w:rPr>
      </w:pPr>
      <w:r w:rsidRPr="00F36AB8">
        <w:rPr>
          <w:b/>
          <w:szCs w:val="20"/>
        </w:rPr>
        <w:t>Régészeti lelőhelyek</w:t>
      </w:r>
      <w:r w:rsidRPr="003E6C84">
        <w:rPr>
          <w:szCs w:val="20"/>
        </w:rPr>
        <w:t xml:space="preserve"> azok a körülhatárolható területek, amelyen a régészeti örökség elemei történeti összefüggéseikben megtalálhatók. Az országosan védett régészeti lelőhelyek védelmük és kezelésük szempontjából az alábbi három kategóriába sorolhatók:</w:t>
      </w:r>
    </w:p>
    <w:p w14:paraId="23DFBD89" w14:textId="77777777" w:rsidR="00C31C6B" w:rsidRPr="003E6C84" w:rsidRDefault="00C31C6B" w:rsidP="003E6C84">
      <w:pPr>
        <w:pStyle w:val="Listaszerbekezds"/>
        <w:numPr>
          <w:ilvl w:val="1"/>
          <w:numId w:val="10"/>
        </w:numPr>
        <w:spacing w:after="200"/>
        <w:ind w:left="992" w:hanging="357"/>
        <w:rPr>
          <w:szCs w:val="20"/>
        </w:rPr>
      </w:pPr>
      <w:r w:rsidRPr="003E6C84">
        <w:rPr>
          <w:szCs w:val="20"/>
        </w:rPr>
        <w:t xml:space="preserve">A </w:t>
      </w:r>
      <w:r w:rsidRPr="00F36AB8">
        <w:rPr>
          <w:b/>
          <w:szCs w:val="20"/>
        </w:rPr>
        <w:t>védetté nyilvánított régészeti lelőhely</w:t>
      </w:r>
      <w:r w:rsidRPr="003E6C84">
        <w:rPr>
          <w:szCs w:val="20"/>
        </w:rPr>
        <w:t xml:space="preserve"> miniszteri döntéssel, határozattal vagy törvény alapján miniszteri rendelettel védetté nyilvánított kiemelkedő történeti és kulturális jelentőségű, nyilvántartott régészeti lelőhely.</w:t>
      </w:r>
    </w:p>
    <w:p w14:paraId="5976F87A" w14:textId="77777777" w:rsidR="00C31C6B" w:rsidRPr="003E6C84" w:rsidRDefault="00C31C6B" w:rsidP="003E6C84">
      <w:pPr>
        <w:pStyle w:val="Listaszerbekezds"/>
        <w:numPr>
          <w:ilvl w:val="1"/>
          <w:numId w:val="10"/>
        </w:numPr>
        <w:spacing w:after="200"/>
        <w:ind w:left="992" w:hanging="357"/>
        <w:rPr>
          <w:szCs w:val="20"/>
        </w:rPr>
      </w:pPr>
      <w:r w:rsidRPr="003E6C84">
        <w:rPr>
          <w:szCs w:val="20"/>
        </w:rPr>
        <w:t xml:space="preserve">A </w:t>
      </w:r>
      <w:r w:rsidRPr="00F36AB8">
        <w:rPr>
          <w:b/>
          <w:szCs w:val="20"/>
        </w:rPr>
        <w:t>nyilvántartott régészeti lelőhely</w:t>
      </w:r>
      <w:r w:rsidRPr="003E6C84">
        <w:rPr>
          <w:szCs w:val="20"/>
        </w:rPr>
        <w:t xml:space="preserve"> közhiteles nyilvántartásba vett, törvény alapján általános védelem alatt álló régészeti lelőhely.</w:t>
      </w:r>
    </w:p>
    <w:p w14:paraId="1CFC320A" w14:textId="77777777" w:rsidR="003017E0" w:rsidRPr="003E6C84" w:rsidRDefault="00C31C6B" w:rsidP="003E6C84">
      <w:pPr>
        <w:pStyle w:val="Listaszerbekezds"/>
        <w:numPr>
          <w:ilvl w:val="1"/>
          <w:numId w:val="10"/>
        </w:numPr>
        <w:spacing w:after="200"/>
        <w:ind w:left="992" w:hanging="357"/>
        <w:rPr>
          <w:szCs w:val="20"/>
        </w:rPr>
      </w:pPr>
      <w:r w:rsidRPr="00F36AB8">
        <w:rPr>
          <w:b/>
          <w:szCs w:val="20"/>
        </w:rPr>
        <w:lastRenderedPageBreak/>
        <w:t>Régészeti érdekű terület</w:t>
      </w:r>
      <w:r w:rsidRPr="003E6C84">
        <w:rPr>
          <w:szCs w:val="20"/>
        </w:rPr>
        <w:t xml:space="preserve"> valamennyi terület, természetes vagy mesterséges üreg és a vízmedrek azon része, amelyen, illetve amelyben régészeti lelőhely előkerülése várható vagy feltételezhető.</w:t>
      </w:r>
    </w:p>
    <w:p w14:paraId="278EFFDE" w14:textId="77777777" w:rsidR="003017E0" w:rsidRPr="003017E0" w:rsidRDefault="003017E0" w:rsidP="003017E0">
      <w:pPr>
        <w:rPr>
          <w:szCs w:val="20"/>
        </w:rPr>
      </w:pPr>
      <w:bookmarkStart w:id="20" w:name="_Toc308080609"/>
      <w:r w:rsidRPr="00BB096F">
        <w:rPr>
          <w:szCs w:val="20"/>
        </w:rPr>
        <w:t>Épületek, épületegyüttesek védelme</w:t>
      </w:r>
      <w:bookmarkEnd w:id="20"/>
    </w:p>
    <w:p w14:paraId="33FAAAC9" w14:textId="5367FFE5" w:rsidR="003017E0" w:rsidRPr="0045351E" w:rsidRDefault="003017E0" w:rsidP="0045351E">
      <w:pPr>
        <w:pStyle w:val="Listaszerbekezds"/>
        <w:numPr>
          <w:ilvl w:val="0"/>
          <w:numId w:val="11"/>
        </w:numPr>
        <w:spacing w:after="200"/>
        <w:ind w:left="357" w:hanging="357"/>
        <w:rPr>
          <w:szCs w:val="20"/>
        </w:rPr>
      </w:pPr>
      <w:r w:rsidRPr="00F36AB8">
        <w:rPr>
          <w:b/>
          <w:szCs w:val="20"/>
        </w:rPr>
        <w:t>Országos szintű egyedi védelem</w:t>
      </w:r>
      <w:r w:rsidRPr="0045351E">
        <w:rPr>
          <w:szCs w:val="20"/>
        </w:rPr>
        <w:t>. Műemléki érték fogalmát a Kötv.</w:t>
      </w:r>
      <w:r w:rsidRPr="003017E0">
        <w:rPr>
          <w:vertAlign w:val="superscript"/>
        </w:rPr>
        <w:endnoteReference w:id="10"/>
      </w:r>
      <w:r w:rsidRPr="0045351E">
        <w:rPr>
          <w:szCs w:val="20"/>
        </w:rPr>
        <w:t xml:space="preserve"> 7. §</w:t>
      </w:r>
      <w:r w:rsidR="008B2C72">
        <w:rPr>
          <w:szCs w:val="20"/>
        </w:rPr>
        <w:br/>
      </w:r>
      <w:r w:rsidRPr="0045351E">
        <w:rPr>
          <w:szCs w:val="20"/>
        </w:rPr>
        <w:t>17. pontja tartalmazza: „minden olyan építmény, minden olyan építmény, történeti kert, történeti temetkezési hely, vagy sajátos terület, valamint ezek maradványa, továbbá azok rendeltetésszerűen összetartozó együttese, rendszere, amely hazánk múltja és a magyar nemzet vagy más közösség hovatartozás-tudata szempontjából országos jelentőségű történeti, művészeti, tudományos és műszaki emlék alkotórészeivel, tartozékaival és beépített berendezési tárgyaival együtt.” A mintegy 1500 db műemléki védettség alatt álló elem zömében a város központjában található, valamint az egykori történeti peremvárosok központi részein.</w:t>
      </w:r>
    </w:p>
    <w:p w14:paraId="3276B145" w14:textId="77777777" w:rsidR="003017E0" w:rsidRPr="0045351E" w:rsidRDefault="003017E0" w:rsidP="0045351E">
      <w:pPr>
        <w:pStyle w:val="Listaszerbekezds"/>
        <w:numPr>
          <w:ilvl w:val="1"/>
          <w:numId w:val="11"/>
        </w:numPr>
        <w:spacing w:after="200"/>
        <w:ind w:left="993"/>
        <w:rPr>
          <w:szCs w:val="20"/>
        </w:rPr>
      </w:pPr>
      <w:r w:rsidRPr="0045351E">
        <w:rPr>
          <w:szCs w:val="20"/>
        </w:rPr>
        <w:t xml:space="preserve">A </w:t>
      </w:r>
      <w:r w:rsidRPr="00F36AB8">
        <w:rPr>
          <w:b/>
          <w:szCs w:val="20"/>
        </w:rPr>
        <w:t>műemlékvédelem sajátos tárgyai</w:t>
      </w:r>
      <w:r w:rsidRPr="0045351E">
        <w:rPr>
          <w:szCs w:val="20"/>
        </w:rPr>
        <w:t xml:space="preserve"> a kulturális örökség védelméről szóló törvény meghatározásában a</w:t>
      </w:r>
      <w:r w:rsidRPr="00F36AB8">
        <w:rPr>
          <w:b/>
          <w:szCs w:val="20"/>
        </w:rPr>
        <w:t xml:space="preserve"> történeti kertek, a temetők és temetkezési emlékhelyek és a műemléki területek</w:t>
      </w:r>
      <w:r w:rsidRPr="0045351E">
        <w:rPr>
          <w:szCs w:val="20"/>
        </w:rPr>
        <w:t>. A törvény rendelkezése szerint műemlékvédelem sajátos tárgyai körében védelem alatt álló valamennyi ingatlan esetében biztosítani kell az építészeti, településképi, valamint egyéb környezeti, természeti értékek fenntartható használatát és a hagyományos tájhasználat megőrzését.</w:t>
      </w:r>
    </w:p>
    <w:p w14:paraId="0E7B6C27" w14:textId="043FCF42" w:rsidR="003017E0" w:rsidRPr="0045351E" w:rsidRDefault="003017E0" w:rsidP="0045351E">
      <w:pPr>
        <w:pStyle w:val="Listaszerbekezds"/>
        <w:numPr>
          <w:ilvl w:val="1"/>
          <w:numId w:val="11"/>
        </w:numPr>
        <w:spacing w:after="200"/>
        <w:ind w:left="993"/>
        <w:rPr>
          <w:szCs w:val="20"/>
        </w:rPr>
      </w:pPr>
      <w:r w:rsidRPr="0045351E">
        <w:rPr>
          <w:szCs w:val="20"/>
        </w:rPr>
        <w:t xml:space="preserve">A </w:t>
      </w:r>
      <w:r w:rsidRPr="00F36AB8">
        <w:rPr>
          <w:b/>
          <w:szCs w:val="20"/>
        </w:rPr>
        <w:t>nemzeti és történelmi emlékhelyek</w:t>
      </w:r>
      <w:r w:rsidRPr="0045351E">
        <w:rPr>
          <w:szCs w:val="20"/>
        </w:rPr>
        <w:t xml:space="preserve"> az ország történelmében központi szerepet betöltő helyszínek. 2012-ben a Magyar Országgyűlés bevezette a nemzeti és a történelmi emlékhelyek fogalmát. Összesen 47 történelmi emlékhely, valamint</w:t>
      </w:r>
      <w:r w:rsidR="008B2C72">
        <w:rPr>
          <w:szCs w:val="20"/>
        </w:rPr>
        <w:t xml:space="preserve"> </w:t>
      </w:r>
      <w:r w:rsidRPr="0045351E">
        <w:rPr>
          <w:szCs w:val="20"/>
        </w:rPr>
        <w:t>13 nemzeti emlékhely és 1 kiemelt nemzeti emlékhely van a 303/2011. (XII. 23.) Korm. rendelet 1. sz. melléklete alapján.</w:t>
      </w:r>
    </w:p>
    <w:p w14:paraId="2FF0BD9B" w14:textId="77777777" w:rsidR="003017E0" w:rsidRPr="0045351E" w:rsidRDefault="003017E0" w:rsidP="0045351E">
      <w:pPr>
        <w:pStyle w:val="Listaszerbekezds"/>
        <w:numPr>
          <w:ilvl w:val="0"/>
          <w:numId w:val="11"/>
        </w:numPr>
        <w:spacing w:after="200"/>
        <w:ind w:left="357" w:hanging="357"/>
        <w:rPr>
          <w:szCs w:val="20"/>
        </w:rPr>
      </w:pPr>
      <w:r w:rsidRPr="00F36AB8">
        <w:rPr>
          <w:b/>
          <w:szCs w:val="20"/>
        </w:rPr>
        <w:t>Fővárosi és kerületi helyi szintű egyedi védelem</w:t>
      </w:r>
      <w:r w:rsidRPr="0045351E">
        <w:rPr>
          <w:szCs w:val="20"/>
        </w:rPr>
        <w:t>: Az Étv-ben</w:t>
      </w:r>
      <w:r w:rsidRPr="003017E0">
        <w:rPr>
          <w:vertAlign w:val="superscript"/>
        </w:rPr>
        <w:endnoteReference w:id="11"/>
      </w:r>
      <w:r w:rsidRPr="0045351E">
        <w:rPr>
          <w:szCs w:val="20"/>
        </w:rPr>
        <w:t xml:space="preserve"> meghatározottak szerint az építészeti örökségnek azok az elemei, amelyek nem részesülnek országos egyedi műemléki védelemben, de a sajátos megjelenésüknél, jellegzetességüknél, településképi vagy településszerkezeti értéküknél fogva a térség, illetőleg a település szempontjából kiemelkedőek, hagyományt őriznek, az ott élt emberek és közösségek munkáját és kultúráját híven tükrözik, a helyi építészeti örökség részét képezik. </w:t>
      </w:r>
    </w:p>
    <w:p w14:paraId="41A6A7F1" w14:textId="77777777" w:rsidR="003017E0" w:rsidRPr="0045351E" w:rsidRDefault="003017E0" w:rsidP="0045351E">
      <w:pPr>
        <w:pStyle w:val="Listaszerbekezds"/>
        <w:numPr>
          <w:ilvl w:val="1"/>
          <w:numId w:val="11"/>
        </w:numPr>
        <w:spacing w:after="200"/>
        <w:ind w:left="993"/>
        <w:rPr>
          <w:szCs w:val="20"/>
        </w:rPr>
      </w:pPr>
      <w:r w:rsidRPr="0045351E">
        <w:rPr>
          <w:szCs w:val="20"/>
        </w:rPr>
        <w:t>A Fővárosi Önkormányzat, a 314/2012. (XI. 8.) Kormányrendeletben foglalt felhatalmazás alapján megalkotta a településkép védelméről szóló 30/2017. (IX. 29.) Főv. Kgy. rendeletét, amelyet azóta többször is módosítottak. A rendelet megalkotásának célja a Budapest főváros városképe és történelme szempontjából meghatározó építészeti örökség kiemelkedő értékű elemeinek védelme, jellegzetes karakterének a jövő nemzedékek számára történő megóvása. A jegyzékben jelenleg kb. 1.000 építmény és épületegyüttesekben további kb. 1.400 építmény áll védelem alatt.</w:t>
      </w:r>
    </w:p>
    <w:p w14:paraId="79E13F01" w14:textId="5EF0E82F" w:rsidR="003017E0" w:rsidRPr="003017E0" w:rsidRDefault="003017E0" w:rsidP="003017E0">
      <w:pPr>
        <w:rPr>
          <w:szCs w:val="20"/>
        </w:rPr>
      </w:pPr>
      <w:r w:rsidRPr="00EB7256">
        <w:rPr>
          <w:bCs/>
          <w:iCs/>
          <w:szCs w:val="20"/>
        </w:rPr>
        <w:t xml:space="preserve">Kerületi szinten az </w:t>
      </w:r>
      <w:r>
        <w:rPr>
          <w:bCs/>
          <w:iCs/>
          <w:szCs w:val="20"/>
        </w:rPr>
        <w:t xml:space="preserve">épített elemek helyi védelmét </w:t>
      </w:r>
      <w:r w:rsidRPr="00EB7256">
        <w:rPr>
          <w:bCs/>
          <w:iCs/>
          <w:szCs w:val="20"/>
        </w:rPr>
        <w:t>helyi rendelet szabályozza. (Jelenleg nem minden kerület rendelkezik önálló értékvédelmi ren</w:t>
      </w:r>
      <w:r>
        <w:rPr>
          <w:bCs/>
          <w:iCs/>
          <w:szCs w:val="20"/>
        </w:rPr>
        <w:t>delettel</w:t>
      </w:r>
      <w:r w:rsidRPr="00EB7256">
        <w:rPr>
          <w:bCs/>
          <w:iCs/>
          <w:szCs w:val="20"/>
        </w:rPr>
        <w:t>.)</w:t>
      </w:r>
    </w:p>
    <w:p w14:paraId="4E1A316D" w14:textId="77777777" w:rsidR="003017E0" w:rsidRDefault="003017E0" w:rsidP="00C31C6B">
      <w:pPr>
        <w:rPr>
          <w:szCs w:val="20"/>
        </w:rPr>
      </w:pPr>
    </w:p>
    <w:p w14:paraId="5F0ACCBF" w14:textId="77777777" w:rsidR="00700F36" w:rsidRDefault="00700F36" w:rsidP="00C31C6B">
      <w:pPr>
        <w:rPr>
          <w:szCs w:val="20"/>
        </w:rPr>
      </w:pPr>
    </w:p>
    <w:p w14:paraId="3C5D9500" w14:textId="77777777" w:rsidR="00700F36" w:rsidRDefault="00700F36" w:rsidP="00C31C6B">
      <w:pPr>
        <w:rPr>
          <w:szCs w:val="20"/>
        </w:rPr>
      </w:pPr>
    </w:p>
    <w:p w14:paraId="7DEB2413" w14:textId="77777777" w:rsidR="003017E0" w:rsidRDefault="003017E0" w:rsidP="00C31C6B">
      <w:r w:rsidRPr="003017E0">
        <w:rPr>
          <w:noProof/>
          <w:szCs w:val="20"/>
        </w:rPr>
        <w:t xml:space="preserve"> </w:t>
      </w:r>
    </w:p>
    <w:p w14:paraId="40D3EF21" w14:textId="3FA4B0CB" w:rsidR="003017E0" w:rsidRDefault="00700F36" w:rsidP="006D7E71">
      <w:pPr>
        <w:pStyle w:val="Kpalrs"/>
        <w:keepNext/>
      </w:pPr>
      <w:r>
        <w:lastRenderedPageBreak/>
        <w:drawing>
          <wp:anchor distT="0" distB="0" distL="114300" distR="114300" simplePos="0" relativeHeight="251660288" behindDoc="1" locked="0" layoutInCell="1" allowOverlap="1" wp14:anchorId="104F39B1" wp14:editId="38F291EC">
            <wp:simplePos x="0" y="0"/>
            <wp:positionH relativeFrom="margin">
              <wp:align>left</wp:align>
            </wp:positionH>
            <wp:positionV relativeFrom="paragraph">
              <wp:posOffset>65921</wp:posOffset>
            </wp:positionV>
            <wp:extent cx="4320000" cy="3844151"/>
            <wp:effectExtent l="0" t="0" r="4445" b="4445"/>
            <wp:wrapNone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" b="34948"/>
                    <a:stretch/>
                  </pic:blipFill>
                  <pic:spPr bwMode="auto">
                    <a:xfrm>
                      <a:off x="0" y="0"/>
                      <a:ext cx="4320000" cy="384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7E0" w:rsidRPr="006D7E71">
        <w:rPr>
          <w:b/>
        </w:rPr>
        <w:fldChar w:fldCharType="begin"/>
      </w:r>
      <w:r w:rsidR="003017E0" w:rsidRPr="006D7E71">
        <w:rPr>
          <w:b/>
        </w:rPr>
        <w:instrText xml:space="preserve"> SEQ ábra \* ARABIC </w:instrText>
      </w:r>
      <w:r w:rsidR="003017E0" w:rsidRPr="006D7E71">
        <w:rPr>
          <w:b/>
        </w:rPr>
        <w:fldChar w:fldCharType="separate"/>
      </w:r>
      <w:r w:rsidR="00FF6C9C">
        <w:rPr>
          <w:b/>
        </w:rPr>
        <w:t>6</w:t>
      </w:r>
      <w:r w:rsidR="003017E0" w:rsidRPr="006D7E71">
        <w:rPr>
          <w:b/>
        </w:rPr>
        <w:fldChar w:fldCharType="end"/>
      </w:r>
      <w:r w:rsidR="003017E0" w:rsidRPr="006D7E71">
        <w:rPr>
          <w:b/>
        </w:rPr>
        <w:t>. ábra:</w:t>
      </w:r>
      <w:r w:rsidR="003017E0">
        <w:t xml:space="preserve"> </w:t>
      </w:r>
      <w:r w:rsidR="003017E0" w:rsidRPr="004F2C87">
        <w:t>Nemzetközi, országos és helyi művi értékvédelem</w:t>
      </w:r>
      <w:r w:rsidR="003017E0">
        <w:t xml:space="preserve"> (forrás: TSZT 2017.</w:t>
      </w:r>
      <w:r w:rsidR="003017E0">
        <w:rPr>
          <w:rStyle w:val="Vgjegyzet-hivatkozs"/>
        </w:rPr>
        <w:endnoteReference w:id="12"/>
      </w:r>
      <w:r w:rsidR="003017E0">
        <w:t>)</w:t>
      </w:r>
      <w:r w:rsidR="00D352AF">
        <w:drawing>
          <wp:anchor distT="0" distB="0" distL="114300" distR="114300" simplePos="0" relativeHeight="251666432" behindDoc="0" locked="0" layoutInCell="1" allowOverlap="1" wp14:anchorId="3C99E609" wp14:editId="23E7911A">
            <wp:simplePos x="0" y="0"/>
            <wp:positionH relativeFrom="column">
              <wp:posOffset>4500880</wp:posOffset>
            </wp:positionH>
            <wp:positionV relativeFrom="paragraph">
              <wp:posOffset>459105</wp:posOffset>
            </wp:positionV>
            <wp:extent cx="1619885" cy="3763645"/>
            <wp:effectExtent l="0" t="0" r="0" b="8255"/>
            <wp:wrapNone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roksegvedelem.png_jelmagy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48"/>
                    <a:stretch/>
                  </pic:blipFill>
                  <pic:spPr bwMode="auto">
                    <a:xfrm>
                      <a:off x="0" y="0"/>
                      <a:ext cx="1619885" cy="376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42733A4" w14:textId="1A3C3E44" w:rsidR="00C31C6B" w:rsidRDefault="00C31C6B" w:rsidP="00C31C6B">
      <w:pPr>
        <w:rPr>
          <w:szCs w:val="20"/>
        </w:rPr>
      </w:pPr>
    </w:p>
    <w:p w14:paraId="6D2A0421" w14:textId="1B5F6C30" w:rsidR="00700F36" w:rsidRDefault="00700F36" w:rsidP="00C31C6B">
      <w:pPr>
        <w:rPr>
          <w:szCs w:val="20"/>
        </w:rPr>
      </w:pPr>
    </w:p>
    <w:p w14:paraId="7FED4BBD" w14:textId="4099C16B" w:rsidR="00700F36" w:rsidRDefault="00700F36" w:rsidP="00D352AF">
      <w:pPr>
        <w:jc w:val="center"/>
        <w:rPr>
          <w:szCs w:val="20"/>
        </w:rPr>
      </w:pPr>
    </w:p>
    <w:p w14:paraId="4D7F8546" w14:textId="3BC30BC4" w:rsidR="00700F36" w:rsidRDefault="00700F36" w:rsidP="00C31C6B">
      <w:pPr>
        <w:rPr>
          <w:szCs w:val="20"/>
        </w:rPr>
      </w:pPr>
    </w:p>
    <w:p w14:paraId="3028B2C3" w14:textId="6F2B5091" w:rsidR="00700F36" w:rsidRDefault="00700F36" w:rsidP="00C31C6B">
      <w:pPr>
        <w:rPr>
          <w:szCs w:val="20"/>
        </w:rPr>
      </w:pPr>
    </w:p>
    <w:p w14:paraId="245E9EA2" w14:textId="5222BA06" w:rsidR="00700F36" w:rsidRDefault="00700F36" w:rsidP="00C31C6B">
      <w:pPr>
        <w:rPr>
          <w:szCs w:val="20"/>
        </w:rPr>
      </w:pPr>
    </w:p>
    <w:p w14:paraId="051806A5" w14:textId="48D847AA" w:rsidR="00700F36" w:rsidRDefault="00700F36" w:rsidP="00C31C6B">
      <w:pPr>
        <w:rPr>
          <w:szCs w:val="20"/>
        </w:rPr>
      </w:pPr>
    </w:p>
    <w:p w14:paraId="0F9D06DE" w14:textId="142D7173" w:rsidR="00700F36" w:rsidRDefault="00700F36" w:rsidP="00C31C6B">
      <w:pPr>
        <w:rPr>
          <w:szCs w:val="20"/>
        </w:rPr>
      </w:pPr>
    </w:p>
    <w:p w14:paraId="161D3ACF" w14:textId="6AACC0A6" w:rsidR="00700F36" w:rsidRDefault="00700F36" w:rsidP="00C31C6B">
      <w:pPr>
        <w:rPr>
          <w:szCs w:val="20"/>
        </w:rPr>
      </w:pPr>
    </w:p>
    <w:p w14:paraId="7A65C79A" w14:textId="77777777" w:rsidR="00700F36" w:rsidRDefault="00700F36" w:rsidP="00C31C6B">
      <w:pPr>
        <w:rPr>
          <w:szCs w:val="20"/>
        </w:rPr>
      </w:pPr>
    </w:p>
    <w:p w14:paraId="2DA745D3" w14:textId="4306E192" w:rsidR="00700F36" w:rsidRDefault="00700F36" w:rsidP="00C31C6B">
      <w:pPr>
        <w:rPr>
          <w:szCs w:val="20"/>
        </w:rPr>
      </w:pPr>
    </w:p>
    <w:p w14:paraId="052E7244" w14:textId="5630094F" w:rsidR="00700F36" w:rsidRDefault="00700F36" w:rsidP="00C31C6B">
      <w:pPr>
        <w:rPr>
          <w:szCs w:val="20"/>
        </w:rPr>
      </w:pPr>
    </w:p>
    <w:p w14:paraId="61E26089" w14:textId="1255EF56" w:rsidR="00700F36" w:rsidRDefault="00700F36" w:rsidP="00C31C6B">
      <w:pPr>
        <w:rPr>
          <w:szCs w:val="20"/>
        </w:rPr>
      </w:pPr>
    </w:p>
    <w:p w14:paraId="5CF884BE" w14:textId="652745DB" w:rsidR="00700F36" w:rsidRDefault="00700F36" w:rsidP="00C31C6B">
      <w:pPr>
        <w:rPr>
          <w:szCs w:val="20"/>
        </w:rPr>
      </w:pPr>
    </w:p>
    <w:p w14:paraId="45094956" w14:textId="77777777" w:rsidR="00700F36" w:rsidRPr="006E3EFE" w:rsidRDefault="00700F36" w:rsidP="00C31C6B">
      <w:pPr>
        <w:rPr>
          <w:szCs w:val="20"/>
        </w:rPr>
      </w:pPr>
    </w:p>
    <w:p w14:paraId="02EF4926" w14:textId="5697FFE3" w:rsidR="00C31C6B" w:rsidRDefault="00C31C6B" w:rsidP="007A03C3">
      <w:pPr>
        <w:rPr>
          <w:szCs w:val="20"/>
        </w:rPr>
      </w:pPr>
    </w:p>
    <w:p w14:paraId="11732308" w14:textId="255E2E29" w:rsidR="007A03C3" w:rsidRDefault="007A03C3" w:rsidP="009C16E4">
      <w:pPr>
        <w:rPr>
          <w:szCs w:val="20"/>
        </w:rPr>
      </w:pPr>
    </w:p>
    <w:p w14:paraId="06036126" w14:textId="77777777" w:rsidR="00C31C6B" w:rsidRDefault="00C31C6B" w:rsidP="009C16E4">
      <w:pPr>
        <w:rPr>
          <w:szCs w:val="20"/>
        </w:rPr>
        <w:sectPr w:rsidR="00C31C6B" w:rsidSect="00274FE6">
          <w:headerReference w:type="even" r:id="rId19"/>
          <w:headerReference w:type="default" r:id="rId20"/>
          <w:footerReference w:type="even" r:id="rId21"/>
          <w:footerReference w:type="default" r:id="rId22"/>
          <w:footerReference w:type="first" r:id="rId23"/>
          <w:endnotePr>
            <w:numFmt w:val="decimal"/>
          </w:endnotePr>
          <w:pgSz w:w="11906" w:h="16838"/>
          <w:pgMar w:top="1418" w:right="1418" w:bottom="1134" w:left="1418" w:header="283" w:footer="283" w:gutter="0"/>
          <w:cols w:space="708"/>
          <w:titlePg/>
          <w:docGrid w:linePitch="360"/>
        </w:sectPr>
      </w:pPr>
    </w:p>
    <w:bookmarkEnd w:id="5"/>
    <w:bookmarkEnd w:id="6"/>
    <w:bookmarkEnd w:id="7"/>
    <w:bookmarkEnd w:id="8"/>
    <w:p w14:paraId="6807D0ED" w14:textId="77777777" w:rsidR="00750637" w:rsidRDefault="00750637">
      <w:pPr>
        <w:spacing w:after="160" w:line="259" w:lineRule="auto"/>
        <w:ind w:right="0"/>
        <w:jc w:val="left"/>
        <w:rPr>
          <w:rFonts w:eastAsia="Calibri"/>
          <w:b/>
          <w:color w:val="95C676"/>
          <w:spacing w:val="20"/>
          <w:sz w:val="24"/>
          <w:lang w:eastAsia="en-US"/>
        </w:rPr>
      </w:pPr>
      <w:r>
        <w:br w:type="page"/>
      </w:r>
    </w:p>
    <w:p w14:paraId="5ECE27D5" w14:textId="1045FD01" w:rsidR="006D2F1B" w:rsidRDefault="006D2F1B" w:rsidP="006D2F1B">
      <w:pPr>
        <w:pStyle w:val="Cmsor3"/>
      </w:pPr>
      <w:r>
        <w:lastRenderedPageBreak/>
        <w:t>Függelék</w:t>
      </w:r>
    </w:p>
    <w:p w14:paraId="2D1DBFF3" w14:textId="77777777" w:rsidR="00E70AE1" w:rsidRPr="00E70AE1" w:rsidRDefault="00E70AE1" w:rsidP="00E70AE1">
      <w:pPr>
        <w:rPr>
          <w:b/>
          <w:i/>
          <w:lang w:eastAsia="en-US"/>
        </w:rPr>
      </w:pPr>
      <w:r w:rsidRPr="00E70AE1">
        <w:rPr>
          <w:b/>
          <w:i/>
          <w:lang w:eastAsia="en-US"/>
        </w:rPr>
        <w:t>Talajlezárás vizsgálati módszertan</w:t>
      </w:r>
    </w:p>
    <w:p w14:paraId="69599282" w14:textId="6A471BCC" w:rsidR="00E70AE1" w:rsidRPr="00E70AE1" w:rsidRDefault="00E70AE1" w:rsidP="00E70AE1">
      <w:pPr>
        <w:rPr>
          <w:lang w:eastAsia="en-US"/>
        </w:rPr>
      </w:pPr>
      <w:r w:rsidRPr="00E70AE1">
        <w:rPr>
          <w:lang w:eastAsia="en-US"/>
        </w:rPr>
        <w:t>A talajlezárás mértékének vizsgálata a Copernicus Land Monitoring Service (CLMC) felvételei alapján készült adatbázis felhasználásával történt. A nyilvános adatbázis 20 m-es térbeli felbontású raszteres állományokként állt rendelkezésre. A talajlezárás mértékének elemzése összesen 4 évre, 2006-ra, 2009-re, 2012-re és 2015-re vonatkozóan készült el.</w:t>
      </w:r>
      <w:r w:rsidRPr="00E70AE1">
        <w:rPr>
          <w:vertAlign w:val="superscript"/>
          <w:lang w:eastAsia="en-US"/>
        </w:rPr>
        <w:endnoteReference w:id="13"/>
      </w:r>
      <w:r w:rsidR="00393D74">
        <w:rPr>
          <w:lang w:eastAsia="en-US"/>
        </w:rPr>
        <w:t xml:space="preserve"> </w:t>
      </w:r>
      <w:r w:rsidRPr="00E70AE1">
        <w:rPr>
          <w:lang w:eastAsia="en-US"/>
        </w:rPr>
        <w:t>Az Európai Űrügynökség (ESA) által szolgáltatott műholdkép alapú ortofotó alapján elkészült tematikus térképek geometriai pontossága kev</w:t>
      </w:r>
      <w:r w:rsidR="00393D74">
        <w:rPr>
          <w:lang w:eastAsia="en-US"/>
        </w:rPr>
        <w:t>esebb, mint fél képpont (pixel)</w:t>
      </w:r>
      <w:r w:rsidRPr="00E70AE1">
        <w:rPr>
          <w:vertAlign w:val="superscript"/>
          <w:lang w:eastAsia="en-US"/>
        </w:rPr>
        <w:endnoteReference w:id="14"/>
      </w:r>
      <w:r w:rsidRPr="00E70AE1">
        <w:rPr>
          <w:lang w:eastAsia="en-US"/>
        </w:rPr>
        <w:t xml:space="preserve">. </w:t>
      </w:r>
    </w:p>
    <w:p w14:paraId="2C567F23" w14:textId="062B8FD9" w:rsidR="00E70AE1" w:rsidRPr="00E70AE1" w:rsidRDefault="00E70AE1" w:rsidP="00E70AE1">
      <w:pPr>
        <w:rPr>
          <w:lang w:eastAsia="en-US"/>
        </w:rPr>
      </w:pPr>
      <w:r w:rsidRPr="00E70AE1">
        <w:rPr>
          <w:lang w:eastAsia="en-US"/>
        </w:rPr>
        <w:t xml:space="preserve">Az adatbázishoz - a zöldfelület-intenzitás vizsgálatához hasonlóan - nagy felbontású műholdfelvételeket (IRS-P6/Resourcesat-2 LISS-III, SPOT 5 és Landsat 8) használtak fel, az adatsorokat pedig NDVI (vegetációs index) </w:t>
      </w:r>
      <w:r w:rsidR="008B2C72">
        <w:rPr>
          <w:lang w:eastAsia="en-US"/>
        </w:rPr>
        <w:t>mérések alapján készítették el.</w:t>
      </w:r>
      <w:r w:rsidR="008B2C72">
        <w:rPr>
          <w:lang w:eastAsia="en-US"/>
        </w:rPr>
        <w:br/>
      </w:r>
      <w:r w:rsidRPr="00E70AE1">
        <w:rPr>
          <w:lang w:eastAsia="en-US"/>
        </w:rPr>
        <w:t xml:space="preserve">A három különböző évszakban (tavasz-nyár-ősz) elkészített képeket a referenciaéven túl az azt megelőző évben, illetve a rákövetkező évben is elkészítették. A képadatok hiányosságainak minimalizálását a három különböző évben elkészített több évszakos képadatok összekapcsolásával érték el. A talajlezárás mértékének meghatározásához az egyes felvételek, képi adatok és az NDVI elemzések alapján elkülönítették a beépített és nem beépített területeket, melyeket 0-100%-ig terjedő skálán osztályoztak. Az osztályozásnál további szempontok is meghatározóak voltak, mint például az adott terület borítottságának jellege vagy a területfelhasználás módja. </w:t>
      </w:r>
    </w:p>
    <w:p w14:paraId="7DF918E9" w14:textId="77777777" w:rsidR="00274FE6" w:rsidRPr="00274FE6" w:rsidRDefault="00274FE6" w:rsidP="00274FE6">
      <w:pPr>
        <w:rPr>
          <w:lang w:eastAsia="en-US"/>
        </w:rPr>
      </w:pPr>
    </w:p>
    <w:p w14:paraId="7CBEC1D1" w14:textId="77777777" w:rsidR="00A3451F" w:rsidRPr="00A3451F" w:rsidRDefault="00A3451F" w:rsidP="006D2F1B">
      <w:pPr>
        <w:pStyle w:val="Cmsor5"/>
      </w:pPr>
      <w:r w:rsidRPr="00A3451F">
        <w:t xml:space="preserve">A fejezet </w:t>
      </w:r>
      <w:r w:rsidRPr="0009067F">
        <w:t>hivatkozásai</w:t>
      </w:r>
    </w:p>
    <w:sectPr w:rsidR="00A3451F" w:rsidRPr="00A3451F" w:rsidSect="00EB09AC">
      <w:headerReference w:type="even" r:id="rId24"/>
      <w:headerReference w:type="default" r:id="rId25"/>
      <w:endnotePr>
        <w:numFmt w:val="decimal"/>
      </w:endnotePr>
      <w:type w:val="continuous"/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6990D" w14:textId="77777777" w:rsidR="00653F9E" w:rsidRDefault="00653F9E" w:rsidP="006C431E">
      <w:pPr>
        <w:spacing w:after="0" w:line="240" w:lineRule="auto"/>
      </w:pPr>
      <w:r>
        <w:separator/>
      </w:r>
    </w:p>
  </w:endnote>
  <w:endnote w:type="continuationSeparator" w:id="0">
    <w:p w14:paraId="5E9E2583" w14:textId="77777777" w:rsidR="00653F9E" w:rsidRDefault="00653F9E" w:rsidP="006C431E">
      <w:pPr>
        <w:spacing w:after="0" w:line="240" w:lineRule="auto"/>
      </w:pPr>
      <w:r>
        <w:continuationSeparator/>
      </w:r>
    </w:p>
  </w:endnote>
  <w:endnote w:id="1">
    <w:p w14:paraId="7539E896" w14:textId="521D57C7" w:rsidR="000A1C9B" w:rsidRPr="00793007" w:rsidRDefault="000A1C9B" w:rsidP="00831A4F">
      <w:pPr>
        <w:pStyle w:val="Vgjegyzet"/>
      </w:pPr>
      <w:r w:rsidRPr="00793007">
        <w:rPr>
          <w:rStyle w:val="Vgjegyzet-hivatkozs"/>
        </w:rPr>
        <w:endnoteRef/>
      </w:r>
      <w:r w:rsidRPr="00793007">
        <w:t xml:space="preserve"> </w:t>
      </w:r>
      <w:hyperlink r:id="rId1" w:history="1">
        <w:r w:rsidR="008B2C72" w:rsidRPr="00EC0328">
          <w:rPr>
            <w:rStyle w:val="Hiperhivatkozs"/>
          </w:rPr>
          <w:t>http://www.ksh.hu/apps/hntr.telepules?p_lang=HU&amp;p_id=13578</w:t>
        </w:r>
      </w:hyperlink>
      <w:r w:rsidR="008B2C72">
        <w:t xml:space="preserve"> </w:t>
      </w:r>
    </w:p>
  </w:endnote>
  <w:endnote w:id="2">
    <w:p w14:paraId="29E5B712" w14:textId="77777777" w:rsidR="00602D2E" w:rsidRPr="00793007" w:rsidRDefault="00602D2E" w:rsidP="00831A4F">
      <w:pPr>
        <w:pStyle w:val="Vgjegyzet"/>
      </w:pPr>
      <w:r w:rsidRPr="00793007">
        <w:rPr>
          <w:rStyle w:val="Vgjegyzet-hivatkozs"/>
        </w:rPr>
        <w:endnoteRef/>
      </w:r>
      <w:r w:rsidRPr="00793007">
        <w:t xml:space="preserve"> 767/2013. (IV. 24.) Főv. Kgy. határozattal jóváhagyott BUDAPEST 2030 hosszú távú városfejlesztési koncepció</w:t>
      </w:r>
    </w:p>
  </w:endnote>
  <w:endnote w:id="3">
    <w:p w14:paraId="6CAD00A2" w14:textId="3E98D883" w:rsidR="00602D2E" w:rsidRPr="00793007" w:rsidRDefault="00602D2E" w:rsidP="00831A4F">
      <w:pPr>
        <w:pStyle w:val="Vgjegyzet"/>
      </w:pPr>
      <w:r w:rsidRPr="00793007">
        <w:rPr>
          <w:rStyle w:val="Vgjegyzet-hivatkozs"/>
        </w:rPr>
        <w:endnoteRef/>
      </w:r>
      <w:r w:rsidRPr="00793007">
        <w:t xml:space="preserve"> </w:t>
      </w:r>
      <w:hyperlink r:id="rId2" w:history="1">
        <w:r w:rsidR="008B2C72" w:rsidRPr="00EC0328">
          <w:rPr>
            <w:rStyle w:val="Hiperhivatkozs"/>
          </w:rPr>
          <w:t>http://www.takarnet.hu/</w:t>
        </w:r>
      </w:hyperlink>
      <w:r w:rsidR="008B2C72">
        <w:t xml:space="preserve"> </w:t>
      </w:r>
    </w:p>
  </w:endnote>
  <w:endnote w:id="4">
    <w:p w14:paraId="43FE318D" w14:textId="77777777" w:rsidR="00602D2E" w:rsidRPr="00793007" w:rsidRDefault="00602D2E" w:rsidP="00831A4F">
      <w:pPr>
        <w:pStyle w:val="Vgjegyzet"/>
      </w:pPr>
      <w:r w:rsidRPr="00793007">
        <w:rPr>
          <w:rStyle w:val="Vgjegyzet-hivatkozs"/>
        </w:rPr>
        <w:endnoteRef/>
      </w:r>
      <w:r w:rsidRPr="00793007">
        <w:t xml:space="preserve"> 1997. évi CXLI. törvény az ingatlan-nyilvántartásról</w:t>
      </w:r>
    </w:p>
  </w:endnote>
  <w:endnote w:id="5">
    <w:p w14:paraId="54020329" w14:textId="79968D54" w:rsidR="00EC15A0" w:rsidRDefault="00EC15A0" w:rsidP="00831A4F">
      <w:pPr>
        <w:pStyle w:val="Vgjegyzet"/>
      </w:pPr>
      <w:r>
        <w:rPr>
          <w:rStyle w:val="Vgjegyzet-hivatkozs"/>
        </w:rPr>
        <w:endnoteRef/>
      </w:r>
      <w:r>
        <w:t xml:space="preserve"> </w:t>
      </w:r>
      <w:hyperlink r:id="rId3" w:history="1">
        <w:r w:rsidRPr="00EC15A0">
          <w:rPr>
            <w:rStyle w:val="Hiperhivatkozs"/>
          </w:rPr>
          <w:t>https://land.copernicus.eu/pan-european/high-resolution-layers/imperviousness</w:t>
        </w:r>
      </w:hyperlink>
    </w:p>
  </w:endnote>
  <w:endnote w:id="6">
    <w:p w14:paraId="5ABDDBFD" w14:textId="6ACF409B" w:rsidR="005468D2" w:rsidRDefault="005468D2" w:rsidP="00831A4F">
      <w:pPr>
        <w:pStyle w:val="Vgjegyzet"/>
      </w:pPr>
      <w:r>
        <w:rPr>
          <w:rStyle w:val="Vgjegyzet-hivatkozs"/>
        </w:rPr>
        <w:endnoteRef/>
      </w:r>
      <w:r>
        <w:t xml:space="preserve"> </w:t>
      </w:r>
      <w:hyperlink r:id="rId4" w:history="1">
        <w:r w:rsidRPr="005468D2">
          <w:rPr>
            <w:rStyle w:val="Hiperhivatkozs"/>
          </w:rPr>
          <w:t>https://ec.europa.eu/eurostat</w:t>
        </w:r>
      </w:hyperlink>
    </w:p>
  </w:endnote>
  <w:endnote w:id="7">
    <w:p w14:paraId="308DDC25" w14:textId="478928AD" w:rsidR="007A03C3" w:rsidRPr="00793007" w:rsidRDefault="007A03C3" w:rsidP="00831A4F">
      <w:pPr>
        <w:pStyle w:val="Vgjegyzet"/>
      </w:pPr>
      <w:r w:rsidRPr="00793007">
        <w:rPr>
          <w:rStyle w:val="Vgjegyzet-hivatkozs"/>
        </w:rPr>
        <w:endnoteRef/>
      </w:r>
      <w:r w:rsidRPr="00793007">
        <w:t xml:space="preserve"> </w:t>
      </w:r>
      <w:hyperlink r:id="rId5" w:history="1">
        <w:r w:rsidR="005468D2" w:rsidRPr="005468D2">
          <w:rPr>
            <w:rStyle w:val="Hiperhivatkozs"/>
          </w:rPr>
          <w:t>https://www.oecd.org/regional/regional-statistics/functional-urban-areas.htm</w:t>
        </w:r>
      </w:hyperlink>
    </w:p>
  </w:endnote>
  <w:endnote w:id="8">
    <w:p w14:paraId="383B937C" w14:textId="77777777" w:rsidR="00C31C6B" w:rsidRPr="00DD1CB5" w:rsidRDefault="00C31C6B" w:rsidP="00831A4F">
      <w:pPr>
        <w:pStyle w:val="Vgjegyzet"/>
      </w:pPr>
      <w:r w:rsidRPr="00DD1CB5">
        <w:rPr>
          <w:rStyle w:val="Vgjegyzet-hivatkozs"/>
        </w:rPr>
        <w:endnoteRef/>
      </w:r>
      <w:r w:rsidRPr="00DD1CB5">
        <w:t xml:space="preserve"> az Egyesült Nemzetek Oktatási, Tudományos és Kulturális Szervezete 1972. november 16-án kelt, az 1985. évi 21. törvényerejű rendelettel kihirdetett, a világ kulturális és természeti örökségének védelméről szóló egyezménnyel összhangban a 2011. évi LXXVII. törvény a világörökségről</w:t>
      </w:r>
    </w:p>
  </w:endnote>
  <w:endnote w:id="9">
    <w:p w14:paraId="6095DE93" w14:textId="21128789" w:rsidR="00C31C6B" w:rsidRPr="00DD1CB5" w:rsidRDefault="00C31C6B" w:rsidP="00831A4F">
      <w:pPr>
        <w:pStyle w:val="Vgjegyzet"/>
      </w:pPr>
      <w:r w:rsidRPr="00DD1CB5">
        <w:rPr>
          <w:rStyle w:val="Vgjegyzet-hivatkozs"/>
        </w:rPr>
        <w:endnoteRef/>
      </w:r>
      <w:r w:rsidR="004E25E9">
        <w:t> </w:t>
      </w:r>
      <w:r w:rsidRPr="00DD1CB5">
        <w:t>7/2005. (III. 1.) NKÖM rendelet Budapest és Pannonhalma világörökségi helyszíneinek műemléki jelentőségű területté nyilvánításáról</w:t>
      </w:r>
    </w:p>
  </w:endnote>
  <w:endnote w:id="10">
    <w:p w14:paraId="3185B114" w14:textId="77777777" w:rsidR="003017E0" w:rsidRPr="00DD1CB5" w:rsidRDefault="003017E0" w:rsidP="004E25E9">
      <w:pPr>
        <w:pStyle w:val="Vgjegyzet"/>
      </w:pPr>
      <w:r w:rsidRPr="00DD1CB5">
        <w:rPr>
          <w:rStyle w:val="Vgjegyzet-hivatkozs"/>
        </w:rPr>
        <w:endnoteRef/>
      </w:r>
      <w:r w:rsidRPr="00DD1CB5">
        <w:t xml:space="preserve"> 2001. évi LXIV. törvény a kulturális örökség védelméről</w:t>
      </w:r>
    </w:p>
  </w:endnote>
  <w:endnote w:id="11">
    <w:p w14:paraId="6B29F3F5" w14:textId="3DDB66AC" w:rsidR="003017E0" w:rsidRPr="00417BDD" w:rsidRDefault="003017E0" w:rsidP="004E25E9">
      <w:pPr>
        <w:pStyle w:val="Vgjegyzet"/>
      </w:pPr>
      <w:r w:rsidRPr="00DD1CB5">
        <w:rPr>
          <w:rStyle w:val="Vgjegyzet-hivatkozs"/>
        </w:rPr>
        <w:endnoteRef/>
      </w:r>
      <w:r w:rsidRPr="00DD1CB5">
        <w:t xml:space="preserve"> 1997. évi LXXVIII. törvény az épített környezet alakításáról és védelméről</w:t>
      </w:r>
    </w:p>
  </w:endnote>
  <w:endnote w:id="12">
    <w:p w14:paraId="4C79EEB7" w14:textId="45077AB4" w:rsidR="003017E0" w:rsidRDefault="003017E0" w:rsidP="004E25E9">
      <w:pPr>
        <w:pStyle w:val="Vgjegyzet"/>
      </w:pPr>
      <w:r>
        <w:rPr>
          <w:rStyle w:val="Vgjegyzet-hivatkozs"/>
        </w:rPr>
        <w:endnoteRef/>
      </w:r>
      <w:r w:rsidR="004E25E9">
        <w:t> </w:t>
      </w:r>
      <w:r w:rsidRPr="005572BD">
        <w:t>Budapest főváros településszerkezeti terve 1651/2017. (XII.6.) Főv. Kgy. határozattal elfogadva – 3.a) jelű szerkezeti tervlap</w:t>
      </w:r>
      <w:r>
        <w:t xml:space="preserve"> </w:t>
      </w:r>
    </w:p>
  </w:endnote>
  <w:endnote w:id="13">
    <w:p w14:paraId="0D582980" w14:textId="77777777" w:rsidR="00E70AE1" w:rsidRDefault="00E70AE1" w:rsidP="004E25E9">
      <w:pPr>
        <w:pStyle w:val="Vgjegyzet"/>
      </w:pPr>
      <w:r w:rsidRPr="001916F0">
        <w:rPr>
          <w:rStyle w:val="Vgjegyzet-hivatkozs"/>
        </w:rPr>
        <w:endnoteRef/>
      </w:r>
      <w:r w:rsidRPr="001916F0">
        <w:t xml:space="preserve"> </w:t>
      </w:r>
      <w:hyperlink r:id="rId6" w:history="1">
        <w:r w:rsidRPr="001916F0">
          <w:rPr>
            <w:rStyle w:val="Hiperhivatkozs"/>
          </w:rPr>
          <w:t>https://land.copernicus.eu/pan-european/high-resolution-layers/imperviousness</w:t>
        </w:r>
      </w:hyperlink>
    </w:p>
  </w:endnote>
  <w:endnote w:id="14">
    <w:p w14:paraId="0A3CC76E" w14:textId="77777777" w:rsidR="00E70AE1" w:rsidRPr="00011651" w:rsidRDefault="00E70AE1" w:rsidP="004E25E9">
      <w:pPr>
        <w:pStyle w:val="Vgjegyzet"/>
      </w:pPr>
      <w:r>
        <w:rPr>
          <w:rStyle w:val="Vgjegyzet-hivatkozs"/>
        </w:rPr>
        <w:endnoteRef/>
      </w:r>
      <w:r>
        <w:t xml:space="preserve"> Tobias Langanke (szerk.) (2018</w:t>
      </w:r>
      <w:r w:rsidRPr="00A717C6">
        <w:t xml:space="preserve">): </w:t>
      </w:r>
      <w:r>
        <w:t>Copernicus Land Monitoring Service – High Resolution Layer Imperviousness: Product Specifications Document</w:t>
      </w:r>
      <w:r w:rsidRPr="00A717C6">
        <w:t xml:space="preserve">. </w:t>
      </w:r>
      <w:r>
        <w:t>European Environment Agency.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4166448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0529B768" w14:textId="5EF54015" w:rsidR="002C26B9" w:rsidRPr="0009067F" w:rsidRDefault="002C26B9" w:rsidP="004D14B0">
        <w:pPr>
          <w:pStyle w:val="llb"/>
          <w:ind w:left="-709" w:right="-853"/>
          <w:rPr>
            <w:color w:val="808080" w:themeColor="background1" w:themeShade="80"/>
          </w:rPr>
        </w:pPr>
        <w:r w:rsidRPr="0009067F">
          <w:rPr>
            <w:color w:val="808080" w:themeColor="background1" w:themeShade="80"/>
          </w:rPr>
          <w:fldChar w:fldCharType="begin"/>
        </w:r>
        <w:r w:rsidRPr="0009067F">
          <w:rPr>
            <w:color w:val="808080" w:themeColor="background1" w:themeShade="80"/>
          </w:rPr>
          <w:instrText>PAGE   \* MERGEFORMAT</w:instrText>
        </w:r>
        <w:r w:rsidRPr="0009067F">
          <w:rPr>
            <w:color w:val="808080" w:themeColor="background1" w:themeShade="80"/>
          </w:rPr>
          <w:fldChar w:fldCharType="separate"/>
        </w:r>
        <w:r w:rsidR="00FF6C9C">
          <w:rPr>
            <w:noProof/>
            <w:color w:val="808080" w:themeColor="background1" w:themeShade="80"/>
          </w:rPr>
          <w:t>8</w:t>
        </w:r>
        <w:r w:rsidRPr="0009067F">
          <w:rPr>
            <w:color w:val="808080" w:themeColor="background1" w:themeShade="80"/>
          </w:rPr>
          <w:fldChar w:fldCharType="end"/>
        </w:r>
      </w:p>
    </w:sdtContent>
  </w:sdt>
  <w:p w14:paraId="2C6DC41C" w14:textId="77777777" w:rsidR="002C26B9" w:rsidRDefault="002C26B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869018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C998AEA" w14:textId="30A5B89A" w:rsidR="002C26B9" w:rsidRPr="007119D7" w:rsidRDefault="002C26B9" w:rsidP="004D14B0">
        <w:pPr>
          <w:pStyle w:val="llb"/>
          <w:ind w:right="-711"/>
          <w:jc w:val="right"/>
          <w:rPr>
            <w:color w:val="808080" w:themeColor="background1" w:themeShade="80"/>
          </w:rPr>
        </w:pPr>
        <w:r w:rsidRPr="007119D7">
          <w:rPr>
            <w:color w:val="808080" w:themeColor="background1" w:themeShade="80"/>
          </w:rPr>
          <w:fldChar w:fldCharType="begin"/>
        </w:r>
        <w:r w:rsidRPr="007119D7">
          <w:rPr>
            <w:color w:val="808080" w:themeColor="background1" w:themeShade="80"/>
          </w:rPr>
          <w:instrText>PAGE   \* MERGEFORMAT</w:instrText>
        </w:r>
        <w:r w:rsidRPr="007119D7">
          <w:rPr>
            <w:color w:val="808080" w:themeColor="background1" w:themeShade="80"/>
          </w:rPr>
          <w:fldChar w:fldCharType="separate"/>
        </w:r>
        <w:r w:rsidR="00FF6C9C">
          <w:rPr>
            <w:noProof/>
            <w:color w:val="808080" w:themeColor="background1" w:themeShade="80"/>
          </w:rPr>
          <w:t>9</w:t>
        </w:r>
        <w:r w:rsidRPr="007119D7">
          <w:rPr>
            <w:color w:val="808080" w:themeColor="background1" w:themeShade="80"/>
          </w:rPr>
          <w:fldChar w:fldCharType="end"/>
        </w:r>
      </w:p>
    </w:sdtContent>
  </w:sdt>
  <w:p w14:paraId="4973007C" w14:textId="77777777" w:rsidR="002C26B9" w:rsidRDefault="002C26B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9569188"/>
      <w:docPartObj>
        <w:docPartGallery w:val="Page Numbers (Bottom of Page)"/>
        <w:docPartUnique/>
      </w:docPartObj>
    </w:sdtPr>
    <w:sdtEndPr>
      <w:rPr>
        <w:b/>
        <w:color w:val="FFFFFF" w:themeColor="background1"/>
      </w:rPr>
    </w:sdtEndPr>
    <w:sdtContent>
      <w:p w14:paraId="312A984B" w14:textId="77777777" w:rsidR="008A6CD3" w:rsidRPr="008A6CD3" w:rsidRDefault="00653F9E" w:rsidP="008A6CD3">
        <w:pPr>
          <w:pStyle w:val="llb"/>
          <w:ind w:right="-2"/>
          <w:jc w:val="right"/>
          <w:rPr>
            <w:b/>
            <w:color w:val="FFFFFF" w:themeColor="background1"/>
          </w:rPr>
        </w:pPr>
      </w:p>
    </w:sdtContent>
  </w:sdt>
  <w:p w14:paraId="4A215262" w14:textId="77777777" w:rsidR="008A6CD3" w:rsidRDefault="008A6CD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9BDB8" w14:textId="77777777" w:rsidR="00653F9E" w:rsidRDefault="00653F9E" w:rsidP="006C431E">
      <w:pPr>
        <w:spacing w:after="0" w:line="240" w:lineRule="auto"/>
      </w:pPr>
      <w:r>
        <w:separator/>
      </w:r>
    </w:p>
  </w:footnote>
  <w:footnote w:type="continuationSeparator" w:id="0">
    <w:p w14:paraId="3B496AF4" w14:textId="77777777" w:rsidR="00653F9E" w:rsidRDefault="00653F9E" w:rsidP="006C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22C50" w14:textId="328B4335" w:rsidR="000F2CE3" w:rsidRPr="000F2CE3" w:rsidRDefault="00750637" w:rsidP="00750637">
    <w:pPr>
      <w:pStyle w:val="lfej"/>
      <w:rPr>
        <w:color w:val="FFFFFF" w:themeColor="background1"/>
      </w:rPr>
    </w:pPr>
    <w:r w:rsidRPr="00750637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73600705" wp14:editId="5F7DEDBB">
              <wp:simplePos x="0" y="0"/>
              <wp:positionH relativeFrom="page">
                <wp:align>left</wp:align>
              </wp:positionH>
              <wp:positionV relativeFrom="paragraph">
                <wp:posOffset>-178056</wp:posOffset>
              </wp:positionV>
              <wp:extent cx="7560000" cy="468000"/>
              <wp:effectExtent l="0" t="0" r="3175" b="8255"/>
              <wp:wrapNone/>
              <wp:docPr id="8" name="Téglalap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95C6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175E08" id="Téglalap 8" o:spid="_x0000_s1026" style="position:absolute;margin-left:0;margin-top:-14pt;width:595.3pt;height:36.85pt;z-index:-25165414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" fillcolor="#95c676" stroked="f" strokeweight="1pt">
              <w10:wrap anchorx="page"/>
            </v:rect>
          </w:pict>
        </mc:Fallback>
      </mc:AlternateContent>
    </w:r>
    <w:r w:rsidR="008E2235" w:rsidRPr="00750637">
      <w:rPr>
        <w:color w:val="FFFFFF" w:themeColor="background1"/>
      </w:rPr>
      <w:t>Épített környezet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EFAB1" w14:textId="77777777" w:rsidR="00274FE6" w:rsidRPr="000F2CE3" w:rsidRDefault="00274FE6" w:rsidP="00274FE6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D1415BE" wp14:editId="0531E7A5">
              <wp:simplePos x="0" y="0"/>
              <wp:positionH relativeFrom="column">
                <wp:posOffset>-894080</wp:posOffset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3" name="Téglalap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95C6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86AFFD" id="Téglalap 3" o:spid="_x0000_s1026" style="position:absolute;margin-left:-70.4pt;margin-top:-13.8pt;width:595.3pt;height:3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" fillcolor="#95c676" stroked="f" strokeweight="1pt"/>
          </w:pict>
        </mc:Fallback>
      </mc:AlternateContent>
    </w:r>
    <w:r>
      <w:rPr>
        <w:color w:val="FFFFFF" w:themeColor="background1"/>
      </w:rPr>
      <w:t>Épített környezet</w:t>
    </w:r>
  </w:p>
  <w:p w14:paraId="20478C03" w14:textId="61238695" w:rsidR="0007331B" w:rsidRPr="00274FE6" w:rsidRDefault="0007331B" w:rsidP="00274FE6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A8363" w14:textId="0E702330" w:rsidR="00AB5C08" w:rsidRPr="00274FE6" w:rsidRDefault="00AB5C08">
    <w:pPr>
      <w:pStyle w:val="lfej"/>
      <w:rPr>
        <w:color w:val="95C676"/>
      </w:rPr>
    </w:pPr>
    <w:r w:rsidRPr="00274FE6">
      <w:rPr>
        <w:noProof/>
        <w:color w:val="95C676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E2F2B27" wp14:editId="266C990A">
              <wp:simplePos x="0" y="0"/>
              <wp:positionH relativeFrom="column">
                <wp:posOffset>-894080</wp:posOffset>
              </wp:positionH>
              <wp:positionV relativeFrom="paragraph">
                <wp:posOffset>-270510</wp:posOffset>
              </wp:positionV>
              <wp:extent cx="7560000" cy="576000"/>
              <wp:effectExtent l="0" t="0" r="3175" b="0"/>
              <wp:wrapNone/>
              <wp:docPr id="13" name="Téglalap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7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8C2625" id="Téglalap 13" o:spid="_x0000_s1026" style="position:absolute;margin-left:-70.4pt;margin-top:-21.3pt;width:595.3pt;height:45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" fillcolor="#d8d8d8 [2732]" stroked="f" strokeweight="1pt"/>
          </w:pict>
        </mc:Fallback>
      </mc:AlternateContent>
    </w:r>
    <w:r w:rsidRPr="00274FE6">
      <w:rPr>
        <w:color w:val="95C676"/>
      </w:rPr>
      <w:t xml:space="preserve">Épített </w:t>
    </w:r>
    <w:r w:rsidR="00274FE6" w:rsidRPr="00274FE6">
      <w:rPr>
        <w:color w:val="95C676"/>
      </w:rPr>
      <w:t>környezet</w:t>
    </w:r>
    <w:r w:rsidRPr="00274FE6">
      <w:rPr>
        <w:color w:val="95C676"/>
      </w:rPr>
      <w:t xml:space="preserve"> | Függelék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F6DB" w14:textId="31F24447" w:rsidR="00A7544D" w:rsidRPr="00715C52" w:rsidRDefault="00A7544D">
    <w:pPr>
      <w:pStyle w:val="lfej"/>
      <w:rPr>
        <w:color w:val="95C676"/>
      </w:rPr>
    </w:pPr>
    <w:r w:rsidRPr="00715C52">
      <w:rPr>
        <w:noProof/>
        <w:color w:val="95C676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0622A98" wp14:editId="2108C696">
              <wp:simplePos x="0" y="0"/>
              <wp:positionH relativeFrom="column">
                <wp:posOffset>-894080</wp:posOffset>
              </wp:positionH>
              <wp:positionV relativeFrom="paragraph">
                <wp:posOffset>-270510</wp:posOffset>
              </wp:positionV>
              <wp:extent cx="7560000" cy="576000"/>
              <wp:effectExtent l="0" t="0" r="3175" b="0"/>
              <wp:wrapNone/>
              <wp:docPr id="14" name="Téglalap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7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907DC" id="Téglalap 14" o:spid="_x0000_s1026" style="position:absolute;margin-left:-70.4pt;margin-top:-21.3pt;width:595.3pt;height:45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" fillcolor="#d8d8d8 [2732]" stroked="f" strokeweight="1pt"/>
          </w:pict>
        </mc:Fallback>
      </mc:AlternateContent>
    </w:r>
    <w:r w:rsidR="00274FE6">
      <w:rPr>
        <w:color w:val="95C676"/>
      </w:rPr>
      <w:t>Épített környezet</w:t>
    </w:r>
    <w:r w:rsidRPr="00715C52">
      <w:rPr>
        <w:color w:val="95C676"/>
      </w:rPr>
      <w:t xml:space="preserve"> | Függelék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F4512"/>
    <w:multiLevelType w:val="hybridMultilevel"/>
    <w:tmpl w:val="B40261EE"/>
    <w:lvl w:ilvl="0" w:tplc="29646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5C676"/>
      </w:rPr>
    </w:lvl>
    <w:lvl w:ilvl="1" w:tplc="704A2C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95C676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347D"/>
    <w:multiLevelType w:val="hybridMultilevel"/>
    <w:tmpl w:val="DE562A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98535E"/>
    <w:multiLevelType w:val="hybridMultilevel"/>
    <w:tmpl w:val="0538771C"/>
    <w:lvl w:ilvl="0" w:tplc="A8508AE0">
      <w:start w:val="1"/>
      <w:numFmt w:val="bullet"/>
      <w:lvlText w:val="»"/>
      <w:lvlJc w:val="left"/>
      <w:pPr>
        <w:ind w:left="1080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D071CC"/>
    <w:multiLevelType w:val="hybridMultilevel"/>
    <w:tmpl w:val="66AEA75E"/>
    <w:lvl w:ilvl="0" w:tplc="C00C1F92">
      <w:start w:val="1"/>
      <w:numFmt w:val="bullet"/>
      <w:pStyle w:val="Listaszerbekezds"/>
      <w:lvlText w:val="●"/>
      <w:lvlJc w:val="left"/>
      <w:pPr>
        <w:ind w:left="360" w:hanging="360"/>
      </w:pPr>
      <w:rPr>
        <w:rFonts w:ascii="Segoe UI Semibold" w:hAnsi="Segoe UI Semibold" w:hint="default"/>
        <w:color w:val="95C67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F5A21"/>
    <w:multiLevelType w:val="hybridMultilevel"/>
    <w:tmpl w:val="DEBC88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E026B"/>
    <w:multiLevelType w:val="hybridMultilevel"/>
    <w:tmpl w:val="FE6E4F84"/>
    <w:lvl w:ilvl="0" w:tplc="7B6A26D0">
      <w:start w:val="1"/>
      <w:numFmt w:val="bullet"/>
      <w:lvlText w:val=""/>
      <w:lvlJc w:val="left"/>
      <w:pPr>
        <w:tabs>
          <w:tab w:val="num" w:pos="284"/>
        </w:tabs>
        <w:ind w:left="454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935D7"/>
    <w:multiLevelType w:val="hybridMultilevel"/>
    <w:tmpl w:val="C4988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C2278"/>
    <w:multiLevelType w:val="hybridMultilevel"/>
    <w:tmpl w:val="13863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15048"/>
    <w:multiLevelType w:val="hybridMultilevel"/>
    <w:tmpl w:val="D97CF906"/>
    <w:lvl w:ilvl="0" w:tplc="29646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5C676"/>
      </w:rPr>
    </w:lvl>
    <w:lvl w:ilvl="1" w:tplc="0A247E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95C676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abstractNum w:abstractNumId="10" w15:restartNumberingAfterBreak="0">
    <w:nsid w:val="7C727913"/>
    <w:multiLevelType w:val="hybridMultilevel"/>
    <w:tmpl w:val="608429C6"/>
    <w:lvl w:ilvl="0" w:tplc="7B6A26D0">
      <w:start w:val="1"/>
      <w:numFmt w:val="bullet"/>
      <w:lvlText w:val=""/>
      <w:lvlJc w:val="left"/>
      <w:pPr>
        <w:tabs>
          <w:tab w:val="num" w:pos="284"/>
        </w:tabs>
        <w:ind w:left="454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7331B"/>
    <w:rsid w:val="0009067F"/>
    <w:rsid w:val="000A1C9B"/>
    <w:rsid w:val="000F2CE3"/>
    <w:rsid w:val="001544A5"/>
    <w:rsid w:val="00175AC7"/>
    <w:rsid w:val="00192D77"/>
    <w:rsid w:val="001972E8"/>
    <w:rsid w:val="001A0CC1"/>
    <w:rsid w:val="001A0FC7"/>
    <w:rsid w:val="001C5359"/>
    <w:rsid w:val="001F103D"/>
    <w:rsid w:val="002319BC"/>
    <w:rsid w:val="00237645"/>
    <w:rsid w:val="00274FE6"/>
    <w:rsid w:val="002871A2"/>
    <w:rsid w:val="002C26B9"/>
    <w:rsid w:val="002D7F1D"/>
    <w:rsid w:val="002E4869"/>
    <w:rsid w:val="003017E0"/>
    <w:rsid w:val="003027F8"/>
    <w:rsid w:val="00363B85"/>
    <w:rsid w:val="00393D74"/>
    <w:rsid w:val="003E6C84"/>
    <w:rsid w:val="00431513"/>
    <w:rsid w:val="0045351E"/>
    <w:rsid w:val="004A7DAF"/>
    <w:rsid w:val="004D14B0"/>
    <w:rsid w:val="004D767C"/>
    <w:rsid w:val="004E25E9"/>
    <w:rsid w:val="004F0170"/>
    <w:rsid w:val="00543B96"/>
    <w:rsid w:val="005468D2"/>
    <w:rsid w:val="005D488D"/>
    <w:rsid w:val="00602D2E"/>
    <w:rsid w:val="00643DC7"/>
    <w:rsid w:val="00653F9E"/>
    <w:rsid w:val="00661147"/>
    <w:rsid w:val="006C431E"/>
    <w:rsid w:val="006D2F1B"/>
    <w:rsid w:val="006D7E71"/>
    <w:rsid w:val="00700F36"/>
    <w:rsid w:val="007119D7"/>
    <w:rsid w:val="00715C52"/>
    <w:rsid w:val="0073231B"/>
    <w:rsid w:val="00734577"/>
    <w:rsid w:val="00735A77"/>
    <w:rsid w:val="00750637"/>
    <w:rsid w:val="00762B74"/>
    <w:rsid w:val="00795F06"/>
    <w:rsid w:val="007A03C3"/>
    <w:rsid w:val="0080455C"/>
    <w:rsid w:val="00831A4F"/>
    <w:rsid w:val="00887E60"/>
    <w:rsid w:val="008A6CD3"/>
    <w:rsid w:val="008B2C72"/>
    <w:rsid w:val="008D4010"/>
    <w:rsid w:val="008E163E"/>
    <w:rsid w:val="008E2235"/>
    <w:rsid w:val="00902C14"/>
    <w:rsid w:val="009154E5"/>
    <w:rsid w:val="00957CCA"/>
    <w:rsid w:val="00971119"/>
    <w:rsid w:val="00975114"/>
    <w:rsid w:val="009A6136"/>
    <w:rsid w:val="009A6CE4"/>
    <w:rsid w:val="009C16E4"/>
    <w:rsid w:val="00A047E2"/>
    <w:rsid w:val="00A228A4"/>
    <w:rsid w:val="00A3451F"/>
    <w:rsid w:val="00A3527E"/>
    <w:rsid w:val="00A50615"/>
    <w:rsid w:val="00A66803"/>
    <w:rsid w:val="00A7544D"/>
    <w:rsid w:val="00AB5C08"/>
    <w:rsid w:val="00AD18EB"/>
    <w:rsid w:val="00AE3938"/>
    <w:rsid w:val="00B33969"/>
    <w:rsid w:val="00B468E8"/>
    <w:rsid w:val="00B6592B"/>
    <w:rsid w:val="00B81FF0"/>
    <w:rsid w:val="00B86F1A"/>
    <w:rsid w:val="00B9308C"/>
    <w:rsid w:val="00BA55C7"/>
    <w:rsid w:val="00BC702A"/>
    <w:rsid w:val="00C31C6B"/>
    <w:rsid w:val="00C35340"/>
    <w:rsid w:val="00C42CDE"/>
    <w:rsid w:val="00C53A3C"/>
    <w:rsid w:val="00CC609A"/>
    <w:rsid w:val="00CC6209"/>
    <w:rsid w:val="00D352AF"/>
    <w:rsid w:val="00D469E0"/>
    <w:rsid w:val="00D95444"/>
    <w:rsid w:val="00E201F8"/>
    <w:rsid w:val="00E33245"/>
    <w:rsid w:val="00E573F5"/>
    <w:rsid w:val="00E62502"/>
    <w:rsid w:val="00E70AE1"/>
    <w:rsid w:val="00EB09AC"/>
    <w:rsid w:val="00EC15A0"/>
    <w:rsid w:val="00ED23DB"/>
    <w:rsid w:val="00F06042"/>
    <w:rsid w:val="00F26FD3"/>
    <w:rsid w:val="00F30084"/>
    <w:rsid w:val="00F33344"/>
    <w:rsid w:val="00F36AB8"/>
    <w:rsid w:val="00F43ED9"/>
    <w:rsid w:val="00F562C8"/>
    <w:rsid w:val="00F60578"/>
    <w:rsid w:val="00FA689C"/>
    <w:rsid w:val="00FD0649"/>
    <w:rsid w:val="00FD25D9"/>
    <w:rsid w:val="00FE77A6"/>
    <w:rsid w:val="00FF6AD2"/>
    <w:rsid w:val="00FF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063A6"/>
  <w15:chartTrackingRefBased/>
  <w15:docId w15:val="{499EE5EF-63DA-4450-B972-AF8F545C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rsid w:val="006C431E"/>
    <w:pPr>
      <w:keepNext/>
      <w:pageBreakBefore/>
      <w:numPr>
        <w:numId w:val="5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715C52"/>
    <w:pPr>
      <w:numPr>
        <w:ilvl w:val="0"/>
        <w:numId w:val="0"/>
      </w:numPr>
      <w:pBdr>
        <w:top w:val="single" w:sz="18" w:space="10" w:color="95C676"/>
      </w:pBdr>
      <w:spacing w:before="0" w:after="360" w:line="276" w:lineRule="auto"/>
      <w:jc w:val="left"/>
      <w:outlineLvl w:val="2"/>
    </w:pPr>
    <w:rPr>
      <w:color w:val="95C676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715C52"/>
    <w:rPr>
      <w:rFonts w:ascii="Arial" w:eastAsia="Calibri" w:hAnsi="Arial" w:cs="Arial"/>
      <w:b/>
      <w:color w:val="95C676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715C52"/>
    <w:pPr>
      <w:numPr>
        <w:numId w:val="6"/>
      </w:numPr>
      <w:autoSpaceDE w:val="0"/>
      <w:autoSpaceDN w:val="0"/>
      <w:adjustRightInd w:val="0"/>
      <w:spacing w:after="0"/>
    </w:pPr>
  </w:style>
  <w:style w:type="paragraph" w:customStyle="1" w:styleId="Cmsorvgjegyzetben">
    <w:name w:val="Címsor_végjegyzetben"/>
    <w:basedOn w:val="Cmsor2"/>
    <w:uiPriority w:val="99"/>
    <w:qFormat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33245"/>
    <w:rPr>
      <w:rFonts w:ascii="Arial" w:eastAsia="Times New Roman" w:hAnsi="Arial" w:cs="Arial"/>
      <w:sz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styleId="Tblzatrcsos5stt3jellszn">
    <w:name w:val="Grid Table 5 Dark Accent 3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6jellszn">
    <w:name w:val="Grid Table 5 Dark Accent 6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46jellszn">
    <w:name w:val="Grid Table 4 Accent 6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styleId="Tblzatrcsos1vilgos6jellszn">
    <w:name w:val="Grid Table 1 Light Accent 6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character" w:styleId="Mrltotthiperhivatkozs">
    <w:name w:val="FollowedHyperlink"/>
    <w:basedOn w:val="Bekezdsalapbettpusa"/>
    <w:uiPriority w:val="99"/>
    <w:semiHidden/>
    <w:unhideWhenUsed/>
    <w:rsid w:val="005468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and.copernicus.eu/pan-european/high-resolution-layers/imperviousness" TargetMode="External"/><Relationship Id="rId2" Type="http://schemas.openxmlformats.org/officeDocument/2006/relationships/hyperlink" Target="http://www.takarnet.hu/" TargetMode="External"/><Relationship Id="rId1" Type="http://schemas.openxmlformats.org/officeDocument/2006/relationships/hyperlink" Target="http://www.ksh.hu/apps/hntr.telepules?p_lang=HU&amp;p_id=13578" TargetMode="External"/><Relationship Id="rId6" Type="http://schemas.openxmlformats.org/officeDocument/2006/relationships/hyperlink" Target="https://land.copernicus.eu/pan-european/high-resolution-layers/imperviousness" TargetMode="External"/><Relationship Id="rId5" Type="http://schemas.openxmlformats.org/officeDocument/2006/relationships/hyperlink" Target="https://www.oecd.org/regional/regional-statistics/functional-urban-areas.htm" TargetMode="External"/><Relationship Id="rId4" Type="http://schemas.openxmlformats.org/officeDocument/2006/relationships/hyperlink" Target="https://ec.europa.eu/eurosta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-munkalap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bfvt-dc1\Common\BP_Kornyezetallapot_2018\Z&#246;ldfel&#252;letek\TALAJLEZ&#193;R&#193;S\talajlez&#225;r&#225;s_%25_v&#225;roso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spPr>
            <a:solidFill>
              <a:srgbClr val="9999FF"/>
            </a:solidFill>
            <a:ln w="25400">
              <a:noFill/>
            </a:ln>
          </c:spPr>
          <c:dPt>
            <c:idx val="0"/>
            <c:bubble3D val="0"/>
            <c:spPr>
              <a:solidFill>
                <a:srgbClr val="FFA0A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1-88B7-4EF2-9726-1A9D7151F9A4}"/>
              </c:ext>
            </c:extLst>
          </c:dPt>
          <c:dPt>
            <c:idx val="1"/>
            <c:bubble3D val="0"/>
            <c:spPr>
              <a:solidFill>
                <a:srgbClr val="FF808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3-88B7-4EF2-9726-1A9D7151F9A4}"/>
              </c:ext>
            </c:extLst>
          </c:dPt>
          <c:dPt>
            <c:idx val="2"/>
            <c:bubble3D val="0"/>
            <c:spPr>
              <a:solidFill>
                <a:srgbClr val="FF505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5-88B7-4EF2-9726-1A9D7151F9A4}"/>
              </c:ext>
            </c:extLst>
          </c:dPt>
          <c:dPt>
            <c:idx val="3"/>
            <c:bubble3D val="0"/>
            <c:spPr>
              <a:solidFill>
                <a:srgbClr val="FF202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7-88B7-4EF2-9726-1A9D7151F9A4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9-88B7-4EF2-9726-1A9D7151F9A4}"/>
              </c:ext>
            </c:extLst>
          </c:dPt>
          <c:dPt>
            <c:idx val="5"/>
            <c:bubble3D val="0"/>
            <c:spPr>
              <a:solidFill>
                <a:srgbClr val="90000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B-88B7-4EF2-9726-1A9D7151F9A4}"/>
              </c:ext>
            </c:extLst>
          </c:dPt>
          <c:dPt>
            <c:idx val="6"/>
            <c:bubble3D val="0"/>
            <c:spPr>
              <a:solidFill>
                <a:srgbClr val="FF983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D-88B7-4EF2-9726-1A9D7151F9A4}"/>
              </c:ext>
            </c:extLst>
          </c:dPt>
          <c:dPt>
            <c:idx val="7"/>
            <c:bubble3D val="0"/>
            <c:spPr>
              <a:solidFill>
                <a:srgbClr val="FFB06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F-88B7-4EF2-9726-1A9D7151F9A4}"/>
              </c:ext>
            </c:extLst>
          </c:dPt>
          <c:dPt>
            <c:idx val="8"/>
            <c:bubble3D val="0"/>
            <c:spPr>
              <a:solidFill>
                <a:srgbClr val="A6A6A6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11-88B7-4EF2-9726-1A9D7151F9A4}"/>
              </c:ext>
            </c:extLst>
          </c:dPt>
          <c:dPt>
            <c:idx val="9"/>
            <c:bubble3D val="0"/>
            <c:spPr>
              <a:solidFill>
                <a:srgbClr val="C0C0C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13-88B7-4EF2-9726-1A9D7151F9A4}"/>
              </c:ext>
            </c:extLst>
          </c:dPt>
          <c:dPt>
            <c:idx val="10"/>
            <c:bubble3D val="0"/>
            <c:spPr>
              <a:solidFill>
                <a:srgbClr val="90F00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15-88B7-4EF2-9726-1A9D7151F9A4}"/>
              </c:ext>
            </c:extLst>
          </c:dPt>
          <c:dPt>
            <c:idx val="11"/>
            <c:bubble3D val="0"/>
            <c:spPr>
              <a:solidFill>
                <a:srgbClr val="60A00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17-88B7-4EF2-9726-1A9D7151F9A4}"/>
              </c:ext>
            </c:extLst>
          </c:dPt>
          <c:dPt>
            <c:idx val="12"/>
            <c:bubble3D val="0"/>
            <c:spPr>
              <a:solidFill>
                <a:srgbClr val="B0FFFF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19-88B7-4EF2-9726-1A9D7151F9A4}"/>
              </c:ext>
            </c:extLst>
          </c:dPt>
          <c:dPt>
            <c:idx val="13"/>
            <c:bubble3D val="0"/>
            <c:spPr>
              <a:solidFill>
                <a:srgbClr val="FFFF9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1B-88B7-4EF2-9726-1A9D7151F9A4}"/>
              </c:ext>
            </c:extLst>
          </c:dPt>
          <c:dPt>
            <c:idx val="14"/>
            <c:bubble3D val="0"/>
            <c:spPr>
              <a:solidFill>
                <a:schemeClr val="bg1"/>
              </a:solidFill>
              <a:ln w="12700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D-88B7-4EF2-9726-1A9D7151F9A4}"/>
              </c:ext>
            </c:extLst>
          </c:dPt>
          <c:dLbls>
            <c:dLbl>
              <c:idx val="0"/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88B7-4EF2-9726-1A9D7151F9A4}"/>
                </c:ext>
              </c:extLst>
            </c:dLbl>
            <c:dLbl>
              <c:idx val="1"/>
              <c:layout>
                <c:manualLayout>
                  <c:x val="5.8771672054069935E-3"/>
                  <c:y val="-1.8337408312958436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8B7-4EF2-9726-1A9D7151F9A4}"/>
                </c:ext>
              </c:extLst>
            </c:dLbl>
            <c:dLbl>
              <c:idx val="2"/>
              <c:layout>
                <c:manualLayout>
                  <c:x val="5.2237372767427381E-3"/>
                  <c:y val="-4.1916138844502624E-3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rgbClr val="000000"/>
                        </a:solidFill>
                        <a:latin typeface="Arial" panose="020B0604020202020204" pitchFamily="34" charset="0"/>
                        <a:ea typeface="Arial"/>
                        <a:cs typeface="Arial" panose="020B0604020202020204" pitchFamily="34" charset="0"/>
                      </a:defRPr>
                    </a:pPr>
                    <a:r>
                      <a:rPr lang="en-US" sz="800" b="0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1%</a:t>
                    </a:r>
                  </a:p>
                </c:rich>
              </c:tx>
              <c:numFmt formatCode="0%" sourceLinked="0"/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8B7-4EF2-9726-1A9D7151F9A4}"/>
                </c:ext>
              </c:extLst>
            </c:dLbl>
            <c:dLbl>
              <c:idx val="3"/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88B7-4EF2-9726-1A9D7151F9A4}"/>
                </c:ext>
              </c:extLst>
            </c:dLbl>
            <c:dLbl>
              <c:idx val="4"/>
              <c:layout>
                <c:manualLayout>
                  <c:x val="0"/>
                  <c:y val="1.2224938875305624E-2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rgbClr val="000000"/>
                        </a:solidFill>
                        <a:latin typeface="Arial" panose="020B0604020202020204" pitchFamily="34" charset="0"/>
                        <a:ea typeface="Arial"/>
                        <a:cs typeface="Arial" panose="020B0604020202020204" pitchFamily="34" charset="0"/>
                      </a:defRPr>
                    </a:pPr>
                    <a:r>
                      <a:rPr lang="en-US" sz="800" b="0" i="0" u="none" strike="noStrike" baseline="0">
                        <a:solidFill>
                          <a:srgbClr val="000000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1%</a:t>
                    </a:r>
                  </a:p>
                </c:rich>
              </c:tx>
              <c:numFmt formatCode="0%" sourceLinked="0"/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8B7-4EF2-9726-1A9D7151F9A4}"/>
                </c:ext>
              </c:extLst>
            </c:dLbl>
            <c:dLbl>
              <c:idx val="6"/>
              <c:layout>
                <c:manualLayout>
                  <c:x val="1.7631501616220874E-2"/>
                  <c:y val="-9.1687041564792182E-3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323267334750949"/>
                      <c:h val="8.065427487823190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88B7-4EF2-9726-1A9D7151F9A4}"/>
                </c:ext>
              </c:extLst>
            </c:dLbl>
            <c:dLbl>
              <c:idx val="7"/>
              <c:layout>
                <c:manualLayout>
                  <c:x val="-1.4451121173767472E-2"/>
                  <c:y val="1.4856669811139133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8B7-4EF2-9726-1A9D7151F9A4}"/>
                </c:ext>
              </c:extLst>
            </c:dLbl>
            <c:dLbl>
              <c:idx val="8"/>
              <c:layout>
                <c:manualLayout>
                  <c:x val="-4.7017337643256059E-2"/>
                  <c:y val="6.1124694376528121E-3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8B7-4EF2-9726-1A9D7151F9A4}"/>
                </c:ext>
              </c:extLst>
            </c:dLbl>
            <c:dLbl>
              <c:idx val="9"/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3-88B7-4EF2-9726-1A9D7151F9A4}"/>
                </c:ext>
              </c:extLst>
            </c:dLbl>
            <c:dLbl>
              <c:idx val="10"/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5-88B7-4EF2-9726-1A9D7151F9A4}"/>
                </c:ext>
              </c:extLst>
            </c:dLbl>
            <c:dLbl>
              <c:idx val="1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7-88B7-4EF2-9726-1A9D7151F9A4}"/>
                </c:ext>
              </c:extLst>
            </c:dLbl>
            <c:dLbl>
              <c:idx val="12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9-88B7-4EF2-9726-1A9D7151F9A4}"/>
                </c:ext>
              </c:extLst>
            </c:dLbl>
            <c:dLbl>
              <c:idx val="13"/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B-88B7-4EF2-9726-1A9D7151F9A4}"/>
                </c:ext>
              </c:extLst>
            </c:dLbl>
            <c:dLbl>
              <c:idx val="14"/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 panose="020B0604020202020204" pitchFamily="34" charset="0"/>
                      <a:ea typeface="Calibri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D-88B7-4EF2-9726-1A9D7151F9A4}"/>
                </c:ext>
              </c:extLst>
            </c:dLbl>
            <c:numFmt formatCode="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hu-HU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Ha_Egyben!$A$3:$A$17</c:f>
              <c:strCache>
                <c:ptCount val="15"/>
                <c:pt idx="0">
                  <c:v>Lakóterületek (L)</c:v>
                </c:pt>
                <c:pt idx="1">
                  <c:v>Intézményi területek (I)</c:v>
                </c:pt>
                <c:pt idx="2">
                  <c:v>Irodaterületek (O)</c:v>
                </c:pt>
                <c:pt idx="3">
                  <c:v>Kereskedelmi, szolgáltató területek (S)</c:v>
                </c:pt>
                <c:pt idx="4">
                  <c:v>Tömbfunkciós városisas területek (T)</c:v>
                </c:pt>
                <c:pt idx="5">
                  <c:v>Gazdasági területek (G)</c:v>
                </c:pt>
                <c:pt idx="6">
                  <c:v>Rekreációs területek ( R)</c:v>
                </c:pt>
                <c:pt idx="7">
                  <c:v>Különleges területek (X)</c:v>
                </c:pt>
                <c:pt idx="8">
                  <c:v>Városüzemeltetési területek (V)</c:v>
                </c:pt>
                <c:pt idx="9">
                  <c:v>Közlekedési területek (K)</c:v>
                </c:pt>
                <c:pt idx="10">
                  <c:v>Zöldfelületek területi (Z)</c:v>
                </c:pt>
                <c:pt idx="11">
                  <c:v>Természetközeli területek ( E)</c:v>
                </c:pt>
                <c:pt idx="12">
                  <c:v>Vízfelületek területei (W)</c:v>
                </c:pt>
                <c:pt idx="13">
                  <c:v>Mezőgazdasági terület (M)</c:v>
                </c:pt>
                <c:pt idx="14">
                  <c:v>Használaton kívüli területek (H)</c:v>
                </c:pt>
              </c:strCache>
            </c:strRef>
          </c:cat>
          <c:val>
            <c:numRef>
              <c:f>Ha_Egyben!$Z$3:$Z$17</c:f>
              <c:numCache>
                <c:formatCode>#\ ##0.0</c:formatCode>
                <c:ptCount val="15"/>
                <c:pt idx="0">
                  <c:v>15464.521500000001</c:v>
                </c:pt>
                <c:pt idx="1">
                  <c:v>1469.7012999999999</c:v>
                </c:pt>
                <c:pt idx="2">
                  <c:v>338.51119999999997</c:v>
                </c:pt>
                <c:pt idx="3">
                  <c:v>1415.2678000000001</c:v>
                </c:pt>
                <c:pt idx="4">
                  <c:v>110.0646</c:v>
                </c:pt>
                <c:pt idx="5">
                  <c:v>3057.6131999999998</c:v>
                </c:pt>
                <c:pt idx="6">
                  <c:v>895.6626</c:v>
                </c:pt>
                <c:pt idx="7">
                  <c:v>409.96190000000001</c:v>
                </c:pt>
                <c:pt idx="8">
                  <c:v>1087.6846</c:v>
                </c:pt>
                <c:pt idx="9">
                  <c:v>9308.9822000000004</c:v>
                </c:pt>
                <c:pt idx="10">
                  <c:v>1470.0191</c:v>
                </c:pt>
                <c:pt idx="11">
                  <c:v>7280.0495000000001</c:v>
                </c:pt>
                <c:pt idx="12">
                  <c:v>1812.9672</c:v>
                </c:pt>
                <c:pt idx="13">
                  <c:v>6474.5228999999999</c:v>
                </c:pt>
                <c:pt idx="14">
                  <c:v>2020.0663999999999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88B7-4EF2-9726-1A9D7151F9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400">
          <a:noFill/>
        </a:ln>
      </c:spPr>
    </c:plotArea>
    <c:plotVisOnly val="1"/>
    <c:dispBlanksAs val="zero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u-H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09558044374888"/>
          <c:y val="0.1265017095415002"/>
          <c:w val="0.57340261815099203"/>
          <c:h val="0.69736840186643345"/>
        </c:manualLayout>
      </c:layout>
      <c:barChart>
        <c:barDir val="col"/>
        <c:grouping val="clustered"/>
        <c:varyColors val="0"/>
        <c:ser>
          <c:idx val="0"/>
          <c:order val="0"/>
          <c:tx>
            <c:v>Közigazgatási területen</c:v>
          </c:tx>
          <c:spPr>
            <a:solidFill>
              <a:srgbClr val="95C676">
                <a:alpha val="70000"/>
              </a:srgbClr>
            </a:solidFill>
            <a:ln>
              <a:noFill/>
            </a:ln>
            <a:effectLst/>
          </c:spPr>
          <c:invertIfNegative val="0"/>
          <c:cat>
            <c:strRef>
              <c:f>Munka1!$A$2:$A$8</c:f>
              <c:strCache>
                <c:ptCount val="7"/>
                <c:pt idx="0">
                  <c:v>Barcelona</c:v>
                </c:pt>
                <c:pt idx="1">
                  <c:v>Prága</c:v>
                </c:pt>
                <c:pt idx="2">
                  <c:v>München</c:v>
                </c:pt>
                <c:pt idx="3">
                  <c:v>Bukarest</c:v>
                </c:pt>
                <c:pt idx="4">
                  <c:v>Bécs</c:v>
                </c:pt>
                <c:pt idx="5">
                  <c:v>Budapest</c:v>
                </c:pt>
                <c:pt idx="6">
                  <c:v>Varsó</c:v>
                </c:pt>
              </c:strCache>
            </c:strRef>
          </c:cat>
          <c:val>
            <c:numRef>
              <c:f>Munka1!$E$2:$E$8</c:f>
              <c:numCache>
                <c:formatCode>0.00%</c:formatCode>
                <c:ptCount val="7"/>
                <c:pt idx="0">
                  <c:v>0.69240000000000002</c:v>
                </c:pt>
                <c:pt idx="1">
                  <c:v>0.63639999999999997</c:v>
                </c:pt>
                <c:pt idx="2">
                  <c:v>0.56999999999999995</c:v>
                </c:pt>
                <c:pt idx="3">
                  <c:v>0.54990000000000006</c:v>
                </c:pt>
                <c:pt idx="4">
                  <c:v>0.52639999999999998</c:v>
                </c:pt>
                <c:pt idx="5">
                  <c:v>0.441</c:v>
                </c:pt>
                <c:pt idx="6">
                  <c:v>0.42209999999999998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32-4405-87AD-1D5973DCA366}"/>
            </c:ext>
          </c:extLst>
        </c:ser>
        <c:ser>
          <c:idx val="1"/>
          <c:order val="1"/>
          <c:tx>
            <c:v>Funkcionális urbánus környezet (FUA)</c:v>
          </c:tx>
          <c:spPr>
            <a:solidFill>
              <a:srgbClr val="CFE4BE">
                <a:alpha val="69804"/>
              </a:srgbClr>
            </a:solidFill>
            <a:ln>
              <a:noFill/>
            </a:ln>
            <a:effectLst/>
          </c:spPr>
          <c:invertIfNegative val="0"/>
          <c:val>
            <c:numRef>
              <c:f>Munka1!$G$2:$G$8</c:f>
              <c:numCache>
                <c:formatCode>0.00%</c:formatCode>
                <c:ptCount val="7"/>
                <c:pt idx="0">
                  <c:v>0.57509999999999994</c:v>
                </c:pt>
                <c:pt idx="1">
                  <c:v>0.56889999999999996</c:v>
                </c:pt>
                <c:pt idx="2">
                  <c:v>0.5262</c:v>
                </c:pt>
                <c:pt idx="3">
                  <c:v>0.49680000000000002</c:v>
                </c:pt>
                <c:pt idx="4">
                  <c:v>0.43719999999999998</c:v>
                </c:pt>
                <c:pt idx="5">
                  <c:v>0.38319999999999999</c:v>
                </c:pt>
                <c:pt idx="6">
                  <c:v>0.35759999999999997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32-4405-87AD-1D5973DCA3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538034984"/>
        <c:axId val="538035376"/>
      </c:barChart>
      <c:catAx>
        <c:axId val="538034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180000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538035376"/>
        <c:crosses val="autoZero"/>
        <c:auto val="1"/>
        <c:lblAlgn val="ctr"/>
        <c:lblOffset val="150"/>
        <c:tickLblSkip val="1"/>
        <c:noMultiLvlLbl val="0"/>
      </c:catAx>
      <c:valAx>
        <c:axId val="538035376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u-HU" sz="800">
                    <a:latin typeface="Arial" panose="020B0604020202020204" pitchFamily="34" charset="0"/>
                    <a:cs typeface="Arial" panose="020B0604020202020204" pitchFamily="34" charset="0"/>
                  </a:rPr>
                  <a:t>Talajlezárás mértéke </a:t>
                </a:r>
              </a:p>
            </c:rich>
          </c:tx>
          <c:layout>
            <c:manualLayout>
              <c:xMode val="edge"/>
              <c:yMode val="edge"/>
              <c:x val="2.7673008265271186E-2"/>
              <c:y val="0.227968429301787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hu-HU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538034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062714986713617"/>
          <c:y val="0.36329104004179574"/>
          <c:w val="0.2569504898844166"/>
          <c:h val="0.30659327536664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2E276-6A91-4D4F-94BF-7901052C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1994</Words>
  <Characters>13763</Characters>
  <Application>Microsoft Office Word</Application>
  <DocSecurity>0</DocSecurity>
  <Lines>114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esomeno@palacsinta.com</dc:creator>
  <cp:keywords/>
  <dc:description/>
  <cp:lastModifiedBy>Molnár Zsolt</cp:lastModifiedBy>
  <cp:revision>5</cp:revision>
  <cp:lastPrinted>2020-12-03T10:55:00Z</cp:lastPrinted>
  <dcterms:created xsi:type="dcterms:W3CDTF">2020-10-29T18:27:00Z</dcterms:created>
  <dcterms:modified xsi:type="dcterms:W3CDTF">2020-12-03T10:55:00Z</dcterms:modified>
</cp:coreProperties>
</file>