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7EFFBB84" w:rsidR="006C431E" w:rsidRPr="0007331B" w:rsidRDefault="001A43FF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D1E5E0C" wp14:editId="6F7BAD59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52437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330059A4" w:rsidR="00496963" w:rsidRPr="008A6CD3" w:rsidRDefault="00496963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1A43FF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2D1D56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56.25pt;height:2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" filled="f" stroked="f">
                <v:textbox>
                  <w:txbxContent>
                    <w:p w14:paraId="2CF44440" w14:textId="330059A4" w:rsidR="00496963" w:rsidRPr="008A6CD3" w:rsidRDefault="00496963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1A43FF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2D1D56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676272">
        <w:rPr>
          <w:noProof/>
          <w:lang w:eastAsia="hu-HU"/>
        </w:rPr>
        <w:drawing>
          <wp:anchor distT="0" distB="0" distL="114300" distR="114300" simplePos="0" relativeHeight="251659776" behindDoc="1" locked="0" layoutInCell="1" allowOverlap="1" wp14:anchorId="57A63E5A" wp14:editId="17762516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59610" cy="10693191"/>
            <wp:effectExtent l="0" t="0" r="381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KÁÉ_Borító-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1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F32B8E">
        <w:t>II.2. Energiagazdálkodás</w:t>
      </w:r>
      <w:bookmarkStart w:id="9" w:name="_GoBack"/>
      <w:bookmarkEnd w:id="9"/>
    </w:p>
    <w:p w14:paraId="7171EC5B" w14:textId="3FC9E7A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AB11C1" wp14:editId="7B05450B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492CC20" id="Egyenes összekötő 4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3329CF73" w14:textId="77777777" w:rsidR="007D6340" w:rsidRPr="007D6340" w:rsidRDefault="007D6340" w:rsidP="007D6340">
      <w:pPr>
        <w:pStyle w:val="Bevezetnorml"/>
      </w:pPr>
      <w:bookmarkStart w:id="13" w:name="_Toc8118600"/>
      <w:r w:rsidRPr="007D6340">
        <w:t>A környezeti állapotot befolyásoló eddig ismertetett tényezőkön (természeti adottságok, területhasználat, népsűrűség, gazdasági hatékonyság) túl az egyik legmeghatározóbb hatótényező az olyan energiagazdálkodás, amely az ellátás biztonságán kívül az energiahatékonyság szemléleten is alapul a hosszú távú környezeti érdekek egyidejű figyelembevétele mellett.</w:t>
      </w:r>
    </w:p>
    <w:p w14:paraId="66082AA5" w14:textId="77777777" w:rsidR="007D6340" w:rsidRPr="007D6340" w:rsidRDefault="007D6340" w:rsidP="007D6340">
      <w:pPr>
        <w:pStyle w:val="Bevezetnorml"/>
      </w:pPr>
      <w:r w:rsidRPr="007D6340">
        <w:t>A szénhidrogén – bányászati termék alapú (fosszilis) – tüzelő anyagok égési, energiaátalakulási folyamatának</w:t>
      </w:r>
      <w:r w:rsidRPr="00DF5E5D">
        <w:rPr>
          <w:vertAlign w:val="superscript"/>
        </w:rPr>
        <w:endnoteReference w:id="1"/>
      </w:r>
      <w:r w:rsidRPr="007D6340">
        <w:t xml:space="preserve"> egyik végterméke a szén-dioxid (CO</w:t>
      </w:r>
      <w:r w:rsidRPr="00DF5E5D">
        <w:rPr>
          <w:vertAlign w:val="subscript"/>
        </w:rPr>
        <w:t>2</w:t>
      </w:r>
      <w:r w:rsidRPr="007D6340">
        <w:t>), amely az egyik legfőbb üvegházhatású gáz, és amelynek globális szintű emelkedése a Föld légkörének felmelegedését vonja maga után.</w:t>
      </w:r>
    </w:p>
    <w:p w14:paraId="6258DACD" w14:textId="22360269" w:rsidR="007D6340" w:rsidRPr="007D6340" w:rsidRDefault="007D6340" w:rsidP="007D6340">
      <w:pPr>
        <w:pStyle w:val="Bevezetnorml"/>
      </w:pPr>
      <w:r w:rsidRPr="007D6340">
        <w:t xml:space="preserve">Budapest energiagazdálkodási helyzetét </w:t>
      </w:r>
      <w:r w:rsidR="00585F7C" w:rsidRPr="00585F7C">
        <w:t xml:space="preserve">(Budapest Fenntartható Energia Akcióterv leltárának /SEAP/ adatai alapján) </w:t>
      </w:r>
      <w:r w:rsidR="00833492" w:rsidRPr="007D6340">
        <w:t>201</w:t>
      </w:r>
      <w:r w:rsidR="00833492">
        <w:t>8</w:t>
      </w:r>
      <w:r w:rsidRPr="007D6340">
        <w:t>-b</w:t>
      </w:r>
      <w:r w:rsidR="00833492">
        <w:t>a</w:t>
      </w:r>
      <w:r w:rsidRPr="007D6340">
        <w:t>n a következő – különböző szempontok szerint részletezett – főbb fizikai adatok jellemzik.</w:t>
      </w:r>
    </w:p>
    <w:p w14:paraId="05CEC2AB" w14:textId="40131F7D" w:rsidR="007D6340" w:rsidRPr="007D6340" w:rsidRDefault="007D6340" w:rsidP="007D6340">
      <w:pPr>
        <w:pStyle w:val="Bevezetnorml"/>
      </w:pPr>
      <w:r w:rsidRPr="007D6340">
        <w:t>Budapest energiafelhasználása 8</w:t>
      </w:r>
      <w:r w:rsidR="005920BE">
        <w:t>4</w:t>
      </w:r>
      <w:r w:rsidRPr="007D6340">
        <w:t>%-ban fosszilis jellegű, mivel a villamos energia hazai termelése jelentős részben (</w:t>
      </w:r>
      <w:r w:rsidR="005920BE">
        <w:t>38</w:t>
      </w:r>
      <w:r w:rsidRPr="007D6340">
        <w:t>%), míg a távhő előállítása majdnem teljes mértékben (</w:t>
      </w:r>
      <w:r w:rsidR="005920BE" w:rsidRPr="007D6340">
        <w:t>9</w:t>
      </w:r>
      <w:r w:rsidR="005920BE">
        <w:t>3</w:t>
      </w:r>
      <w:r w:rsidRPr="007D6340">
        <w:t>%) szénhidrogén alapú energiahord</w:t>
      </w:r>
      <w:r w:rsidR="00E71141">
        <w:t>ozók felhasználásával történik.</w:t>
      </w:r>
      <w:r w:rsidR="00E71141">
        <w:br/>
      </w:r>
      <w:r w:rsidRPr="007D6340">
        <w:t>Az atomenergia aránya az összenergia-felhasználáshoz képest – a villamos energia hazai termelésű része alapján – 1</w:t>
      </w:r>
      <w:r w:rsidR="005920BE">
        <w:t>2</w:t>
      </w:r>
      <w:r w:rsidRPr="007D6340">
        <w:t>%, míg a megújuló energiahordozóké 4%.</w:t>
      </w:r>
    </w:p>
    <w:p w14:paraId="680EC594" w14:textId="77777777" w:rsidR="007D6340" w:rsidRPr="007D6340" w:rsidRDefault="007D6340" w:rsidP="007D6340">
      <w:pPr>
        <w:pStyle w:val="Bevezetnorml"/>
      </w:pPr>
      <w:r w:rsidRPr="007D6340">
        <w:t>Az energiahordozók főbb végfelhasználói csoportjainak vizsgálata alapján a fővárosi lakosság fogyasztása mintegy 40–50%-ra becsülhető.</w:t>
      </w:r>
    </w:p>
    <w:p w14:paraId="41F6ACB4" w14:textId="02B3BD3C" w:rsidR="007D6340" w:rsidRPr="007D6340" w:rsidRDefault="007D6340" w:rsidP="007D6340">
      <w:pPr>
        <w:pStyle w:val="Bevezetnorml"/>
      </w:pPr>
      <w:r w:rsidRPr="007D6340">
        <w:t>A 201</w:t>
      </w:r>
      <w:r w:rsidR="005920BE">
        <w:t>8</w:t>
      </w:r>
      <w:r w:rsidRPr="007D6340">
        <w:t>. évi budapesti végfelhasználás (30 </w:t>
      </w:r>
      <w:r w:rsidR="005920BE">
        <w:t>085</w:t>
      </w:r>
      <w:r w:rsidR="005920BE" w:rsidRPr="007D6340">
        <w:t xml:space="preserve"> </w:t>
      </w:r>
      <w:r w:rsidRPr="007D6340">
        <w:t>ezer MWh) alapján megállapítható, hogy az egy lakosra jutó energiafelhasználás 17,</w:t>
      </w:r>
      <w:r w:rsidR="005920BE">
        <w:t>2</w:t>
      </w:r>
      <w:r w:rsidRPr="007D6340">
        <w:t xml:space="preserve"> MWh/fő, ami a 201</w:t>
      </w:r>
      <w:r w:rsidR="005920BE">
        <w:t>7</w:t>
      </w:r>
      <w:r w:rsidRPr="007D6340">
        <w:t xml:space="preserve">. évi adathoz képest </w:t>
      </w:r>
      <w:r w:rsidR="005920BE">
        <w:t>3</w:t>
      </w:r>
      <w:r w:rsidRPr="007D6340">
        <w:t xml:space="preserve">%-kal </w:t>
      </w:r>
      <w:r w:rsidR="005920BE">
        <w:t>csökkent</w:t>
      </w:r>
      <w:r w:rsidRPr="007D6340">
        <w:t>.</w:t>
      </w:r>
      <w:r w:rsidR="003310FF">
        <w:t xml:space="preserve"> </w:t>
      </w:r>
      <w:r w:rsidRPr="007D6340">
        <w:t>Az előző évhez képest 2015-ben a végső energiafelhasználáshoz köthető CO</w:t>
      </w:r>
      <w:r w:rsidRPr="00DF5E5D">
        <w:rPr>
          <w:vertAlign w:val="subscript"/>
        </w:rPr>
        <w:t>2</w:t>
      </w:r>
      <w:r w:rsidRPr="007D6340">
        <w:t xml:space="preserve">-kibocsátás 5,1%-kal, 2016. évben 5,5%-kal, 2017. évben 3,9%-kal nőtt, </w:t>
      </w:r>
      <w:r w:rsidR="008533C7">
        <w:t xml:space="preserve">2018. évben 1,6%-kal csökkent – </w:t>
      </w:r>
      <w:r w:rsidRPr="007D6340">
        <w:t xml:space="preserve">ami </w:t>
      </w:r>
      <w:r w:rsidR="008533C7">
        <w:t>a fűtési időszaki átlaghőmérséklet változásával korrelál</w:t>
      </w:r>
      <w:r w:rsidRPr="007D6340">
        <w:t>.</w:t>
      </w:r>
    </w:p>
    <w:p w14:paraId="2F4C41E5" w14:textId="7CA53B18" w:rsidR="007D6340" w:rsidRPr="007D6340" w:rsidRDefault="007D6340" w:rsidP="007D6340">
      <w:pPr>
        <w:pStyle w:val="Bevezetnorml"/>
      </w:pPr>
      <w:r w:rsidRPr="007D6340">
        <w:t>A 2005-ös bázisértékhez mérten a 2020-ra vállalt legalább 21%-os CO</w:t>
      </w:r>
      <w:r w:rsidRPr="00DF5E5D">
        <w:rPr>
          <w:vertAlign w:val="subscript"/>
        </w:rPr>
        <w:t>2</w:t>
      </w:r>
      <w:r w:rsidRPr="007D6340">
        <w:t xml:space="preserve">-kibocsátás csökkentési célra tekintettel a </w:t>
      </w:r>
      <w:r w:rsidR="008533C7" w:rsidRPr="007D6340">
        <w:t>201</w:t>
      </w:r>
      <w:r w:rsidR="008533C7">
        <w:t>8</w:t>
      </w:r>
      <w:r w:rsidRPr="007D6340">
        <w:t>. évi CO</w:t>
      </w:r>
      <w:r w:rsidRPr="00DF5E5D">
        <w:rPr>
          <w:vertAlign w:val="subscript"/>
        </w:rPr>
        <w:t>2</w:t>
      </w:r>
      <w:r w:rsidRPr="007D6340">
        <w:t xml:space="preserve">-kibocsátás mintegy </w:t>
      </w:r>
      <w:r w:rsidR="008533C7">
        <w:t>8</w:t>
      </w:r>
      <w:r w:rsidRPr="007D6340">
        <w:t>%-os csökkenésnek felelt meg. A legkedvezőbb helyzet 2014-ben jött létre, amikor 19%-os csökkenés volt tapasztalható.</w:t>
      </w:r>
    </w:p>
    <w:p w14:paraId="664CB0A8" w14:textId="5279EEFB" w:rsidR="007D6340" w:rsidRPr="007D6340" w:rsidRDefault="007D6340" w:rsidP="00D242D0">
      <w:pPr>
        <w:pStyle w:val="Bevezetnorml"/>
      </w:pPr>
      <w:r w:rsidRPr="007D6340">
        <w:t>Az energiahordozók végfelhasználás</w:t>
      </w:r>
      <w:r w:rsidR="003310FF">
        <w:t xml:space="preserve">ában </w:t>
      </w:r>
      <w:r w:rsidR="008533C7" w:rsidRPr="007D6340">
        <w:t>4</w:t>
      </w:r>
      <w:r w:rsidR="008533C7">
        <w:t>3</w:t>
      </w:r>
      <w:r w:rsidRPr="007D6340">
        <w:t>%</w:t>
      </w:r>
      <w:r w:rsidR="003310FF">
        <w:t>-ot képvisel a földgáz</w:t>
      </w:r>
      <w:r w:rsidRPr="007D6340">
        <w:t>,</w:t>
      </w:r>
      <w:r w:rsidR="003310FF">
        <w:t xml:space="preserve"> </w:t>
      </w:r>
      <w:r w:rsidR="008533C7">
        <w:t>24</w:t>
      </w:r>
      <w:r w:rsidR="003310FF">
        <w:t xml:space="preserve">% a villamos energia, 23% </w:t>
      </w:r>
      <w:r w:rsidR="003310FF" w:rsidRPr="003310FF">
        <w:t>a közlekedés ágazatban felhasznált gázolaj, benzin, folyékony gáz</w:t>
      </w:r>
      <w:r w:rsidR="003310FF">
        <w:t xml:space="preserve">, míg a távhő </w:t>
      </w:r>
      <w:r w:rsidR="008533C7">
        <w:t>9</w:t>
      </w:r>
      <w:r w:rsidR="003310FF">
        <w:t>%-ot jelent.</w:t>
      </w:r>
    </w:p>
    <w:p w14:paraId="1E9A5625" w14:textId="77777777" w:rsidR="00585F7C" w:rsidRDefault="007D6340" w:rsidP="00585F7C">
      <w:pPr>
        <w:pStyle w:val="Bevezetnorml"/>
      </w:pPr>
      <w:r w:rsidRPr="007D6340">
        <w:t xml:space="preserve">A </w:t>
      </w:r>
      <w:r w:rsidR="008533C7" w:rsidRPr="007D6340">
        <w:t>201</w:t>
      </w:r>
      <w:r w:rsidR="008533C7">
        <w:t>8</w:t>
      </w:r>
      <w:r w:rsidRPr="007D6340">
        <w:t>. évi budapesti energiafelhasználáshoz köthető CO</w:t>
      </w:r>
      <w:r w:rsidRPr="00DF5E5D">
        <w:rPr>
          <w:vertAlign w:val="subscript"/>
        </w:rPr>
        <w:t>2</w:t>
      </w:r>
      <w:r w:rsidRPr="007D6340">
        <w:t>-kibocsátás</w:t>
      </w:r>
      <w:r w:rsidR="00386F0C">
        <w:t xml:space="preserve"> </w:t>
      </w:r>
      <w:r w:rsidRPr="007D6340">
        <w:t>eredményeképp egy lakosra 5,4 t CO</w:t>
      </w:r>
      <w:r w:rsidRPr="00DF5E5D">
        <w:rPr>
          <w:vertAlign w:val="subscript"/>
        </w:rPr>
        <w:t>2</w:t>
      </w:r>
      <w:r w:rsidRPr="007D6340">
        <w:t xml:space="preserve"> jut. </w:t>
      </w:r>
      <w:r w:rsidR="00386F0C">
        <w:t xml:space="preserve">A </w:t>
      </w:r>
      <w:r w:rsidR="00386F0C" w:rsidRPr="007D6340">
        <w:t>CO</w:t>
      </w:r>
      <w:r w:rsidR="00386F0C" w:rsidRPr="00DF5E5D">
        <w:rPr>
          <w:vertAlign w:val="subscript"/>
        </w:rPr>
        <w:t>2</w:t>
      </w:r>
      <w:r w:rsidR="00386F0C" w:rsidRPr="007D6340">
        <w:t>-kibocsátás</w:t>
      </w:r>
      <w:r w:rsidR="00386F0C">
        <w:t xml:space="preserve"> </w:t>
      </w:r>
      <w:r w:rsidRPr="007D6340">
        <w:t>4</w:t>
      </w:r>
      <w:r w:rsidR="008533C7">
        <w:t>5</w:t>
      </w:r>
      <w:r w:rsidRPr="007D6340">
        <w:t>%-a a fővárosi fogyasztású villamos energia előállításához használt tüzelőanyagok fosszilis jellegű részéből ered</w:t>
      </w:r>
      <w:r w:rsidR="00585F7C">
        <w:t xml:space="preserve">. </w:t>
      </w:r>
    </w:p>
    <w:p w14:paraId="590CE64A" w14:textId="506E14C3" w:rsidR="0007331B" w:rsidRPr="004502B5" w:rsidRDefault="00585F7C" w:rsidP="00585F7C">
      <w:pPr>
        <w:pStyle w:val="Bevezetnorml"/>
        <w:rPr>
          <w:rFonts w:eastAsia="Calibri"/>
          <w:b/>
          <w:color w:val="333333"/>
          <w:spacing w:val="14"/>
          <w:sz w:val="22"/>
          <w:lang w:eastAsia="en-US"/>
        </w:rPr>
      </w:pPr>
      <w:r w:rsidRPr="00585F7C">
        <w:t>2019. évre vonatkozóan az energiafelhasználás és CO</w:t>
      </w:r>
      <w:r w:rsidRPr="00585F7C">
        <w:rPr>
          <w:vertAlign w:val="subscript"/>
        </w:rPr>
        <w:t>2</w:t>
      </w:r>
      <w:r w:rsidRPr="00585F7C">
        <w:t>-kibocsátás leltár a Fenntartható Energia- és Klímaakcióterv /SECAP/ metodikáját követve, várhatóan más bázisévvel és aktualizált CO</w:t>
      </w:r>
      <w:r w:rsidRPr="00585F7C">
        <w:rPr>
          <w:vertAlign w:val="subscript"/>
        </w:rPr>
        <w:t>2</w:t>
      </w:r>
      <w:r w:rsidRPr="00585F7C">
        <w:t xml:space="preserve"> emissziós faktorok használatával készül. Az 2005. év óta jelentősen megváltozott országos energiamix miatt az új CO</w:t>
      </w:r>
      <w:r w:rsidRPr="00585F7C">
        <w:rPr>
          <w:vertAlign w:val="subscript"/>
        </w:rPr>
        <w:t>2</w:t>
      </w:r>
      <w:r w:rsidRPr="00585F7C">
        <w:t>-kibocsátás leltár nem lesz minden részletében összehasonlítható a korábbi SEAP adataival.</w:t>
      </w:r>
      <w:r w:rsidR="0007331B">
        <w:br w:type="page"/>
      </w:r>
    </w:p>
    <w:p w14:paraId="1E20B7ED" w14:textId="77777777" w:rsidR="002F73CA" w:rsidRPr="002F73CA" w:rsidRDefault="002F73CA" w:rsidP="002F73CA">
      <w:pPr>
        <w:pStyle w:val="Cmsor3"/>
        <w:tabs>
          <w:tab w:val="center" w:pos="3401"/>
        </w:tabs>
      </w:pPr>
      <w:bookmarkStart w:id="14" w:name="_Toc19625590"/>
      <w:bookmarkEnd w:id="10"/>
      <w:bookmarkEnd w:id="11"/>
      <w:bookmarkEnd w:id="12"/>
      <w:bookmarkEnd w:id="13"/>
      <w:r w:rsidRPr="009D1DB6">
        <w:lastRenderedPageBreak/>
        <w:t>Energiagazdálkodás leírása, jellemzése</w:t>
      </w:r>
      <w:bookmarkEnd w:id="14"/>
    </w:p>
    <w:p w14:paraId="37C88FE1" w14:textId="77777777" w:rsidR="002F73CA" w:rsidRPr="009D1DB6" w:rsidRDefault="002F73CA" w:rsidP="002F73CA">
      <w:pPr>
        <w:rPr>
          <w:szCs w:val="20"/>
        </w:rPr>
      </w:pPr>
      <w:r w:rsidRPr="009D1DB6">
        <w:rPr>
          <w:szCs w:val="20"/>
        </w:rPr>
        <w:t>A Fővárosi Önkormányzat 2008-ban csatlakozott a Polgármesterek Szövetségéhez</w:t>
      </w:r>
      <w:r w:rsidRPr="002F73CA">
        <w:rPr>
          <w:szCs w:val="20"/>
          <w:vertAlign w:val="superscript"/>
        </w:rPr>
        <w:endnoteReference w:id="2"/>
      </w:r>
      <w:r w:rsidRPr="002F73CA">
        <w:rPr>
          <w:szCs w:val="20"/>
          <w:vertAlign w:val="superscript"/>
        </w:rPr>
        <w:t xml:space="preserve"> </w:t>
      </w:r>
      <w:r w:rsidRPr="009D1DB6">
        <w:rPr>
          <w:szCs w:val="20"/>
        </w:rPr>
        <w:t>(Covenant of Mayors, a továbbiakban: CoM), ezáltal a CO</w:t>
      </w:r>
      <w:r w:rsidRPr="00DF5E5D">
        <w:rPr>
          <w:szCs w:val="20"/>
          <w:vertAlign w:val="subscript"/>
        </w:rPr>
        <w:t>2</w:t>
      </w:r>
      <w:r w:rsidRPr="009D1DB6">
        <w:rPr>
          <w:szCs w:val="20"/>
        </w:rPr>
        <w:t xml:space="preserve">-kibocsátás csökkentésével kapcsolatos vállalásokat tett </w:t>
      </w:r>
      <w:r w:rsidRPr="00DF5E5D">
        <w:rPr>
          <w:b/>
          <w:szCs w:val="20"/>
        </w:rPr>
        <w:t>az adatok</w:t>
      </w:r>
      <w:r w:rsidRPr="009D1DB6">
        <w:rPr>
          <w:szCs w:val="20"/>
        </w:rPr>
        <w:t xml:space="preserve"> nemzetközi szinten történő </w:t>
      </w:r>
      <w:r w:rsidRPr="00DF5E5D">
        <w:rPr>
          <w:b/>
          <w:szCs w:val="20"/>
        </w:rPr>
        <w:t>összehasonlíthatósága és</w:t>
      </w:r>
      <w:r w:rsidRPr="009D1DB6">
        <w:rPr>
          <w:szCs w:val="20"/>
        </w:rPr>
        <w:t xml:space="preserve"> a globális </w:t>
      </w:r>
      <w:r w:rsidRPr="00DF5E5D">
        <w:rPr>
          <w:b/>
          <w:szCs w:val="20"/>
        </w:rPr>
        <w:t>CO</w:t>
      </w:r>
      <w:r w:rsidRPr="00DF5E5D">
        <w:rPr>
          <w:b/>
          <w:szCs w:val="20"/>
          <w:vertAlign w:val="subscript"/>
        </w:rPr>
        <w:t>2</w:t>
      </w:r>
      <w:r w:rsidRPr="00DF5E5D">
        <w:rPr>
          <w:b/>
          <w:szCs w:val="20"/>
        </w:rPr>
        <w:t>-szint csökkentés érdekében</w:t>
      </w:r>
      <w:r w:rsidRPr="009D1DB6">
        <w:rPr>
          <w:szCs w:val="20"/>
        </w:rPr>
        <w:t>.</w:t>
      </w:r>
    </w:p>
    <w:p w14:paraId="2444821B" w14:textId="5F9B0184" w:rsidR="002F73CA" w:rsidRDefault="002F73CA" w:rsidP="002F73CA">
      <w:pPr>
        <w:rPr>
          <w:szCs w:val="20"/>
        </w:rPr>
      </w:pPr>
      <w:r w:rsidRPr="009D1DB6">
        <w:rPr>
          <w:szCs w:val="20"/>
        </w:rPr>
        <w:t xml:space="preserve">Ennek keretében </w:t>
      </w:r>
      <w:r w:rsidRPr="00DF5E5D">
        <w:rPr>
          <w:b/>
          <w:szCs w:val="20"/>
        </w:rPr>
        <w:t>Budapest 2020-ig a CO</w:t>
      </w:r>
      <w:r w:rsidRPr="00DF5E5D">
        <w:rPr>
          <w:b/>
          <w:szCs w:val="20"/>
          <w:vertAlign w:val="subscript"/>
        </w:rPr>
        <w:t>2</w:t>
      </w:r>
      <w:r w:rsidRPr="00DF5E5D">
        <w:rPr>
          <w:b/>
          <w:szCs w:val="20"/>
        </w:rPr>
        <w:t>-kibocsátás legalább 21%-os csökkentését</w:t>
      </w:r>
      <w:r w:rsidRPr="002F73CA">
        <w:rPr>
          <w:szCs w:val="20"/>
        </w:rPr>
        <w:t xml:space="preserve"> és</w:t>
      </w:r>
      <w:r w:rsidRPr="009D1DB6">
        <w:rPr>
          <w:szCs w:val="20"/>
        </w:rPr>
        <w:t xml:space="preserve"> ehhez kapcsolódóan </w:t>
      </w:r>
      <w:r w:rsidRPr="00DF5E5D">
        <w:rPr>
          <w:b/>
          <w:szCs w:val="20"/>
        </w:rPr>
        <w:t>egy Fenntartható Energia Akcióterv</w:t>
      </w:r>
      <w:r w:rsidRPr="009D1DB6">
        <w:rPr>
          <w:szCs w:val="20"/>
        </w:rPr>
        <w:t xml:space="preserve"> (Sustainable Energy Action Plan, a továbbiakban: SEAP) </w:t>
      </w:r>
      <w:r w:rsidRPr="00DF5E5D">
        <w:rPr>
          <w:b/>
          <w:szCs w:val="20"/>
        </w:rPr>
        <w:t>elkészítését vállalta</w:t>
      </w:r>
      <w:r w:rsidRPr="009D1DB6">
        <w:rPr>
          <w:szCs w:val="20"/>
        </w:rPr>
        <w:t>, melyben – a 2005. évi a</w:t>
      </w:r>
      <w:r>
        <w:rPr>
          <w:szCs w:val="20"/>
        </w:rPr>
        <w:t xml:space="preserve">lapadatok felvételét követően – </w:t>
      </w:r>
      <w:r w:rsidRPr="009D1DB6">
        <w:rPr>
          <w:szCs w:val="20"/>
        </w:rPr>
        <w:t xml:space="preserve">a 2020-ra kitűzött kibocsátási célértékek megvalósulásához szükséges intézkedéseket és cselekvési programokat mutatja be. E munka keretében a CoM honlapjára </w:t>
      </w:r>
      <w:r>
        <w:rPr>
          <w:szCs w:val="20"/>
        </w:rPr>
        <w:t>töltik fel</w:t>
      </w:r>
      <w:r w:rsidRPr="002F73CA">
        <w:rPr>
          <w:szCs w:val="20"/>
          <w:vertAlign w:val="superscript"/>
        </w:rPr>
        <w:endnoteReference w:id="3"/>
      </w:r>
      <w:r w:rsidRPr="002F73CA">
        <w:rPr>
          <w:szCs w:val="20"/>
          <w:vertAlign w:val="superscript"/>
        </w:rPr>
        <w:t xml:space="preserve"> </w:t>
      </w:r>
      <w:r w:rsidRPr="009D1DB6">
        <w:rPr>
          <w:szCs w:val="20"/>
        </w:rPr>
        <w:t>a SEAP</w:t>
      </w:r>
      <w:r>
        <w:rPr>
          <w:szCs w:val="20"/>
        </w:rPr>
        <w:t>-</w:t>
      </w:r>
      <w:r w:rsidR="001B0BA0">
        <w:rPr>
          <w:szCs w:val="20"/>
        </w:rPr>
        <w:t>o</w:t>
      </w:r>
      <w:r>
        <w:rPr>
          <w:szCs w:val="20"/>
        </w:rPr>
        <w:t>t</w:t>
      </w:r>
      <w:r w:rsidRPr="009D1DB6">
        <w:rPr>
          <w:szCs w:val="20"/>
        </w:rPr>
        <w:t xml:space="preserve"> és </w:t>
      </w:r>
      <w:r>
        <w:rPr>
          <w:szCs w:val="20"/>
        </w:rPr>
        <w:t xml:space="preserve">az </w:t>
      </w:r>
      <w:r w:rsidRPr="009D1DB6">
        <w:rPr>
          <w:szCs w:val="20"/>
        </w:rPr>
        <w:t>annak részét képező adatok</w:t>
      </w:r>
      <w:r>
        <w:rPr>
          <w:szCs w:val="20"/>
        </w:rPr>
        <w:t>at</w:t>
      </w:r>
      <w:r w:rsidRPr="009D1DB6">
        <w:rPr>
          <w:szCs w:val="20"/>
        </w:rPr>
        <w:t>.</w:t>
      </w:r>
    </w:p>
    <w:p w14:paraId="734017B4" w14:textId="73714343" w:rsidR="002F73CA" w:rsidRPr="009D1DB6" w:rsidRDefault="002F73CA" w:rsidP="002F73CA">
      <w:pPr>
        <w:rPr>
          <w:szCs w:val="20"/>
        </w:rPr>
      </w:pPr>
      <w:r w:rsidRPr="00637AA0">
        <w:rPr>
          <w:szCs w:val="20"/>
        </w:rPr>
        <w:t xml:space="preserve">A fentieken túlmenően a Fővárosi Önkormányzat </w:t>
      </w:r>
      <w:r>
        <w:rPr>
          <w:szCs w:val="20"/>
        </w:rPr>
        <w:t>további klímavédelmi vállalásait (</w:t>
      </w:r>
      <w:r w:rsidRPr="00637AA0">
        <w:rPr>
          <w:szCs w:val="20"/>
        </w:rPr>
        <w:t>Under 2 Szövetség</w:t>
      </w:r>
      <w:r>
        <w:rPr>
          <w:szCs w:val="20"/>
        </w:rPr>
        <w:t xml:space="preserve">, </w:t>
      </w:r>
      <w:r w:rsidRPr="00637AA0">
        <w:rPr>
          <w:szCs w:val="20"/>
        </w:rPr>
        <w:t>Polgármesterek Paktuma</w:t>
      </w:r>
      <w:r>
        <w:rPr>
          <w:szCs w:val="20"/>
        </w:rPr>
        <w:t xml:space="preserve"> stb.) az </w:t>
      </w:r>
      <w:r w:rsidR="00384774" w:rsidRPr="00384774">
        <w:rPr>
          <w:i/>
          <w:szCs w:val="20"/>
        </w:rPr>
        <w:t>I.5. Klimatikus</w:t>
      </w:r>
      <w:r w:rsidR="00384774">
        <w:rPr>
          <w:szCs w:val="20"/>
        </w:rPr>
        <w:t xml:space="preserve"> viszonyok </w:t>
      </w:r>
      <w:r>
        <w:rPr>
          <w:szCs w:val="20"/>
        </w:rPr>
        <w:t>fejezet tartalmazza.</w:t>
      </w:r>
    </w:p>
    <w:p w14:paraId="5C81C448" w14:textId="158BEA3C" w:rsidR="001D6635" w:rsidRDefault="001D6635" w:rsidP="001D6635">
      <w:pPr>
        <w:rPr>
          <w:szCs w:val="20"/>
        </w:rPr>
      </w:pPr>
      <w:r w:rsidRPr="009D1DB6">
        <w:rPr>
          <w:szCs w:val="20"/>
        </w:rPr>
        <w:t xml:space="preserve">A SEAP </w:t>
      </w:r>
      <w:r>
        <w:rPr>
          <w:szCs w:val="20"/>
        </w:rPr>
        <w:t>2016.</w:t>
      </w:r>
      <w:r w:rsidRPr="009D1DB6">
        <w:rPr>
          <w:szCs w:val="20"/>
        </w:rPr>
        <w:t xml:space="preserve"> évi felülvizsgálatához képest </w:t>
      </w:r>
      <w:r w:rsidR="00D75170" w:rsidRPr="009D1DB6">
        <w:rPr>
          <w:szCs w:val="20"/>
        </w:rPr>
        <w:t>201</w:t>
      </w:r>
      <w:r w:rsidR="00D75170">
        <w:rPr>
          <w:szCs w:val="20"/>
        </w:rPr>
        <w:t>8</w:t>
      </w:r>
      <w:r>
        <w:rPr>
          <w:szCs w:val="20"/>
        </w:rPr>
        <w:t>-ben</w:t>
      </w:r>
      <w:r w:rsidRPr="009D1DB6">
        <w:rPr>
          <w:szCs w:val="20"/>
        </w:rPr>
        <w:t xml:space="preserve"> a végső</w:t>
      </w:r>
      <w:r>
        <w:rPr>
          <w:szCs w:val="20"/>
        </w:rPr>
        <w:t xml:space="preserve"> energiafelhasználáshoz köthető</w:t>
      </w:r>
      <w:r w:rsidR="00DF5E5D">
        <w:rPr>
          <w:szCs w:val="20"/>
        </w:rPr>
        <w:t xml:space="preserve"> </w:t>
      </w:r>
      <w:r w:rsidRPr="009D1DB6">
        <w:rPr>
          <w:szCs w:val="20"/>
        </w:rPr>
        <w:t>CO</w:t>
      </w:r>
      <w:r w:rsidRPr="00DF5E5D">
        <w:rPr>
          <w:szCs w:val="20"/>
          <w:vertAlign w:val="subscript"/>
        </w:rPr>
        <w:t>2</w:t>
      </w:r>
      <w:r w:rsidRPr="009D1DB6">
        <w:rPr>
          <w:szCs w:val="20"/>
        </w:rPr>
        <w:t xml:space="preserve">-kibocsátás </w:t>
      </w:r>
      <w:r w:rsidR="00D75170">
        <w:rPr>
          <w:szCs w:val="20"/>
        </w:rPr>
        <w:t>1,3</w:t>
      </w:r>
      <w:r w:rsidRPr="009D1DB6">
        <w:rPr>
          <w:szCs w:val="20"/>
        </w:rPr>
        <w:t xml:space="preserve">%-kal nőtt. A </w:t>
      </w:r>
      <w:r w:rsidRPr="00DF5E5D">
        <w:rPr>
          <w:b/>
          <w:szCs w:val="20"/>
        </w:rPr>
        <w:t xml:space="preserve">növekedést </w:t>
      </w:r>
      <w:r w:rsidR="00D75170">
        <w:rPr>
          <w:b/>
          <w:szCs w:val="20"/>
        </w:rPr>
        <w:t xml:space="preserve">egyrészt a növekvő villamosenergia-felhasználás, másrészt </w:t>
      </w:r>
      <w:r w:rsidRPr="00DF5E5D">
        <w:rPr>
          <w:b/>
          <w:szCs w:val="20"/>
        </w:rPr>
        <w:t xml:space="preserve">a </w:t>
      </w:r>
      <w:r w:rsidR="00D75170">
        <w:rPr>
          <w:b/>
          <w:szCs w:val="20"/>
        </w:rPr>
        <w:t>magasabb</w:t>
      </w:r>
      <w:r w:rsidR="00D75170" w:rsidRPr="00DF5E5D">
        <w:rPr>
          <w:b/>
          <w:szCs w:val="20"/>
        </w:rPr>
        <w:t xml:space="preserve"> </w:t>
      </w:r>
      <w:r w:rsidR="00D75170">
        <w:rPr>
          <w:b/>
          <w:szCs w:val="20"/>
        </w:rPr>
        <w:t xml:space="preserve">üzemanyag felhasználás </w:t>
      </w:r>
      <w:r w:rsidRPr="00DF5E5D">
        <w:rPr>
          <w:b/>
          <w:szCs w:val="20"/>
        </w:rPr>
        <w:t>eredményezte</w:t>
      </w:r>
      <w:r>
        <w:rPr>
          <w:szCs w:val="20"/>
        </w:rPr>
        <w:t>, mivel 201</w:t>
      </w:r>
      <w:r w:rsidR="00D75170">
        <w:rPr>
          <w:szCs w:val="20"/>
        </w:rPr>
        <w:t>8</w:t>
      </w:r>
      <w:r>
        <w:rPr>
          <w:szCs w:val="20"/>
        </w:rPr>
        <w:t>-b</w:t>
      </w:r>
      <w:r w:rsidR="00D75170">
        <w:rPr>
          <w:szCs w:val="20"/>
        </w:rPr>
        <w:t>a</w:t>
      </w:r>
      <w:r>
        <w:rPr>
          <w:szCs w:val="20"/>
        </w:rPr>
        <w:t xml:space="preserve">n </w:t>
      </w:r>
      <w:r w:rsidR="00011D80">
        <w:rPr>
          <w:szCs w:val="20"/>
        </w:rPr>
        <w:t>2016. évhez</w:t>
      </w:r>
      <w:r w:rsidRPr="009D1DB6">
        <w:rPr>
          <w:szCs w:val="20"/>
        </w:rPr>
        <w:t xml:space="preserve"> képest</w:t>
      </w:r>
      <w:r>
        <w:rPr>
          <w:szCs w:val="20"/>
        </w:rPr>
        <w:t xml:space="preserve"> Budapesten </w:t>
      </w:r>
      <w:r w:rsidR="00011D80">
        <w:rPr>
          <w:szCs w:val="20"/>
        </w:rPr>
        <w:t>4</w:t>
      </w:r>
      <w:r>
        <w:rPr>
          <w:szCs w:val="20"/>
        </w:rPr>
        <w:t xml:space="preserve">%-kal növekedett a végső </w:t>
      </w:r>
      <w:r w:rsidR="00011D80">
        <w:rPr>
          <w:szCs w:val="20"/>
        </w:rPr>
        <w:t>villamosenergia-felhasználás, 5%-kal a benzin és 8%-kal a gázolaj-felhasználás</w:t>
      </w:r>
      <w:r w:rsidRPr="009D1DB6">
        <w:rPr>
          <w:szCs w:val="20"/>
        </w:rPr>
        <w:t>.</w:t>
      </w:r>
      <w:r>
        <w:rPr>
          <w:szCs w:val="20"/>
        </w:rPr>
        <w:t xml:space="preserve"> </w:t>
      </w:r>
      <w:r w:rsidR="00E71141" w:rsidRPr="00E71141">
        <w:rPr>
          <w:szCs w:val="20"/>
        </w:rPr>
        <w:t>A</w:t>
      </w:r>
      <w:r w:rsidRPr="00E71141">
        <w:rPr>
          <w:szCs w:val="20"/>
        </w:rPr>
        <w:t xml:space="preserve"> </w:t>
      </w:r>
      <w:r w:rsidR="00011D80">
        <w:rPr>
          <w:szCs w:val="20"/>
        </w:rPr>
        <w:t xml:space="preserve">földgázfelhasználás kismértékű csökkenése a fűtési időszak átlaghőmérsékletének változását követte le. </w:t>
      </w:r>
      <w:r w:rsidR="00011D80" w:rsidRPr="00C241DE">
        <w:rPr>
          <w:b/>
          <w:szCs w:val="20"/>
        </w:rPr>
        <w:t>H</w:t>
      </w:r>
      <w:r w:rsidRPr="00DF5E5D">
        <w:rPr>
          <w:b/>
          <w:szCs w:val="20"/>
        </w:rPr>
        <w:t>űvösebb fűtési időszak</w:t>
      </w:r>
      <w:r>
        <w:rPr>
          <w:szCs w:val="20"/>
        </w:rPr>
        <w:t xml:space="preserve">ok </w:t>
      </w:r>
      <w:r w:rsidR="00011D80">
        <w:rPr>
          <w:szCs w:val="20"/>
        </w:rPr>
        <w:t xml:space="preserve">esetén </w:t>
      </w:r>
      <w:r w:rsidR="00D14D19">
        <w:rPr>
          <w:szCs w:val="20"/>
        </w:rPr>
        <w:t xml:space="preserve">jelentősen </w:t>
      </w:r>
      <w:r>
        <w:rPr>
          <w:szCs w:val="20"/>
        </w:rPr>
        <w:t>fokozód</w:t>
      </w:r>
      <w:r w:rsidR="00011D80">
        <w:rPr>
          <w:szCs w:val="20"/>
        </w:rPr>
        <w:t>ó</w:t>
      </w:r>
      <w:r w:rsidR="00D14D19">
        <w:rPr>
          <w:szCs w:val="20"/>
        </w:rPr>
        <w:t xml:space="preserve"> </w:t>
      </w:r>
      <w:r w:rsidRPr="00DF5E5D">
        <w:rPr>
          <w:b/>
          <w:szCs w:val="20"/>
        </w:rPr>
        <w:t>lakossági földgázfelhasználás</w:t>
      </w:r>
      <w:r>
        <w:rPr>
          <w:szCs w:val="20"/>
        </w:rPr>
        <w:t xml:space="preserve"> az </w:t>
      </w:r>
      <w:r w:rsidRPr="00DF5E5D">
        <w:rPr>
          <w:b/>
          <w:szCs w:val="20"/>
        </w:rPr>
        <w:t>épületek hatékonyabb szigetelésének szükségességére</w:t>
      </w:r>
      <w:r w:rsidR="00011D80">
        <w:rPr>
          <w:b/>
          <w:szCs w:val="20"/>
        </w:rPr>
        <w:t xml:space="preserve"> </w:t>
      </w:r>
      <w:r w:rsidR="00011D80" w:rsidRPr="00C241DE">
        <w:rPr>
          <w:szCs w:val="20"/>
        </w:rPr>
        <w:t>hívja fel a figyelmet</w:t>
      </w:r>
      <w:r>
        <w:rPr>
          <w:szCs w:val="20"/>
        </w:rPr>
        <w:t>.</w:t>
      </w:r>
    </w:p>
    <w:p w14:paraId="7953F8D0" w14:textId="3C5A9C99" w:rsidR="001D6635" w:rsidRDefault="001D6635" w:rsidP="001D6635">
      <w:pPr>
        <w:rPr>
          <w:szCs w:val="20"/>
        </w:rPr>
      </w:pPr>
      <w:r w:rsidRPr="00637AA0">
        <w:rPr>
          <w:szCs w:val="20"/>
        </w:rPr>
        <w:t xml:space="preserve">Láthatóan ambiciózus vállalás a SEAP 2020-ra meghatározott célértéke a rendelkezésre álló rövid idő tekintetében. </w:t>
      </w:r>
      <w:r w:rsidR="001B0BA0" w:rsidRPr="001B0BA0">
        <w:rPr>
          <w:szCs w:val="20"/>
        </w:rPr>
        <w:t xml:space="preserve">Idén októberben az Európai Parlament által megszavazott új éghajlat-törvény 2030-ra minden eddiginél ambiciózusabb 60%-os kibocsátás-csökkentési célt határozott meg. </w:t>
      </w:r>
      <w:r>
        <w:rPr>
          <w:szCs w:val="20"/>
        </w:rPr>
        <w:t>K</w:t>
      </w:r>
      <w:r w:rsidRPr="00637AA0">
        <w:rPr>
          <w:szCs w:val="20"/>
        </w:rPr>
        <w:t xml:space="preserve">ihívást jelent, hogy a </w:t>
      </w:r>
      <w:r>
        <w:rPr>
          <w:szCs w:val="20"/>
        </w:rPr>
        <w:t xml:space="preserve">2008-as </w:t>
      </w:r>
      <w:r w:rsidRPr="00637AA0">
        <w:rPr>
          <w:szCs w:val="20"/>
        </w:rPr>
        <w:t xml:space="preserve">gazdasági </w:t>
      </w:r>
      <w:r>
        <w:rPr>
          <w:szCs w:val="20"/>
        </w:rPr>
        <w:t xml:space="preserve">válságot követő </w:t>
      </w:r>
      <w:r w:rsidRPr="00637AA0">
        <w:rPr>
          <w:szCs w:val="20"/>
        </w:rPr>
        <w:t xml:space="preserve">növekedés </w:t>
      </w:r>
      <w:r>
        <w:rPr>
          <w:szCs w:val="20"/>
        </w:rPr>
        <w:t>fokozott</w:t>
      </w:r>
      <w:r w:rsidRPr="00637AA0">
        <w:rPr>
          <w:szCs w:val="20"/>
        </w:rPr>
        <w:t xml:space="preserve"> fogyasztási, energiafelhasználási igényeit hogyan lehet ellensúlyozni energiahatékonysági beruházásokkal, illetve a megújuló energiaforrások részarányának növelésével.</w:t>
      </w:r>
      <w:r>
        <w:rPr>
          <w:szCs w:val="20"/>
        </w:rPr>
        <w:t xml:space="preserve"> Ugyanakkor az önkormányzati szintű szerepvállalás erős korlátja az a körülmény, hogy </w:t>
      </w:r>
      <w:r w:rsidRPr="00DF5E5D">
        <w:rPr>
          <w:b/>
          <w:szCs w:val="20"/>
        </w:rPr>
        <w:t>a települési szinten vállalt CO</w:t>
      </w:r>
      <w:r w:rsidRPr="00DF5E5D">
        <w:rPr>
          <w:b/>
          <w:szCs w:val="20"/>
          <w:vertAlign w:val="subscript"/>
        </w:rPr>
        <w:t>2</w:t>
      </w:r>
      <w:r w:rsidRPr="00DF5E5D">
        <w:rPr>
          <w:b/>
          <w:szCs w:val="20"/>
        </w:rPr>
        <w:t>-csökkentési célok megvalósítása alapvetően az állami hatáskörben lévő energiapolitikai intézkedések és szerepvállalás következménye</w:t>
      </w:r>
      <w:r>
        <w:rPr>
          <w:szCs w:val="20"/>
        </w:rPr>
        <w:t>.</w:t>
      </w:r>
    </w:p>
    <w:p w14:paraId="346EEF4E" w14:textId="27288C70" w:rsidR="00541812" w:rsidRDefault="001D6635" w:rsidP="00ED4797">
      <w:pPr>
        <w:rPr>
          <w:szCs w:val="20"/>
        </w:rPr>
      </w:pPr>
      <w:r>
        <w:rPr>
          <w:szCs w:val="20"/>
        </w:rPr>
        <w:t xml:space="preserve">A 2005 és </w:t>
      </w:r>
      <w:r w:rsidR="00D14D19">
        <w:rPr>
          <w:szCs w:val="20"/>
        </w:rPr>
        <w:t xml:space="preserve">2018 </w:t>
      </w:r>
      <w:r>
        <w:rPr>
          <w:szCs w:val="20"/>
        </w:rPr>
        <w:t xml:space="preserve">közötti energiafelhasználás </w:t>
      </w:r>
      <w:r w:rsidRPr="00605D9A">
        <w:rPr>
          <w:szCs w:val="20"/>
        </w:rPr>
        <w:t>CO</w:t>
      </w:r>
      <w:r w:rsidRPr="00DF5E5D">
        <w:rPr>
          <w:szCs w:val="20"/>
          <w:vertAlign w:val="subscript"/>
        </w:rPr>
        <w:t>2</w:t>
      </w:r>
      <w:r w:rsidR="00D14D19">
        <w:rPr>
          <w:szCs w:val="20"/>
        </w:rPr>
        <w:t>-</w:t>
      </w:r>
      <w:r w:rsidRPr="00605D9A">
        <w:rPr>
          <w:szCs w:val="20"/>
        </w:rPr>
        <w:t>kibocsátás</w:t>
      </w:r>
      <w:r>
        <w:rPr>
          <w:szCs w:val="20"/>
        </w:rPr>
        <w:t>ban mérhető</w:t>
      </w:r>
      <w:r w:rsidRPr="00605D9A">
        <w:rPr>
          <w:szCs w:val="20"/>
        </w:rPr>
        <w:t xml:space="preserve"> </w:t>
      </w:r>
      <w:r>
        <w:rPr>
          <w:szCs w:val="20"/>
        </w:rPr>
        <w:t xml:space="preserve">alakulását a 2020-ra </w:t>
      </w:r>
      <w:r w:rsidR="001B0BA0">
        <w:rPr>
          <w:szCs w:val="20"/>
        </w:rPr>
        <w:t xml:space="preserve">és 2030-ra </w:t>
      </w:r>
      <w:r>
        <w:rPr>
          <w:szCs w:val="20"/>
        </w:rPr>
        <w:t>tervezett célállapot viszonyában az alábbi diagram szemlélteti tonnában kifejezve.</w:t>
      </w:r>
    </w:p>
    <w:p w14:paraId="6B6EE390" w14:textId="77777777" w:rsidR="00ED4797" w:rsidRDefault="00ED4797" w:rsidP="00ED4797">
      <w:pPr>
        <w:rPr>
          <w:szCs w:val="20"/>
        </w:rPr>
      </w:pPr>
    </w:p>
    <w:p w14:paraId="181CE9CD" w14:textId="77777777" w:rsidR="00ED4797" w:rsidRDefault="00ED4797" w:rsidP="00ED4797">
      <w:pPr>
        <w:rPr>
          <w:szCs w:val="20"/>
        </w:rPr>
      </w:pPr>
    </w:p>
    <w:p w14:paraId="284212E6" w14:textId="77777777" w:rsidR="00ED4797" w:rsidRDefault="00ED4797" w:rsidP="00ED4797">
      <w:pPr>
        <w:rPr>
          <w:szCs w:val="20"/>
        </w:rPr>
      </w:pPr>
    </w:p>
    <w:p w14:paraId="09DBC897" w14:textId="77777777" w:rsidR="00ED4797" w:rsidRDefault="00ED4797" w:rsidP="00ED4797">
      <w:pPr>
        <w:rPr>
          <w:szCs w:val="20"/>
        </w:rPr>
      </w:pPr>
    </w:p>
    <w:p w14:paraId="4FAB03D3" w14:textId="77777777" w:rsidR="00ED4797" w:rsidRDefault="00ED4797" w:rsidP="00ED4797">
      <w:pPr>
        <w:rPr>
          <w:szCs w:val="20"/>
        </w:rPr>
      </w:pPr>
    </w:p>
    <w:p w14:paraId="6EBE8D9E" w14:textId="77777777" w:rsidR="00ED4797" w:rsidRDefault="00ED4797" w:rsidP="00ED4797">
      <w:pPr>
        <w:rPr>
          <w:szCs w:val="20"/>
        </w:rPr>
      </w:pPr>
    </w:p>
    <w:p w14:paraId="1F4BC9AE" w14:textId="77777777" w:rsidR="00ED4797" w:rsidRDefault="00ED4797" w:rsidP="00ED4797">
      <w:pPr>
        <w:rPr>
          <w:szCs w:val="20"/>
        </w:rPr>
      </w:pPr>
    </w:p>
    <w:p w14:paraId="3A6983DD" w14:textId="77777777" w:rsidR="00ED4797" w:rsidRDefault="00ED4797" w:rsidP="00ED4797">
      <w:pPr>
        <w:rPr>
          <w:szCs w:val="20"/>
        </w:rPr>
      </w:pPr>
    </w:p>
    <w:p w14:paraId="08B80B27" w14:textId="699EDE2C" w:rsidR="00ED4797" w:rsidRDefault="00ED4797" w:rsidP="00ED4797">
      <w:pPr>
        <w:pStyle w:val="Kpalrs"/>
        <w:keepNext/>
      </w:pPr>
      <w:r w:rsidRPr="00FA0D88">
        <w:rPr>
          <w:b/>
        </w:rPr>
        <w:lastRenderedPageBreak/>
        <w:drawing>
          <wp:anchor distT="0" distB="0" distL="114300" distR="114300" simplePos="0" relativeHeight="251662848" behindDoc="0" locked="0" layoutInCell="1" allowOverlap="1" wp14:anchorId="44E1F673" wp14:editId="36241D8D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4429125" cy="3810000"/>
            <wp:effectExtent l="0" t="0" r="0" b="0"/>
            <wp:wrapNone/>
            <wp:docPr id="20" name="Diagram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DA6">
        <w:rPr>
          <w:b/>
        </w:rPr>
        <w:fldChar w:fldCharType="begin"/>
      </w:r>
      <w:r w:rsidR="009C7DA6">
        <w:rPr>
          <w:b/>
        </w:rPr>
        <w:instrText xml:space="preserve"> SEQ ábra \* ARABIC </w:instrText>
      </w:r>
      <w:r w:rsidR="009C7DA6">
        <w:rPr>
          <w:b/>
        </w:rPr>
        <w:fldChar w:fldCharType="separate"/>
      </w:r>
      <w:r w:rsidR="001A43FF">
        <w:rPr>
          <w:b/>
        </w:rPr>
        <w:t>1</w:t>
      </w:r>
      <w:r w:rsidR="009C7DA6">
        <w:rPr>
          <w:b/>
        </w:rPr>
        <w:fldChar w:fldCharType="end"/>
      </w:r>
      <w:r w:rsidRPr="00FA0D88">
        <w:rPr>
          <w:b/>
        </w:rPr>
        <w:t>. ábra:</w:t>
      </w:r>
      <w:r>
        <w:t xml:space="preserve"> Energiafelhasználáshoz kapcsolódó CO</w:t>
      </w:r>
      <w:r w:rsidRPr="00C36134">
        <w:rPr>
          <w:vertAlign w:val="subscript"/>
        </w:rPr>
        <w:t>2</w:t>
      </w:r>
      <w:r>
        <w:t xml:space="preserve"> kibocsátás változása a 2005. évi bázisértékhez képest</w:t>
      </w:r>
    </w:p>
    <w:p w14:paraId="17907FC8" w14:textId="77777777" w:rsidR="00ED4797" w:rsidRDefault="00ED4797" w:rsidP="00ED4797">
      <w:pPr>
        <w:rPr>
          <w:szCs w:val="20"/>
        </w:rPr>
      </w:pPr>
    </w:p>
    <w:p w14:paraId="1D82E05E" w14:textId="77777777" w:rsidR="00ED4797" w:rsidRDefault="00ED4797" w:rsidP="00ED4797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EF5FD89" wp14:editId="1E0C46B7">
            <wp:simplePos x="0" y="0"/>
            <wp:positionH relativeFrom="margin">
              <wp:posOffset>4528820</wp:posOffset>
            </wp:positionH>
            <wp:positionV relativeFrom="paragraph">
              <wp:posOffset>170180</wp:posOffset>
            </wp:positionV>
            <wp:extent cx="1571625" cy="1221105"/>
            <wp:effectExtent l="0" t="0" r="0" b="0"/>
            <wp:wrapNone/>
            <wp:docPr id="29" name="Diagra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63F47" w14:textId="77777777" w:rsidR="00ED4797" w:rsidRDefault="00ED4797" w:rsidP="00ED4797">
      <w:pPr>
        <w:spacing w:line="240" w:lineRule="auto"/>
        <w:rPr>
          <w:szCs w:val="20"/>
        </w:rPr>
      </w:pPr>
    </w:p>
    <w:p w14:paraId="5C166B6C" w14:textId="77777777" w:rsidR="00ED4797" w:rsidRDefault="00ED4797" w:rsidP="00ED4797">
      <w:pPr>
        <w:rPr>
          <w:szCs w:val="20"/>
        </w:rPr>
      </w:pPr>
    </w:p>
    <w:p w14:paraId="6323E5E6" w14:textId="77777777" w:rsidR="00ED4797" w:rsidRDefault="00ED4797" w:rsidP="00ED4797">
      <w:pPr>
        <w:rPr>
          <w:szCs w:val="20"/>
        </w:rPr>
      </w:pPr>
    </w:p>
    <w:p w14:paraId="73379652" w14:textId="77777777" w:rsidR="00ED4797" w:rsidRDefault="00ED4797" w:rsidP="00ED4797">
      <w:pPr>
        <w:tabs>
          <w:tab w:val="left" w:pos="2847"/>
        </w:tabs>
        <w:rPr>
          <w:szCs w:val="20"/>
        </w:rPr>
      </w:pPr>
      <w:r>
        <w:rPr>
          <w:szCs w:val="20"/>
        </w:rPr>
        <w:tab/>
      </w:r>
    </w:p>
    <w:p w14:paraId="368ECBF7" w14:textId="77777777" w:rsidR="00ED4797" w:rsidRDefault="00ED4797" w:rsidP="00ED4797">
      <w:pPr>
        <w:rPr>
          <w:szCs w:val="20"/>
        </w:rPr>
      </w:pPr>
    </w:p>
    <w:p w14:paraId="1F338618" w14:textId="77777777" w:rsidR="00ED4797" w:rsidRDefault="00ED4797" w:rsidP="00ED4797">
      <w:pPr>
        <w:rPr>
          <w:szCs w:val="20"/>
        </w:rPr>
      </w:pPr>
    </w:p>
    <w:p w14:paraId="16AC0583" w14:textId="77777777" w:rsidR="00ED4797" w:rsidRDefault="00ED4797" w:rsidP="00ED4797">
      <w:pPr>
        <w:rPr>
          <w:szCs w:val="20"/>
        </w:rPr>
      </w:pPr>
    </w:p>
    <w:p w14:paraId="605C2E4E" w14:textId="77777777" w:rsidR="00ED4797" w:rsidRDefault="00ED4797" w:rsidP="00ED4797">
      <w:pPr>
        <w:rPr>
          <w:szCs w:val="20"/>
        </w:rPr>
      </w:pPr>
    </w:p>
    <w:p w14:paraId="4B695D9F" w14:textId="77777777" w:rsidR="00ED4797" w:rsidRDefault="00ED4797" w:rsidP="00ED4797">
      <w:pPr>
        <w:rPr>
          <w:szCs w:val="20"/>
        </w:rPr>
      </w:pPr>
    </w:p>
    <w:p w14:paraId="24397D32" w14:textId="77777777" w:rsidR="00ED4797" w:rsidRDefault="00ED4797" w:rsidP="00ED4797">
      <w:pPr>
        <w:rPr>
          <w:szCs w:val="20"/>
        </w:rPr>
      </w:pPr>
    </w:p>
    <w:p w14:paraId="4C84B83C" w14:textId="77777777" w:rsidR="00ED4797" w:rsidRDefault="00ED4797" w:rsidP="00ED4797">
      <w:pPr>
        <w:rPr>
          <w:szCs w:val="20"/>
        </w:rPr>
      </w:pPr>
    </w:p>
    <w:p w14:paraId="1A9CC42B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 201</w:t>
      </w:r>
      <w:r>
        <w:rPr>
          <w:szCs w:val="20"/>
        </w:rPr>
        <w:t>8</w:t>
      </w:r>
      <w:r w:rsidRPr="009D1DB6">
        <w:rPr>
          <w:szCs w:val="20"/>
        </w:rPr>
        <w:t>. évi energiafelhasználást az</w:t>
      </w:r>
      <w:r>
        <w:rPr>
          <w:szCs w:val="20"/>
        </w:rPr>
        <w:t xml:space="preserve"> alábbi táblázat foglalja össze:</w:t>
      </w:r>
    </w:p>
    <w:p w14:paraId="0B1E6E74" w14:textId="2099D145" w:rsidR="00ED4797" w:rsidRDefault="00ED4797" w:rsidP="00ED4797">
      <w:pPr>
        <w:pStyle w:val="Kpalrs"/>
        <w:keepNext/>
      </w:pPr>
      <w:r w:rsidRPr="00FA0D88">
        <w:rPr>
          <w:b/>
        </w:rPr>
        <w:fldChar w:fldCharType="begin"/>
      </w:r>
      <w:r w:rsidRPr="00FA0D88">
        <w:rPr>
          <w:b/>
        </w:rPr>
        <w:instrText xml:space="preserve"> SEQ táblázat \* ARABIC </w:instrText>
      </w:r>
      <w:r w:rsidRPr="00FA0D88">
        <w:rPr>
          <w:b/>
        </w:rPr>
        <w:fldChar w:fldCharType="separate"/>
      </w:r>
      <w:r w:rsidR="001A43FF">
        <w:rPr>
          <w:b/>
        </w:rPr>
        <w:t>1</w:t>
      </w:r>
      <w:r w:rsidRPr="00FA0D88">
        <w:rPr>
          <w:b/>
        </w:rPr>
        <w:fldChar w:fldCharType="end"/>
      </w:r>
      <w:r w:rsidRPr="00FA0D88">
        <w:rPr>
          <w:b/>
        </w:rPr>
        <w:t>. táblázat:</w:t>
      </w:r>
      <w:r w:rsidRPr="001D6635">
        <w:t xml:space="preserve"> </w:t>
      </w:r>
      <w:r w:rsidRPr="009D1DB6">
        <w:t>Energiafelhasználás, 201</w:t>
      </w:r>
      <w:r>
        <w:t>8</w:t>
      </w:r>
      <w:r w:rsidRPr="009D1DB6">
        <w:t xml:space="preserve"> (saját számítás)</w:t>
      </w:r>
    </w:p>
    <w:tbl>
      <w:tblPr>
        <w:tblW w:w="6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3"/>
        <w:gridCol w:w="850"/>
        <w:gridCol w:w="624"/>
        <w:gridCol w:w="510"/>
        <w:gridCol w:w="907"/>
        <w:gridCol w:w="624"/>
        <w:gridCol w:w="454"/>
      </w:tblGrid>
      <w:tr w:rsidR="00ED4797" w:rsidRPr="00DA2318" w14:paraId="2644F7B6" w14:textId="77777777" w:rsidTr="00C86479">
        <w:trPr>
          <w:trHeight w:val="30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298020E6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Energiahordozók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337AD958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Energia</w:t>
            </w:r>
            <w:r>
              <w:rPr>
                <w:b/>
                <w:bCs/>
                <w:sz w:val="14"/>
                <w:szCs w:val="14"/>
              </w:rPr>
              <w:t>-</w:t>
            </w:r>
            <w:r w:rsidRPr="00DA2318">
              <w:rPr>
                <w:b/>
                <w:bCs/>
                <w:sz w:val="14"/>
                <w:szCs w:val="14"/>
              </w:rPr>
              <w:t>felhasználás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0AF0CAE1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CO</w:t>
            </w:r>
            <w:r w:rsidRPr="00DA2318">
              <w:rPr>
                <w:b/>
                <w:bCs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52A3DF45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Összesen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73B9497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CO</w:t>
            </w:r>
            <w:r w:rsidRPr="00DA2318">
              <w:rPr>
                <w:b/>
                <w:bCs/>
                <w:sz w:val="14"/>
                <w:szCs w:val="14"/>
                <w:vertAlign w:val="subscript"/>
              </w:rPr>
              <w:t>2</w:t>
            </w:r>
          </w:p>
        </w:tc>
      </w:tr>
      <w:tr w:rsidR="00ED4797" w:rsidRPr="00DA2318" w14:paraId="64BBCFB8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3EDFB6B1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végfelhasználásuk szerint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27707945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MWh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20E92529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2B43483F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bottom"/>
            <w:hideMark/>
          </w:tcPr>
          <w:p w14:paraId="4F37751F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1D95171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MWh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1D1AE"/>
            <w:noWrap/>
            <w:vAlign w:val="center"/>
            <w:hideMark/>
          </w:tcPr>
          <w:p w14:paraId="7BA42F69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</w:tr>
      <w:tr w:rsidR="00ED4797" w:rsidRPr="00DA2318" w14:paraId="04260A27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BA5C" w14:textId="77777777" w:rsidR="00ED4797" w:rsidRPr="00DA2318" w:rsidRDefault="00ED4797" w:rsidP="00C86479">
            <w:pPr>
              <w:spacing w:after="0" w:line="240" w:lineRule="auto"/>
              <w:ind w:right="0" w:firstLineChars="100" w:firstLine="141"/>
              <w:jc w:val="lef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Fosszilis energiahordozókból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2035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25 230 161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615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8</w:t>
            </w:r>
            <w:r>
              <w:rPr>
                <w:b/>
                <w:bCs/>
                <w:sz w:val="14"/>
                <w:szCs w:val="14"/>
              </w:rPr>
              <w:t>4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9A33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94EE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58C9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E744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 </w:t>
            </w:r>
          </w:p>
        </w:tc>
      </w:tr>
      <w:tr w:rsidR="00ED4797" w:rsidRPr="00DA2318" w14:paraId="0BF5849D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426023C1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Földgáz - lakóházak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D4875AE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7 922 114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FD79AD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6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D5CAD21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7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76AC892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Földgáz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69D4CFF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4</w:t>
            </w:r>
            <w:r>
              <w:rPr>
                <w:b/>
                <w:bCs/>
                <w:sz w:val="14"/>
                <w:szCs w:val="14"/>
              </w:rPr>
              <w:t>2</w:t>
            </w:r>
            <w:r w:rsidRPr="00DA2318">
              <w:rPr>
                <w:b/>
                <w:bCs/>
                <w:sz w:val="14"/>
                <w:szCs w:val="14"/>
              </w:rPr>
              <w:t>,</w:t>
            </w:r>
            <w:r>
              <w:rPr>
                <w:b/>
                <w:bCs/>
                <w:sz w:val="14"/>
                <w:szCs w:val="14"/>
              </w:rPr>
              <w:t>49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B9FC92D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2</w:t>
            </w:r>
            <w:r>
              <w:rPr>
                <w:b/>
                <w:bCs/>
                <w:sz w:val="14"/>
                <w:szCs w:val="14"/>
              </w:rPr>
              <w:t>8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</w:tr>
      <w:tr w:rsidR="00ED4797" w:rsidRPr="00DA2318" w14:paraId="4B5985B4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4ED3687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 xml:space="preserve">Földgáz - szolgáltató épületek, </w:t>
            </w:r>
            <w:r>
              <w:rPr>
                <w:sz w:val="14"/>
                <w:szCs w:val="14"/>
              </w:rPr>
              <w:br/>
              <w:t xml:space="preserve">       </w:t>
            </w:r>
            <w:r w:rsidRPr="00DA2318">
              <w:rPr>
                <w:sz w:val="14"/>
                <w:szCs w:val="14"/>
              </w:rPr>
              <w:t>létesítmények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B51BB6C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3 128 946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9900B09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0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60401DA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7%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2C80122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DE02F6C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3C88134F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27DBDE55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446B3996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Földgáz - ipar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08CF83F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1 564 473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B1C710A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5,</w:t>
            </w:r>
            <w:r>
              <w:rPr>
                <w:sz w:val="14"/>
                <w:szCs w:val="14"/>
              </w:rPr>
              <w:t>2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D29528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25506408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81A4FF7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447A6E07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075263BF" w14:textId="77777777" w:rsidTr="00C86479">
        <w:trPr>
          <w:trHeight w:val="315"/>
        </w:trPr>
        <w:tc>
          <w:tcPr>
            <w:tcW w:w="27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38ED29E9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Földgáz - önkormányzat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D6DB0F9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168 742</w:t>
            </w:r>
          </w:p>
        </w:tc>
        <w:tc>
          <w:tcPr>
            <w:tcW w:w="6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42B3EC9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0,6%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3A148873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40C37F1D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26F0657C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6F7219BD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32731F3D" w14:textId="77777777" w:rsidTr="00C86479">
        <w:trPr>
          <w:trHeight w:val="315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EC94211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Folyékony gáz (LPG)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9F88269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86 080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DAFAFE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0,3%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7FC7F91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0%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2CB6DC88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Közlekedési energia-felhasználás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E3714CF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2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DA2318">
              <w:rPr>
                <w:b/>
                <w:bCs/>
                <w:sz w:val="14"/>
                <w:szCs w:val="14"/>
              </w:rPr>
              <w:t>,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DA2318">
              <w:rPr>
                <w:b/>
                <w:bCs/>
                <w:sz w:val="14"/>
                <w:szCs w:val="14"/>
              </w:rPr>
              <w:t>5%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2264D60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19%</w:t>
            </w:r>
          </w:p>
        </w:tc>
      </w:tr>
      <w:tr w:rsidR="00ED4797" w:rsidRPr="00DA2318" w14:paraId="2693A92B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58225F4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Benzin és E85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CF6BD5B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3 003 518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0CB4358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9,</w:t>
            </w:r>
            <w:r>
              <w:rPr>
                <w:sz w:val="14"/>
                <w:szCs w:val="14"/>
              </w:rPr>
              <w:t>9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0E36767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8%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4F02AB7D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3479C8C8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3F18697D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239F1CA4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9CD9869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Gázolaj - közlekedés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F5CBA0E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 677 602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35A709F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  <w:r w:rsidRPr="00DA2318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2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F9F4CD2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10%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6D52CB95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C591548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20923244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6710BE55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A1A936D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Gázolaj - közösségi közlekedés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89679E3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80 788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FCEE9A3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</w:t>
            </w:r>
            <w:r>
              <w:rPr>
                <w:sz w:val="14"/>
                <w:szCs w:val="14"/>
              </w:rPr>
              <w:t>9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FE5C278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0C624E89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326BA88D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672DE756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0B69CB97" w14:textId="77777777" w:rsidTr="00C86479">
        <w:trPr>
          <w:trHeight w:val="315"/>
        </w:trPr>
        <w:tc>
          <w:tcPr>
            <w:tcW w:w="27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862B8E5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Gázolaj, fűtőolaj - önkormányzat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4E5BDFE3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 xml:space="preserve">7 </w:t>
            </w:r>
            <w:r>
              <w:rPr>
                <w:sz w:val="14"/>
                <w:szCs w:val="14"/>
              </w:rPr>
              <w:t>236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35A8F83C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0,0%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E47D76F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0%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5209BA9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1F00702C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D4E9D8"/>
            <w:vAlign w:val="center"/>
            <w:hideMark/>
          </w:tcPr>
          <w:p w14:paraId="6EDC104A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  <w:tr w:rsidR="00ED4797" w:rsidRPr="00DA2318" w14:paraId="1AE4BF59" w14:textId="77777777" w:rsidTr="00C86479">
        <w:trPr>
          <w:trHeight w:val="330"/>
        </w:trPr>
        <w:tc>
          <w:tcPr>
            <w:tcW w:w="27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4B41820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Fosszilis - villamos energia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3C0E6D46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2 8</w:t>
            </w:r>
            <w:r>
              <w:rPr>
                <w:sz w:val="14"/>
                <w:szCs w:val="14"/>
              </w:rPr>
              <w:t>17</w:t>
            </w:r>
            <w:r w:rsidRPr="00DA231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204</w:t>
            </w:r>
          </w:p>
        </w:tc>
        <w:tc>
          <w:tcPr>
            <w:tcW w:w="62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082F4C5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9%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AF4D0F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5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9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D01F57D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Villamos energia</w:t>
            </w:r>
          </w:p>
        </w:tc>
        <w:tc>
          <w:tcPr>
            <w:tcW w:w="6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F33A11C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2</w:t>
            </w:r>
            <w:r>
              <w:rPr>
                <w:b/>
                <w:bCs/>
                <w:sz w:val="14"/>
                <w:szCs w:val="14"/>
              </w:rPr>
              <w:t>4</w:t>
            </w:r>
            <w:r w:rsidRPr="00DA2318">
              <w:rPr>
                <w:b/>
                <w:bCs/>
                <w:sz w:val="14"/>
                <w:szCs w:val="14"/>
              </w:rPr>
              <w:t>,39%</w:t>
            </w:r>
          </w:p>
        </w:tc>
        <w:tc>
          <w:tcPr>
            <w:tcW w:w="4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AB8B42B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4</w:t>
            </w:r>
            <w:r>
              <w:rPr>
                <w:b/>
                <w:bCs/>
                <w:sz w:val="14"/>
                <w:szCs w:val="14"/>
              </w:rPr>
              <w:t>5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</w:tr>
      <w:tr w:rsidR="00ED4797" w:rsidRPr="00DA2318" w14:paraId="0DECA7B4" w14:textId="77777777" w:rsidTr="00C86479">
        <w:trPr>
          <w:trHeight w:val="315"/>
        </w:trPr>
        <w:tc>
          <w:tcPr>
            <w:tcW w:w="2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48D7832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Fosszilis - távhő termelés*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248FF36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 xml:space="preserve">2 </w:t>
            </w:r>
            <w:r>
              <w:rPr>
                <w:sz w:val="14"/>
                <w:szCs w:val="14"/>
              </w:rPr>
              <w:t>573</w:t>
            </w:r>
            <w:r w:rsidRPr="00DA231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4E9D8"/>
            <w:noWrap/>
            <w:vAlign w:val="center"/>
            <w:hideMark/>
          </w:tcPr>
          <w:p w14:paraId="5573ADC8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1DEB276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7714CC7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Távhő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09B6E6D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9,</w:t>
            </w:r>
            <w:r>
              <w:rPr>
                <w:b/>
                <w:bCs/>
                <w:sz w:val="14"/>
                <w:szCs w:val="14"/>
              </w:rPr>
              <w:t>17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65E7EFF0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</w:tr>
      <w:tr w:rsidR="00ED4797" w:rsidRPr="00DA2318" w14:paraId="1F5A795C" w14:textId="77777777" w:rsidTr="00C86479">
        <w:trPr>
          <w:trHeight w:val="30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5757" w14:textId="77777777" w:rsidR="00ED4797" w:rsidRPr="00DA2318" w:rsidRDefault="00ED4797" w:rsidP="00C86479">
            <w:pPr>
              <w:spacing w:after="0" w:line="240" w:lineRule="auto"/>
              <w:ind w:right="0" w:firstLineChars="100" w:firstLine="141"/>
              <w:jc w:val="lef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 xml:space="preserve">Atomenergiából - villamos energia </w:t>
            </w:r>
            <w:r>
              <w:rPr>
                <w:b/>
                <w:bCs/>
                <w:sz w:val="14"/>
                <w:szCs w:val="14"/>
              </w:rPr>
              <w:br/>
              <w:t xml:space="preserve">    t</w:t>
            </w:r>
            <w:r w:rsidRPr="00DA2318">
              <w:rPr>
                <w:b/>
                <w:bCs/>
                <w:sz w:val="14"/>
                <w:szCs w:val="14"/>
              </w:rPr>
              <w:t>ermelés**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923A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3</w:t>
            </w:r>
            <w:r>
              <w:rPr>
                <w:b/>
                <w:bCs/>
                <w:sz w:val="14"/>
                <w:szCs w:val="14"/>
              </w:rPr>
              <w:t> 609 542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8AF3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1</w:t>
            </w:r>
            <w:r>
              <w:rPr>
                <w:b/>
                <w:bCs/>
                <w:sz w:val="14"/>
                <w:szCs w:val="14"/>
              </w:rPr>
              <w:t>2</w:t>
            </w:r>
            <w:r w:rsidRPr="00DA2318">
              <w:rPr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249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A3185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i/>
                <w:iCs/>
                <w:sz w:val="14"/>
                <w:szCs w:val="14"/>
              </w:rPr>
            </w:pPr>
            <w:r w:rsidRPr="00DA2318">
              <w:rPr>
                <w:i/>
                <w:iCs/>
                <w:sz w:val="14"/>
                <w:szCs w:val="14"/>
              </w:rPr>
              <w:t>* csak FŐTÁV adatszolgáltatás; **villamos energia hazai termelése arányában - 201</w:t>
            </w:r>
            <w:r>
              <w:rPr>
                <w:i/>
                <w:iCs/>
                <w:sz w:val="14"/>
                <w:szCs w:val="14"/>
              </w:rPr>
              <w:t>8</w:t>
            </w:r>
            <w:r w:rsidRPr="00DA2318">
              <w:rPr>
                <w:i/>
                <w:iCs/>
                <w:sz w:val="14"/>
                <w:szCs w:val="14"/>
              </w:rPr>
              <w:t>. (MEKH adatszolgáltatás); ***geotermikus energia, biomassza, biogáz</w:t>
            </w:r>
          </w:p>
        </w:tc>
      </w:tr>
      <w:tr w:rsidR="00ED4797" w:rsidRPr="00DA2318" w14:paraId="634B4887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812E" w14:textId="77777777" w:rsidR="00ED4797" w:rsidRPr="00DA2318" w:rsidRDefault="00ED4797" w:rsidP="00C86479">
            <w:pPr>
              <w:spacing w:after="0" w:line="240" w:lineRule="auto"/>
              <w:ind w:right="0" w:firstLineChars="100" w:firstLine="141"/>
              <w:jc w:val="lef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Megújuló energiahordozókból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BBD9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1</w:t>
            </w:r>
            <w:r>
              <w:rPr>
                <w:b/>
                <w:bCs/>
                <w:sz w:val="14"/>
                <w:szCs w:val="14"/>
              </w:rPr>
              <w:t> 245 606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2A4E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4%</w:t>
            </w:r>
          </w:p>
        </w:tc>
        <w:tc>
          <w:tcPr>
            <w:tcW w:w="249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38CE34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i/>
                <w:iCs/>
                <w:sz w:val="14"/>
                <w:szCs w:val="14"/>
              </w:rPr>
            </w:pPr>
          </w:p>
        </w:tc>
      </w:tr>
      <w:tr w:rsidR="00ED4797" w:rsidRPr="00DA2318" w14:paraId="22D4CCD0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A2A4041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Villamos energia hazai termelés**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1EFD5F5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909</w:t>
            </w:r>
            <w:r w:rsidRPr="00DA231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722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8EFD167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3%</w:t>
            </w:r>
          </w:p>
        </w:tc>
        <w:tc>
          <w:tcPr>
            <w:tcW w:w="249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3411523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i/>
                <w:iCs/>
                <w:sz w:val="14"/>
                <w:szCs w:val="14"/>
              </w:rPr>
            </w:pPr>
          </w:p>
        </w:tc>
      </w:tr>
      <w:tr w:rsidR="00ED4797" w:rsidRPr="00DA2318" w14:paraId="2FBD306C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58C20D05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Távhő termelés*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277A6145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84</w:t>
            </w:r>
            <w:r w:rsidRPr="00DA231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804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1CF24F7D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</w:t>
            </w:r>
            <w:r>
              <w:rPr>
                <w:sz w:val="14"/>
                <w:szCs w:val="14"/>
              </w:rPr>
              <w:t>6</w:t>
            </w:r>
            <w:r w:rsidRPr="00DA2318">
              <w:rPr>
                <w:sz w:val="14"/>
                <w:szCs w:val="14"/>
              </w:rPr>
              <w:t>%</w:t>
            </w:r>
          </w:p>
        </w:tc>
        <w:tc>
          <w:tcPr>
            <w:tcW w:w="249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E02376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i/>
                <w:iCs/>
                <w:sz w:val="14"/>
                <w:szCs w:val="14"/>
              </w:rPr>
            </w:pPr>
          </w:p>
        </w:tc>
      </w:tr>
      <w:tr w:rsidR="00ED4797" w:rsidRPr="00DA2318" w14:paraId="1AE18ABC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07F76ED0" w14:textId="77777777" w:rsidR="00ED4797" w:rsidRPr="00DA2318" w:rsidRDefault="00ED4797" w:rsidP="00C86479">
            <w:pPr>
              <w:spacing w:after="0" w:line="240" w:lineRule="auto"/>
              <w:ind w:right="0" w:firstLineChars="200" w:firstLine="280"/>
              <w:jc w:val="left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További megújulók***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3A62D14B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151 080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E9D8"/>
            <w:noWrap/>
            <w:vAlign w:val="center"/>
            <w:hideMark/>
          </w:tcPr>
          <w:p w14:paraId="7C03F8C5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sz w:val="14"/>
                <w:szCs w:val="14"/>
              </w:rPr>
            </w:pPr>
            <w:r w:rsidRPr="00DA2318">
              <w:rPr>
                <w:sz w:val="14"/>
                <w:szCs w:val="14"/>
              </w:rPr>
              <w:t>0,5%</w:t>
            </w:r>
          </w:p>
        </w:tc>
        <w:tc>
          <w:tcPr>
            <w:tcW w:w="249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F6B8531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i/>
                <w:iCs/>
                <w:sz w:val="14"/>
                <w:szCs w:val="14"/>
              </w:rPr>
            </w:pPr>
          </w:p>
        </w:tc>
      </w:tr>
      <w:tr w:rsidR="00ED4797" w:rsidRPr="00DA2318" w14:paraId="56AE90BA" w14:textId="77777777" w:rsidTr="00C86479">
        <w:trPr>
          <w:trHeight w:val="300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1148" w14:textId="77777777" w:rsidR="00ED4797" w:rsidRPr="00DA2318" w:rsidRDefault="00ED4797" w:rsidP="00C86479">
            <w:pPr>
              <w:spacing w:after="0" w:line="240" w:lineRule="auto"/>
              <w:ind w:right="0" w:firstLineChars="100" w:firstLine="141"/>
              <w:jc w:val="lef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Összesen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DFD5" w14:textId="77777777" w:rsidR="00ED4797" w:rsidRPr="00DA2318" w:rsidRDefault="00ED4797" w:rsidP="00C86479">
            <w:pPr>
              <w:spacing w:after="0" w:line="240" w:lineRule="auto"/>
              <w:ind w:right="0"/>
              <w:jc w:val="right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30</w:t>
            </w:r>
            <w:r>
              <w:rPr>
                <w:b/>
                <w:bCs/>
                <w:sz w:val="14"/>
                <w:szCs w:val="14"/>
              </w:rPr>
              <w:t> 085 309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EB4" w14:textId="77777777" w:rsidR="00ED4797" w:rsidRPr="00DA2318" w:rsidRDefault="00ED4797" w:rsidP="00C86479">
            <w:pPr>
              <w:spacing w:after="0" w:line="240" w:lineRule="auto"/>
              <w:ind w:right="0"/>
              <w:jc w:val="center"/>
              <w:rPr>
                <w:b/>
                <w:bCs/>
                <w:sz w:val="14"/>
                <w:szCs w:val="14"/>
              </w:rPr>
            </w:pPr>
            <w:r w:rsidRPr="00DA2318">
              <w:rPr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24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5ACE71" w14:textId="77777777" w:rsidR="00ED4797" w:rsidRPr="00DA2318" w:rsidRDefault="00ED4797" w:rsidP="00C86479">
            <w:pPr>
              <w:spacing w:after="0" w:line="240" w:lineRule="auto"/>
              <w:ind w:right="0"/>
              <w:jc w:val="left"/>
              <w:rPr>
                <w:i/>
                <w:iCs/>
                <w:sz w:val="14"/>
                <w:szCs w:val="14"/>
              </w:rPr>
            </w:pPr>
          </w:p>
        </w:tc>
      </w:tr>
    </w:tbl>
    <w:p w14:paraId="01F31AF2" w14:textId="77777777" w:rsidR="00ED4797" w:rsidRPr="001D6635" w:rsidRDefault="00ED4797" w:rsidP="00ED4797">
      <w:pPr>
        <w:rPr>
          <w:szCs w:val="20"/>
        </w:rPr>
      </w:pPr>
      <w:r w:rsidRPr="001D6635">
        <w:rPr>
          <w:szCs w:val="20"/>
        </w:rPr>
        <w:lastRenderedPageBreak/>
        <w:t>Fentiek alapján a fővárosi energiagazdálkodás, illetve annak környezeti szempontú részletei, összefüggései az alábbiak szerint foglalhatók össze, különös tekintettel a főbb tényezőkre és az energiahatékonyság szempontjaira.</w:t>
      </w:r>
    </w:p>
    <w:p w14:paraId="665D748D" w14:textId="77777777" w:rsidR="00ED4797" w:rsidRPr="009D1DB6" w:rsidRDefault="00ED4797" w:rsidP="00ED4797">
      <w:pPr>
        <w:pStyle w:val="Cmsor5"/>
      </w:pPr>
      <w:r w:rsidRPr="009D1DB6">
        <w:t>Gázellátás</w:t>
      </w:r>
    </w:p>
    <w:p w14:paraId="2A4D3FBC" w14:textId="77777777" w:rsidR="00ED4797" w:rsidRPr="001D6635" w:rsidRDefault="00ED4797" w:rsidP="00ED4797">
      <w:pPr>
        <w:rPr>
          <w:szCs w:val="20"/>
        </w:rPr>
      </w:pPr>
      <w:r w:rsidRPr="001D6635">
        <w:rPr>
          <w:szCs w:val="20"/>
        </w:rPr>
        <w:t xml:space="preserve">A budapesti végfelhasználás szerint a </w:t>
      </w:r>
      <w:r w:rsidRPr="00D9392A">
        <w:rPr>
          <w:b/>
          <w:szCs w:val="20"/>
        </w:rPr>
        <w:t>legjelentősebb energiahordozó a földgáz</w:t>
      </w:r>
      <w:r w:rsidRPr="001D6635">
        <w:rPr>
          <w:szCs w:val="20"/>
        </w:rPr>
        <w:t xml:space="preserve"> (4</w:t>
      </w:r>
      <w:r>
        <w:rPr>
          <w:szCs w:val="20"/>
        </w:rPr>
        <w:t>2</w:t>
      </w:r>
      <w:r w:rsidRPr="001D6635">
        <w:rPr>
          <w:szCs w:val="20"/>
        </w:rPr>
        <w:t xml:space="preserve">%), amely a kisebb hazai termelés mellett (elsősorban orosz) import útján kerül a fogyasztókhoz. A nagynyomású országos gázhálózatok és létesítményeik – a gázátadó-, nyomásszabályzó (csökkentő) állomások – a jelenlegi igényt biztosítani tudják, illetve rendelkeznek tartalékokkal. A főváros </w:t>
      </w:r>
      <w:r w:rsidRPr="00D9392A">
        <w:rPr>
          <w:b/>
          <w:szCs w:val="20"/>
        </w:rPr>
        <w:t>gázellátottság</w:t>
      </w:r>
      <w:r w:rsidRPr="001D6635">
        <w:rPr>
          <w:szCs w:val="20"/>
        </w:rPr>
        <w:t xml:space="preserve">a gyakorlatilag </w:t>
      </w:r>
      <w:r w:rsidRPr="00D9392A">
        <w:rPr>
          <w:b/>
          <w:szCs w:val="20"/>
        </w:rPr>
        <w:t>teljes</w:t>
      </w:r>
      <w:r w:rsidRPr="001D6635">
        <w:rPr>
          <w:szCs w:val="20"/>
        </w:rPr>
        <w:t>nek tekinthető.</w:t>
      </w:r>
    </w:p>
    <w:p w14:paraId="7092D919" w14:textId="77777777" w:rsidR="00ED4797" w:rsidRPr="001D6635" w:rsidRDefault="00ED4797" w:rsidP="00ED4797">
      <w:pPr>
        <w:rPr>
          <w:szCs w:val="20"/>
        </w:rPr>
      </w:pPr>
      <w:r w:rsidRPr="001D6635">
        <w:rPr>
          <w:szCs w:val="20"/>
        </w:rPr>
        <w:t xml:space="preserve">A </w:t>
      </w:r>
      <w:r>
        <w:rPr>
          <w:szCs w:val="20"/>
        </w:rPr>
        <w:t xml:space="preserve">fővárosi </w:t>
      </w:r>
      <w:r w:rsidRPr="001D6635">
        <w:rPr>
          <w:szCs w:val="20"/>
        </w:rPr>
        <w:t>lakossági gázfelhasználás – a Magyar Energetikai és Közmű-szabályozási Hivatal adatai alapján – a</w:t>
      </w:r>
      <w:r>
        <w:rPr>
          <w:szCs w:val="20"/>
        </w:rPr>
        <w:t>z országos tendenciát követi.</w:t>
      </w:r>
      <w:r w:rsidRPr="001D6635">
        <w:rPr>
          <w:szCs w:val="20"/>
        </w:rPr>
        <w:t xml:space="preserve"> </w:t>
      </w:r>
      <w:r>
        <w:rPr>
          <w:szCs w:val="20"/>
        </w:rPr>
        <w:t>2014 óta a fővárosi földgáz végfelhasználás évről-évre növekedett, 2018-ban 6,5%-os csökkenés volt tapasztalható előző évhez képest.</w:t>
      </w:r>
    </w:p>
    <w:p w14:paraId="4C9F9110" w14:textId="77777777" w:rsidR="00ED4797" w:rsidRDefault="00ED4797" w:rsidP="00ED4797">
      <w:pPr>
        <w:rPr>
          <w:szCs w:val="20"/>
        </w:rPr>
      </w:pPr>
      <w:r w:rsidRPr="001D6635">
        <w:rPr>
          <w:szCs w:val="20"/>
        </w:rPr>
        <w:t xml:space="preserve">A </w:t>
      </w:r>
      <w:r w:rsidRPr="00D9392A">
        <w:rPr>
          <w:b/>
          <w:szCs w:val="20"/>
        </w:rPr>
        <w:t>lakossági fogyasztás</w:t>
      </w:r>
      <w:r w:rsidRPr="001D6635">
        <w:rPr>
          <w:szCs w:val="20"/>
        </w:rPr>
        <w:t xml:space="preserve"> – </w:t>
      </w:r>
      <w:r>
        <w:rPr>
          <w:szCs w:val="20"/>
        </w:rPr>
        <w:t>a</w:t>
      </w:r>
      <w:r w:rsidRPr="001D6635">
        <w:rPr>
          <w:szCs w:val="20"/>
        </w:rPr>
        <w:t>mely a 201</w:t>
      </w:r>
      <w:r>
        <w:rPr>
          <w:szCs w:val="20"/>
        </w:rPr>
        <w:t>8</w:t>
      </w:r>
      <w:r w:rsidRPr="001D6635">
        <w:rPr>
          <w:szCs w:val="20"/>
        </w:rPr>
        <w:t xml:space="preserve">. évi földgáz-végfelhasználáson belül 62% – továbbra is a legmeghatározóbb a fővárosi energiafelhasználáson belül. </w:t>
      </w:r>
      <w:r w:rsidRPr="00D9392A">
        <w:rPr>
          <w:b/>
          <w:szCs w:val="20"/>
        </w:rPr>
        <w:t>A fővárosi földgáz-végfogyasztás a 201</w:t>
      </w:r>
      <w:r>
        <w:rPr>
          <w:b/>
          <w:szCs w:val="20"/>
        </w:rPr>
        <w:t>8</w:t>
      </w:r>
      <w:r w:rsidRPr="00D9392A">
        <w:rPr>
          <w:b/>
          <w:szCs w:val="20"/>
        </w:rPr>
        <w:t>. évi budapesti</w:t>
      </w:r>
      <w:r w:rsidRPr="001D6635">
        <w:rPr>
          <w:szCs w:val="20"/>
        </w:rPr>
        <w:t xml:space="preserve"> energiafelhasználáshoz köthető</w:t>
      </w:r>
      <w:r>
        <w:rPr>
          <w:szCs w:val="20"/>
        </w:rPr>
        <w:br/>
      </w:r>
      <w:r w:rsidRPr="00D9392A">
        <w:rPr>
          <w:b/>
          <w:szCs w:val="20"/>
        </w:rPr>
        <w:t>CO</w:t>
      </w:r>
      <w:r w:rsidRPr="00D9392A">
        <w:rPr>
          <w:b/>
          <w:szCs w:val="20"/>
          <w:vertAlign w:val="subscript"/>
        </w:rPr>
        <w:t>2</w:t>
      </w:r>
      <w:r w:rsidRPr="00D9392A">
        <w:rPr>
          <w:b/>
          <w:szCs w:val="20"/>
        </w:rPr>
        <w:t>-kibocsátáshoz 2</w:t>
      </w:r>
      <w:r>
        <w:rPr>
          <w:b/>
          <w:szCs w:val="20"/>
        </w:rPr>
        <w:t>8</w:t>
      </w:r>
      <w:r w:rsidRPr="00D9392A">
        <w:rPr>
          <w:b/>
          <w:szCs w:val="20"/>
        </w:rPr>
        <w:t>%-ban járult hozzá</w:t>
      </w:r>
      <w:r w:rsidRPr="001D6635">
        <w:rPr>
          <w:szCs w:val="20"/>
        </w:rPr>
        <w:t xml:space="preserve">, ezen belül </w:t>
      </w:r>
      <w:r w:rsidRPr="00D9392A">
        <w:rPr>
          <w:b/>
          <w:szCs w:val="20"/>
        </w:rPr>
        <w:t>a legnagyobb</w:t>
      </w:r>
      <w:r w:rsidRPr="001D6635">
        <w:rPr>
          <w:szCs w:val="20"/>
        </w:rPr>
        <w:t xml:space="preserve"> részt </w:t>
      </w:r>
      <w:r w:rsidRPr="00D9392A">
        <w:rPr>
          <w:b/>
          <w:szCs w:val="20"/>
        </w:rPr>
        <w:t>a lakóházak</w:t>
      </w:r>
      <w:r w:rsidRPr="001D6635">
        <w:rPr>
          <w:szCs w:val="20"/>
        </w:rPr>
        <w:t xml:space="preserve"> (leginkább fűtési célú) </w:t>
      </w:r>
      <w:r w:rsidRPr="00D9392A">
        <w:rPr>
          <w:b/>
          <w:szCs w:val="20"/>
        </w:rPr>
        <w:t>földgázfogyasztásához</w:t>
      </w:r>
      <w:r w:rsidRPr="001D6635">
        <w:rPr>
          <w:szCs w:val="20"/>
        </w:rPr>
        <w:t xml:space="preserve"> köthető (</w:t>
      </w:r>
      <w:r w:rsidRPr="00D9392A">
        <w:rPr>
          <w:b/>
          <w:szCs w:val="20"/>
        </w:rPr>
        <w:t>1</w:t>
      </w:r>
      <w:r>
        <w:rPr>
          <w:b/>
          <w:szCs w:val="20"/>
        </w:rPr>
        <w:t>7</w:t>
      </w:r>
      <w:r w:rsidRPr="00D9392A">
        <w:rPr>
          <w:b/>
          <w:szCs w:val="20"/>
        </w:rPr>
        <w:t>%</w:t>
      </w:r>
      <w:r w:rsidRPr="001D6635">
        <w:rPr>
          <w:szCs w:val="20"/>
        </w:rPr>
        <w:t xml:space="preserve">), majd </w:t>
      </w:r>
      <w:r w:rsidRPr="00D9392A">
        <w:rPr>
          <w:b/>
          <w:szCs w:val="20"/>
        </w:rPr>
        <w:t>a szolgáltató épületek</w:t>
      </w:r>
      <w:r w:rsidRPr="001D6635">
        <w:rPr>
          <w:szCs w:val="20"/>
        </w:rPr>
        <w:t>, létesítmények kibocsátásai (</w:t>
      </w:r>
      <w:r w:rsidRPr="00D9392A">
        <w:rPr>
          <w:b/>
          <w:szCs w:val="20"/>
        </w:rPr>
        <w:t>7%</w:t>
      </w:r>
      <w:r w:rsidRPr="001D6635">
        <w:rPr>
          <w:szCs w:val="20"/>
        </w:rPr>
        <w:t>) adják.</w:t>
      </w:r>
    </w:p>
    <w:p w14:paraId="208CEBC1" w14:textId="77777777" w:rsidR="00ED4797" w:rsidRPr="009D1DB6" w:rsidRDefault="00ED4797" w:rsidP="00ED4797">
      <w:pPr>
        <w:pStyle w:val="Cmsor5"/>
      </w:pPr>
      <w:r w:rsidRPr="009D1DB6">
        <w:t>Villamosenergia-ellátás</w:t>
      </w:r>
    </w:p>
    <w:p w14:paraId="593D15E4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 xml:space="preserve">A villamosenergia-hálózatok Budapest teljes területét úgy fedik le, hogy azokról a fogyasztók </w:t>
      </w:r>
      <w:r w:rsidRPr="00D9392A">
        <w:rPr>
          <w:b/>
          <w:szCs w:val="20"/>
        </w:rPr>
        <w:t>ellátás</w:t>
      </w:r>
      <w:r w:rsidRPr="009D1DB6">
        <w:rPr>
          <w:szCs w:val="20"/>
        </w:rPr>
        <w:t xml:space="preserve">a gyakorlatilag </w:t>
      </w:r>
      <w:r w:rsidRPr="00400873">
        <w:rPr>
          <w:szCs w:val="20"/>
        </w:rPr>
        <w:t>teljes</w:t>
      </w:r>
      <w:r w:rsidRPr="009D1DB6">
        <w:rPr>
          <w:szCs w:val="20"/>
        </w:rPr>
        <w:t>nek tekinthető</w:t>
      </w:r>
      <w:r>
        <w:rPr>
          <w:szCs w:val="20"/>
        </w:rPr>
        <w:t>;</w:t>
      </w:r>
      <w:r w:rsidRPr="009D1DB6">
        <w:rPr>
          <w:szCs w:val="20"/>
        </w:rPr>
        <w:t xml:space="preserve"> az igényekhez </w:t>
      </w:r>
      <w:r w:rsidRPr="00D9392A">
        <w:rPr>
          <w:b/>
          <w:szCs w:val="20"/>
        </w:rPr>
        <w:t>tartalékokkal is rendelkeznek</w:t>
      </w:r>
      <w:r w:rsidRPr="009D1DB6">
        <w:rPr>
          <w:szCs w:val="20"/>
        </w:rPr>
        <w:t>.</w:t>
      </w:r>
      <w:r>
        <w:rPr>
          <w:szCs w:val="20"/>
        </w:rPr>
        <w:t xml:space="preserve"> </w:t>
      </w:r>
      <w:r w:rsidRPr="009D1DB6">
        <w:rPr>
          <w:szCs w:val="20"/>
        </w:rPr>
        <w:t xml:space="preserve">A tartalékokat a helyi villamosenergia-termelő berendezések is kiegészítik, amelyek lehetnek az 500 kW és 5 MW közötti beépített teljesítményű kiserőművek (15-20 db), továbbá a </w:t>
      </w:r>
      <w:r w:rsidRPr="00400873">
        <w:rPr>
          <w:szCs w:val="20"/>
        </w:rPr>
        <w:t>gázmotoros energiatermelő egységek</w:t>
      </w:r>
      <w:r>
        <w:rPr>
          <w:szCs w:val="20"/>
        </w:rPr>
        <w:t xml:space="preserve"> </w:t>
      </w:r>
      <w:r w:rsidRPr="00400873">
        <w:rPr>
          <w:szCs w:val="20"/>
        </w:rPr>
        <w:t>(5-10 db), valamint az akár nap-, szélenergiával működő háztart</w:t>
      </w:r>
      <w:r>
        <w:rPr>
          <w:szCs w:val="20"/>
        </w:rPr>
        <w:t xml:space="preserve">ási méretű kiserőművek (mintegy </w:t>
      </w:r>
      <w:r w:rsidRPr="00400873">
        <w:rPr>
          <w:szCs w:val="20"/>
        </w:rPr>
        <w:t>200 db).</w:t>
      </w:r>
    </w:p>
    <w:p w14:paraId="177DB04F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Az energiahordozók összes mennyiségének 201</w:t>
      </w:r>
      <w:r>
        <w:rPr>
          <w:szCs w:val="20"/>
        </w:rPr>
        <w:t>8</w:t>
      </w:r>
      <w:r w:rsidRPr="009D1DB6">
        <w:rPr>
          <w:szCs w:val="20"/>
        </w:rPr>
        <w:t>. évi budapesti végfelhasználását tekintve</w:t>
      </w:r>
      <w:r>
        <w:rPr>
          <w:szCs w:val="20"/>
        </w:rPr>
        <w:t xml:space="preserve"> </w:t>
      </w:r>
      <w:r w:rsidRPr="00D9392A">
        <w:rPr>
          <w:b/>
          <w:szCs w:val="20"/>
        </w:rPr>
        <w:t>a villamos energia aránya mintegy 2</w:t>
      </w:r>
      <w:r>
        <w:rPr>
          <w:b/>
          <w:szCs w:val="20"/>
        </w:rPr>
        <w:t>4</w:t>
      </w:r>
      <w:r w:rsidRPr="00D9392A">
        <w:rPr>
          <w:b/>
          <w:szCs w:val="20"/>
        </w:rPr>
        <w:t>%</w:t>
      </w:r>
      <w:r w:rsidRPr="009D1DB6">
        <w:rPr>
          <w:szCs w:val="20"/>
        </w:rPr>
        <w:t>. 201</w:t>
      </w:r>
      <w:r>
        <w:rPr>
          <w:szCs w:val="20"/>
        </w:rPr>
        <w:t>8-ban</w:t>
      </w:r>
      <w:r w:rsidRPr="009D1DB6">
        <w:rPr>
          <w:szCs w:val="20"/>
        </w:rPr>
        <w:t xml:space="preserve"> – a MEKH adatai a</w:t>
      </w:r>
      <w:r>
        <w:rPr>
          <w:szCs w:val="20"/>
        </w:rPr>
        <w:t>lapján – a korábbi évhez képest 1,1</w:t>
      </w:r>
      <w:r w:rsidRPr="000F084A">
        <w:rPr>
          <w:szCs w:val="20"/>
        </w:rPr>
        <w:t>%-kal nőtt a</w:t>
      </w:r>
      <w:r>
        <w:rPr>
          <w:szCs w:val="20"/>
        </w:rPr>
        <w:t xml:space="preserve"> háztartások végső villamosenergia-felhasználása országos szinten</w:t>
      </w:r>
      <w:r w:rsidRPr="009D1DB6">
        <w:rPr>
          <w:szCs w:val="20"/>
        </w:rPr>
        <w:t>. A fővárosi hálózati engedélyes (ELMŰ Hálózati Kft., akinek a hatóságtól kapott joga és kizárólagos felelőssége a hálózat fenntartása) adatai alapján a Budapest területén átadott villamos energia mennyisége 201</w:t>
      </w:r>
      <w:r>
        <w:rPr>
          <w:szCs w:val="20"/>
        </w:rPr>
        <w:t>8</w:t>
      </w:r>
      <w:r w:rsidRPr="009D1DB6">
        <w:rPr>
          <w:szCs w:val="20"/>
        </w:rPr>
        <w:t>-b</w:t>
      </w:r>
      <w:r>
        <w:rPr>
          <w:szCs w:val="20"/>
        </w:rPr>
        <w:t>a</w:t>
      </w:r>
      <w:r w:rsidRPr="009D1DB6">
        <w:rPr>
          <w:szCs w:val="20"/>
        </w:rPr>
        <w:t>n</w:t>
      </w:r>
      <w:r>
        <w:rPr>
          <w:szCs w:val="20"/>
        </w:rPr>
        <w:br/>
        <w:t>7,3</w:t>
      </w:r>
      <w:r w:rsidRPr="009D1DB6">
        <w:rPr>
          <w:szCs w:val="20"/>
        </w:rPr>
        <w:t xml:space="preserve"> millió MWh volt, amely </w:t>
      </w:r>
      <w:r>
        <w:rPr>
          <w:szCs w:val="20"/>
        </w:rPr>
        <w:t>0</w:t>
      </w:r>
      <w:r w:rsidRPr="009D1DB6">
        <w:rPr>
          <w:szCs w:val="20"/>
        </w:rPr>
        <w:t>,</w:t>
      </w:r>
      <w:r>
        <w:rPr>
          <w:szCs w:val="20"/>
        </w:rPr>
        <w:t>3</w:t>
      </w:r>
      <w:r w:rsidRPr="009D1DB6">
        <w:rPr>
          <w:szCs w:val="20"/>
        </w:rPr>
        <w:t>%-kal volt magasabb a 201</w:t>
      </w:r>
      <w:r>
        <w:rPr>
          <w:szCs w:val="20"/>
        </w:rPr>
        <w:t>7</w:t>
      </w:r>
      <w:r w:rsidRPr="009D1DB6">
        <w:rPr>
          <w:szCs w:val="20"/>
        </w:rPr>
        <w:t xml:space="preserve">. évinél. </w:t>
      </w:r>
    </w:p>
    <w:p w14:paraId="4BE1906E" w14:textId="77777777" w:rsidR="00ED4797" w:rsidRDefault="00ED4797" w:rsidP="00ED4797">
      <w:pPr>
        <w:rPr>
          <w:szCs w:val="20"/>
        </w:rPr>
      </w:pPr>
      <w:r w:rsidRPr="00D9392A">
        <w:rPr>
          <w:b/>
          <w:szCs w:val="20"/>
        </w:rPr>
        <w:t>A fővárosi villamosenergia-fogyasztás a 201</w:t>
      </w:r>
      <w:r>
        <w:rPr>
          <w:b/>
          <w:szCs w:val="20"/>
        </w:rPr>
        <w:t>8</w:t>
      </w:r>
      <w:r w:rsidRPr="00D9392A">
        <w:rPr>
          <w:b/>
          <w:szCs w:val="20"/>
        </w:rPr>
        <w:t>. évi budapesti</w:t>
      </w:r>
      <w:r>
        <w:rPr>
          <w:szCs w:val="20"/>
        </w:rPr>
        <w:t xml:space="preserve"> energiafelhasználáshoz köthető </w:t>
      </w:r>
      <w:r w:rsidRPr="00D9392A">
        <w:rPr>
          <w:b/>
          <w:szCs w:val="20"/>
        </w:rPr>
        <w:t>CO</w:t>
      </w:r>
      <w:r w:rsidRPr="00D9392A">
        <w:rPr>
          <w:b/>
          <w:szCs w:val="20"/>
          <w:vertAlign w:val="subscript"/>
        </w:rPr>
        <w:t>2</w:t>
      </w:r>
      <w:r w:rsidRPr="00D9392A">
        <w:rPr>
          <w:b/>
          <w:szCs w:val="20"/>
        </w:rPr>
        <w:t>-kibocsátáshoz 4</w:t>
      </w:r>
      <w:r>
        <w:rPr>
          <w:b/>
          <w:szCs w:val="20"/>
        </w:rPr>
        <w:t>5</w:t>
      </w:r>
      <w:r w:rsidRPr="00D9392A">
        <w:rPr>
          <w:b/>
          <w:szCs w:val="20"/>
        </w:rPr>
        <w:t>%-ban járult hozzá</w:t>
      </w:r>
      <w:r w:rsidRPr="00400873">
        <w:rPr>
          <w:szCs w:val="20"/>
        </w:rPr>
        <w:t>.</w:t>
      </w:r>
    </w:p>
    <w:p w14:paraId="276E9B9D" w14:textId="77777777" w:rsidR="00ED4797" w:rsidRPr="009D1DB6" w:rsidRDefault="00ED4797" w:rsidP="00ED4797">
      <w:pPr>
        <w:pStyle w:val="Cmsor5"/>
      </w:pPr>
      <w:r w:rsidRPr="009D1DB6">
        <w:t>Közvilágítás</w:t>
      </w:r>
    </w:p>
    <w:p w14:paraId="59548CBB" w14:textId="77777777" w:rsidR="00ED4797" w:rsidRPr="00541812" w:rsidRDefault="00ED4797" w:rsidP="00ED4797">
      <w:pPr>
        <w:rPr>
          <w:szCs w:val="20"/>
        </w:rPr>
      </w:pPr>
      <w:r w:rsidRPr="00541812">
        <w:rPr>
          <w:szCs w:val="20"/>
        </w:rPr>
        <w:t>Budapesten a közvilágítás (a közlekedés-, köz- és vagyonbiztonság érdekében szükséges összefüggő, rendszeres, meghatározott időtartamú, villamos üzemű megvilágítás</w:t>
      </w:r>
      <w:r w:rsidRPr="00541812">
        <w:rPr>
          <w:vertAlign w:val="superscript"/>
        </w:rPr>
        <w:endnoteReference w:id="4"/>
      </w:r>
      <w:r w:rsidRPr="00541812">
        <w:rPr>
          <w:szCs w:val="20"/>
        </w:rPr>
        <w:t>) biztosítása a Fővárosi Önkormányzat kötelező feladata</w:t>
      </w:r>
      <w:r w:rsidRPr="00541812">
        <w:rPr>
          <w:vertAlign w:val="superscript"/>
        </w:rPr>
        <w:endnoteReference w:id="5"/>
      </w:r>
      <w:r w:rsidRPr="00541812">
        <w:rPr>
          <w:szCs w:val="20"/>
        </w:rPr>
        <w:t>, amelyet – valamint azon túl, az egyes fővárosi jelentőségű objektumok díszvilágítását (mint önként vállalt önkormányzati feladatot) – 2001 szeptemberétől a vonatkozó jogszabály alapján</w:t>
      </w:r>
      <w:r w:rsidRPr="00541812">
        <w:rPr>
          <w:vertAlign w:val="superscript"/>
        </w:rPr>
        <w:endnoteReference w:id="6"/>
      </w:r>
      <w:r w:rsidRPr="00541812">
        <w:rPr>
          <w:szCs w:val="20"/>
          <w:vertAlign w:val="superscript"/>
        </w:rPr>
        <w:t xml:space="preserve"> </w:t>
      </w:r>
      <w:r w:rsidRPr="00541812">
        <w:rPr>
          <w:szCs w:val="20"/>
        </w:rPr>
        <w:t>a Budapesti Dísz- és Közvilágítási Kft. lát el.</w:t>
      </w:r>
    </w:p>
    <w:p w14:paraId="1BA7D2B4" w14:textId="77777777" w:rsidR="00ED4797" w:rsidRPr="00541812" w:rsidRDefault="00ED4797" w:rsidP="00ED4797">
      <w:pPr>
        <w:rPr>
          <w:szCs w:val="20"/>
        </w:rPr>
      </w:pPr>
      <w:r w:rsidRPr="00541812">
        <w:rPr>
          <w:szCs w:val="20"/>
        </w:rPr>
        <w:t>A közvilágításra vonatkozó részletes szabályokat a Kormány rendeletben állapítja meg</w:t>
      </w:r>
      <w:r w:rsidRPr="00541812">
        <w:rPr>
          <w:vertAlign w:val="superscript"/>
        </w:rPr>
        <w:endnoteReference w:id="7"/>
      </w:r>
      <w:r w:rsidRPr="00541812">
        <w:rPr>
          <w:szCs w:val="20"/>
        </w:rPr>
        <w:t>, ami eddig nem történt meg. A budapesti közvilágítás üzemkészsége – a havonta végzett ellenőrzések alapján – 99% feletti.</w:t>
      </w:r>
    </w:p>
    <w:p w14:paraId="104B0508" w14:textId="77777777" w:rsidR="00ED4797" w:rsidRPr="00541812" w:rsidRDefault="00ED4797" w:rsidP="00ED4797">
      <w:pPr>
        <w:rPr>
          <w:szCs w:val="20"/>
        </w:rPr>
      </w:pPr>
      <w:r w:rsidRPr="0041530F">
        <w:rPr>
          <w:b/>
          <w:szCs w:val="20"/>
        </w:rPr>
        <w:lastRenderedPageBreak/>
        <w:t>A fővárosi közvilágítás</w:t>
      </w:r>
      <w:r w:rsidRPr="00541812">
        <w:rPr>
          <w:szCs w:val="20"/>
        </w:rPr>
        <w:t xml:space="preserve"> beépített teljesítménye 20 MW, a díszvilágítás teljesítményigénye további mintegy 1,5 MW, az energiafelhasználásuk 201</w:t>
      </w:r>
      <w:r>
        <w:rPr>
          <w:szCs w:val="20"/>
        </w:rPr>
        <w:t>8</w:t>
      </w:r>
      <w:r w:rsidRPr="00541812">
        <w:rPr>
          <w:szCs w:val="20"/>
        </w:rPr>
        <w:t>-b</w:t>
      </w:r>
      <w:r>
        <w:rPr>
          <w:szCs w:val="20"/>
        </w:rPr>
        <w:t>a</w:t>
      </w:r>
      <w:r w:rsidRPr="00541812">
        <w:rPr>
          <w:szCs w:val="20"/>
        </w:rPr>
        <w:t>n</w:t>
      </w:r>
      <w:r>
        <w:rPr>
          <w:szCs w:val="20"/>
        </w:rPr>
        <w:br/>
      </w:r>
      <w:r w:rsidRPr="00541812">
        <w:rPr>
          <w:szCs w:val="20"/>
        </w:rPr>
        <w:t>88</w:t>
      </w:r>
      <w:r>
        <w:rPr>
          <w:szCs w:val="20"/>
        </w:rPr>
        <w:t> </w:t>
      </w:r>
      <w:r w:rsidRPr="00541812">
        <w:rPr>
          <w:szCs w:val="20"/>
        </w:rPr>
        <w:t>4</w:t>
      </w:r>
      <w:r>
        <w:rPr>
          <w:szCs w:val="20"/>
        </w:rPr>
        <w:t>74</w:t>
      </w:r>
      <w:r w:rsidRPr="00541812">
        <w:rPr>
          <w:szCs w:val="20"/>
        </w:rPr>
        <w:t xml:space="preserve"> MWh volt, ami </w:t>
      </w:r>
      <w:r w:rsidRPr="0041530F">
        <w:rPr>
          <w:b/>
          <w:szCs w:val="20"/>
        </w:rPr>
        <w:t>Budapest elektromosenergia-fogyasztásának 1,2%-át jelenti. A fővárosi közvilágítás</w:t>
      </w:r>
      <w:r w:rsidRPr="00541812">
        <w:rPr>
          <w:szCs w:val="20"/>
        </w:rPr>
        <w:t xml:space="preserve"> a </w:t>
      </w:r>
      <w:r w:rsidRPr="0041530F">
        <w:rPr>
          <w:b/>
          <w:szCs w:val="20"/>
        </w:rPr>
        <w:t>201</w:t>
      </w:r>
      <w:r>
        <w:rPr>
          <w:b/>
          <w:szCs w:val="20"/>
        </w:rPr>
        <w:t>8</w:t>
      </w:r>
      <w:r w:rsidRPr="0041530F">
        <w:rPr>
          <w:b/>
          <w:szCs w:val="20"/>
        </w:rPr>
        <w:t>. évi budapesti</w:t>
      </w:r>
      <w:r w:rsidRPr="00541812">
        <w:rPr>
          <w:szCs w:val="20"/>
        </w:rPr>
        <w:t xml:space="preserve"> energiafelhasználáshoz köthető</w:t>
      </w:r>
      <w:r>
        <w:rPr>
          <w:szCs w:val="20"/>
        </w:rPr>
        <w:t xml:space="preserve"> </w:t>
      </w:r>
      <w:r w:rsidRPr="0041530F">
        <w:rPr>
          <w:b/>
          <w:szCs w:val="20"/>
        </w:rPr>
        <w:t>CO</w:t>
      </w:r>
      <w:r w:rsidRPr="0041530F">
        <w:rPr>
          <w:b/>
          <w:szCs w:val="20"/>
          <w:vertAlign w:val="subscript"/>
        </w:rPr>
        <w:t>2</w:t>
      </w:r>
      <w:r w:rsidRPr="0041530F">
        <w:rPr>
          <w:b/>
          <w:szCs w:val="20"/>
        </w:rPr>
        <w:t>-kibocsátáshoz 0,5%-ban járult hozzá</w:t>
      </w:r>
      <w:r w:rsidRPr="00541812">
        <w:rPr>
          <w:szCs w:val="20"/>
        </w:rPr>
        <w:t>.</w:t>
      </w:r>
    </w:p>
    <w:p w14:paraId="290CBBE1" w14:textId="77777777" w:rsidR="00ED4797" w:rsidRDefault="00ED4797" w:rsidP="00ED4797">
      <w:pPr>
        <w:rPr>
          <w:szCs w:val="20"/>
        </w:rPr>
      </w:pPr>
      <w:r w:rsidRPr="00541812">
        <w:rPr>
          <w:szCs w:val="20"/>
        </w:rPr>
        <w:t>2005. évhez képest a köz- és díszkivilágítás energiafelhasználása 5,</w:t>
      </w:r>
      <w:r>
        <w:rPr>
          <w:szCs w:val="20"/>
        </w:rPr>
        <w:t>5</w:t>
      </w:r>
      <w:r w:rsidRPr="00541812">
        <w:rPr>
          <w:szCs w:val="20"/>
        </w:rPr>
        <w:t xml:space="preserve">%-kal csökkent. Az energiaigény csökkentését </w:t>
      </w:r>
      <w:r w:rsidRPr="0041530F">
        <w:rPr>
          <w:b/>
          <w:szCs w:val="20"/>
        </w:rPr>
        <w:t>olyan technikai korszerűsítések</w:t>
      </w:r>
      <w:r w:rsidRPr="00541812">
        <w:rPr>
          <w:szCs w:val="20"/>
        </w:rPr>
        <w:t xml:space="preserve"> (higanygőzről </w:t>
      </w:r>
      <w:r w:rsidRPr="009D1DB6">
        <w:rPr>
          <w:szCs w:val="20"/>
        </w:rPr>
        <w:t xml:space="preserve">nátrium lámpás világításra történő áttérés, illetve LED </w:t>
      </w:r>
      <w:r w:rsidRPr="00541812">
        <w:rPr>
          <w:szCs w:val="20"/>
        </w:rPr>
        <w:t>fényforrások alkalmazása</w:t>
      </w:r>
      <w:r w:rsidRPr="009D1DB6">
        <w:rPr>
          <w:szCs w:val="20"/>
        </w:rPr>
        <w:t xml:space="preserve">) teszik lehetővé, </w:t>
      </w:r>
      <w:r w:rsidRPr="0041530F">
        <w:rPr>
          <w:b/>
          <w:szCs w:val="20"/>
        </w:rPr>
        <w:t>amelyek</w:t>
      </w:r>
      <w:r w:rsidRPr="009D1DB6">
        <w:rPr>
          <w:szCs w:val="20"/>
        </w:rPr>
        <w:t xml:space="preserve"> akár </w:t>
      </w:r>
      <w:r w:rsidRPr="0041530F">
        <w:rPr>
          <w:b/>
          <w:szCs w:val="20"/>
        </w:rPr>
        <w:t>növekvő megvilágítás</w:t>
      </w:r>
      <w:r w:rsidRPr="00541812">
        <w:rPr>
          <w:szCs w:val="20"/>
        </w:rPr>
        <w:t xml:space="preserve"> mellett </w:t>
      </w:r>
      <w:r w:rsidRPr="0041530F">
        <w:rPr>
          <w:b/>
          <w:szCs w:val="20"/>
        </w:rPr>
        <w:t>kevesebb energiát fogyasztanak</w:t>
      </w:r>
      <w:r w:rsidRPr="00541812">
        <w:rPr>
          <w:szCs w:val="20"/>
        </w:rPr>
        <w:t>.</w:t>
      </w:r>
    </w:p>
    <w:p w14:paraId="68907483" w14:textId="77777777" w:rsidR="00ED4797" w:rsidRPr="009D1DB6" w:rsidRDefault="00ED4797" w:rsidP="00ED4797">
      <w:pPr>
        <w:pStyle w:val="Cmsor5"/>
      </w:pPr>
      <w:r w:rsidRPr="009D1DB6">
        <w:t>Gázolaj- és benzinfelhasználás</w:t>
      </w:r>
    </w:p>
    <w:p w14:paraId="08D2B443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Az energiahordozók összes mennyiségének 201</w:t>
      </w:r>
      <w:r>
        <w:rPr>
          <w:szCs w:val="20"/>
        </w:rPr>
        <w:t>8</w:t>
      </w:r>
      <w:r w:rsidRPr="009D1DB6">
        <w:rPr>
          <w:szCs w:val="20"/>
        </w:rPr>
        <w:t xml:space="preserve">. évi budapesti végfelhasználását tekintve </w:t>
      </w:r>
      <w:r w:rsidRPr="00310105">
        <w:rPr>
          <w:b/>
          <w:szCs w:val="20"/>
        </w:rPr>
        <w:t>a gázolaj- és benzinfelhasználás aránya mintegy 2</w:t>
      </w:r>
      <w:r>
        <w:rPr>
          <w:b/>
          <w:szCs w:val="20"/>
        </w:rPr>
        <w:t>3</w:t>
      </w:r>
      <w:r w:rsidRPr="00310105">
        <w:rPr>
          <w:b/>
          <w:szCs w:val="20"/>
        </w:rPr>
        <w:t>%.</w:t>
      </w:r>
    </w:p>
    <w:p w14:paraId="165A2CAF" w14:textId="77777777" w:rsidR="00ED4797" w:rsidRPr="00541812" w:rsidRDefault="00ED4797" w:rsidP="00ED4797">
      <w:pPr>
        <w:rPr>
          <w:szCs w:val="20"/>
        </w:rPr>
      </w:pPr>
      <w:r w:rsidRPr="00310105">
        <w:rPr>
          <w:b/>
          <w:szCs w:val="20"/>
        </w:rPr>
        <w:t>A fővárosi közlekedés</w:t>
      </w:r>
      <w:r w:rsidRPr="00541812">
        <w:rPr>
          <w:szCs w:val="20"/>
        </w:rPr>
        <w:t xml:space="preserve"> a </w:t>
      </w:r>
      <w:r w:rsidRPr="00310105">
        <w:rPr>
          <w:b/>
          <w:szCs w:val="20"/>
        </w:rPr>
        <w:t>201</w:t>
      </w:r>
      <w:r>
        <w:rPr>
          <w:b/>
          <w:szCs w:val="20"/>
        </w:rPr>
        <w:t>8</w:t>
      </w:r>
      <w:r w:rsidRPr="00310105">
        <w:rPr>
          <w:b/>
          <w:szCs w:val="20"/>
        </w:rPr>
        <w:t>. évi budapesti</w:t>
      </w:r>
      <w:r w:rsidRPr="00541812">
        <w:rPr>
          <w:szCs w:val="20"/>
        </w:rPr>
        <w:t xml:space="preserve"> energiafelhasználáshoz köthető</w:t>
      </w:r>
      <w:r>
        <w:rPr>
          <w:szCs w:val="20"/>
        </w:rPr>
        <w:br/>
      </w:r>
      <w:r w:rsidRPr="00310105">
        <w:rPr>
          <w:b/>
          <w:szCs w:val="20"/>
        </w:rPr>
        <w:t>CO</w:t>
      </w:r>
      <w:r w:rsidRPr="00310105">
        <w:rPr>
          <w:b/>
          <w:szCs w:val="20"/>
          <w:vertAlign w:val="subscript"/>
        </w:rPr>
        <w:t>2</w:t>
      </w:r>
      <w:r w:rsidRPr="00310105">
        <w:rPr>
          <w:b/>
          <w:szCs w:val="20"/>
        </w:rPr>
        <w:t>-kibocsátáshoz 20%-ban járult hozzá. Ezen belül a közösségi közlekedés hozzájárulása 2%</w:t>
      </w:r>
      <w:r w:rsidRPr="00541812">
        <w:rPr>
          <w:szCs w:val="20"/>
        </w:rPr>
        <w:t xml:space="preserve"> – itt a villamosüzemű járműveket és a további önkormányzati járművek fogyasztását is figyelembe véve.</w:t>
      </w:r>
    </w:p>
    <w:p w14:paraId="1C70EDD9" w14:textId="77777777" w:rsidR="00ED4797" w:rsidRPr="009D1DB6" w:rsidRDefault="00ED4797" w:rsidP="00ED4797">
      <w:pPr>
        <w:pStyle w:val="Cmsor5"/>
      </w:pPr>
      <w:r w:rsidRPr="009D1DB6">
        <w:t>Távhőszolgáltatás</w:t>
      </w:r>
    </w:p>
    <w:p w14:paraId="3361611E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 főváros távhőellátásának kiépítése a nagy lakótelep</w:t>
      </w:r>
      <w:r>
        <w:rPr>
          <w:szCs w:val="20"/>
        </w:rPr>
        <w:t>-</w:t>
      </w:r>
      <w:r w:rsidRPr="009D1DB6">
        <w:rPr>
          <w:szCs w:val="20"/>
        </w:rPr>
        <w:t>építések ke</w:t>
      </w:r>
      <w:r>
        <w:rPr>
          <w:szCs w:val="20"/>
        </w:rPr>
        <w:t xml:space="preserve">zdetéhez (XI. és XIII. kerület, </w:t>
      </w:r>
      <w:r w:rsidRPr="009D1DB6">
        <w:rPr>
          <w:szCs w:val="20"/>
        </w:rPr>
        <w:t>1957-58) kapcsolható. A távhőrendszerek mintegy 237 ezer fővárosi lakás fűtési célú hőellátását (és melegvíz igényét) biztosítják a – Magyar Energetikai és Közmű-szabályozási Hivatal engedélye alapján működő – fővárosi távhőszolgáltatók</w:t>
      </w:r>
      <w:r>
        <w:rPr>
          <w:szCs w:val="20"/>
        </w:rPr>
        <w:t>on</w:t>
      </w:r>
      <w:r w:rsidRPr="009D1DB6">
        <w:rPr>
          <w:szCs w:val="20"/>
        </w:rPr>
        <w:t xml:space="preserve"> (Csepeli </w:t>
      </w:r>
      <w:r>
        <w:rPr>
          <w:szCs w:val="20"/>
        </w:rPr>
        <w:t>Erőmű</w:t>
      </w:r>
      <w:r w:rsidRPr="009D1DB6">
        <w:rPr>
          <w:szCs w:val="20"/>
        </w:rPr>
        <w:t xml:space="preserve"> Kft., </w:t>
      </w:r>
      <w:r w:rsidRPr="00541812">
        <w:rPr>
          <w:szCs w:val="20"/>
        </w:rPr>
        <w:t xml:space="preserve">Veolia Energia Magyarország Zrt. – a volt </w:t>
      </w:r>
      <w:r w:rsidRPr="009D1DB6">
        <w:rPr>
          <w:szCs w:val="20"/>
        </w:rPr>
        <w:t>Dalkia Energia Zrt., GM Kőérberek 30 Kft. és a kizárólag fővárosi önkormányzati tulajdonú FŐTÁV Zrt.</w:t>
      </w:r>
      <w:r>
        <w:rPr>
          <w:szCs w:val="20"/>
        </w:rPr>
        <w:t xml:space="preserve"> és FŐTÁV-Kiserőmű Kft. – korábban: Csepeli Hőszolgáltató Kft.</w:t>
      </w:r>
      <w:r w:rsidRPr="009D1DB6">
        <w:rPr>
          <w:szCs w:val="20"/>
        </w:rPr>
        <w:t>)</w:t>
      </w:r>
      <w:r>
        <w:rPr>
          <w:szCs w:val="20"/>
        </w:rPr>
        <w:t xml:space="preserve"> keresztül.</w:t>
      </w:r>
    </w:p>
    <w:p w14:paraId="39D79A16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Az energiahordozók összes mennyiségé</w:t>
      </w:r>
      <w:r>
        <w:rPr>
          <w:szCs w:val="20"/>
        </w:rPr>
        <w:t>hez képest</w:t>
      </w:r>
      <w:r w:rsidRPr="009D1DB6">
        <w:rPr>
          <w:szCs w:val="20"/>
        </w:rPr>
        <w:t xml:space="preserve"> </w:t>
      </w:r>
      <w:r>
        <w:rPr>
          <w:szCs w:val="20"/>
        </w:rPr>
        <w:t>(</w:t>
      </w:r>
      <w:r w:rsidRPr="009D1DB6">
        <w:rPr>
          <w:szCs w:val="20"/>
        </w:rPr>
        <w:t>201</w:t>
      </w:r>
      <w:r>
        <w:rPr>
          <w:szCs w:val="20"/>
        </w:rPr>
        <w:t>8</w:t>
      </w:r>
      <w:r w:rsidRPr="009D1DB6">
        <w:rPr>
          <w:szCs w:val="20"/>
        </w:rPr>
        <w:t>. évi budapesti végfelhasználását tekintve</w:t>
      </w:r>
      <w:r>
        <w:rPr>
          <w:szCs w:val="20"/>
        </w:rPr>
        <w:t xml:space="preserve">) </w:t>
      </w:r>
      <w:r w:rsidRPr="00541812">
        <w:rPr>
          <w:szCs w:val="20"/>
        </w:rPr>
        <w:t xml:space="preserve">a </w:t>
      </w:r>
      <w:r w:rsidRPr="00310105">
        <w:rPr>
          <w:b/>
          <w:szCs w:val="20"/>
        </w:rPr>
        <w:t xml:space="preserve">távhő aránya mintegy </w:t>
      </w:r>
      <w:r>
        <w:rPr>
          <w:b/>
          <w:szCs w:val="20"/>
        </w:rPr>
        <w:t>9</w:t>
      </w:r>
      <w:r w:rsidRPr="00310105">
        <w:rPr>
          <w:b/>
          <w:szCs w:val="20"/>
        </w:rPr>
        <w:t>%</w:t>
      </w:r>
      <w:r>
        <w:rPr>
          <w:szCs w:val="20"/>
        </w:rPr>
        <w:t>.</w:t>
      </w:r>
      <w:r w:rsidRPr="009D1DB6">
        <w:rPr>
          <w:szCs w:val="20"/>
        </w:rPr>
        <w:t xml:space="preserve"> </w:t>
      </w:r>
      <w:r>
        <w:rPr>
          <w:szCs w:val="20"/>
        </w:rPr>
        <w:t>A</w:t>
      </w:r>
      <w:r w:rsidRPr="009D1DB6">
        <w:rPr>
          <w:szCs w:val="20"/>
        </w:rPr>
        <w:t xml:space="preserve"> </w:t>
      </w:r>
      <w:r w:rsidRPr="00310105">
        <w:rPr>
          <w:b/>
          <w:szCs w:val="20"/>
        </w:rPr>
        <w:t>201</w:t>
      </w:r>
      <w:r>
        <w:rPr>
          <w:b/>
          <w:szCs w:val="20"/>
        </w:rPr>
        <w:t>8</w:t>
      </w:r>
      <w:r w:rsidRPr="00310105">
        <w:rPr>
          <w:b/>
          <w:szCs w:val="20"/>
        </w:rPr>
        <w:t>. évi budapesti</w:t>
      </w:r>
      <w:r w:rsidRPr="00541812">
        <w:rPr>
          <w:szCs w:val="20"/>
        </w:rPr>
        <w:t xml:space="preserve"> energiafelhasználáshoz köthető – fosszilis eredetű tüzelőanyagokhoz kapcsolódó – </w:t>
      </w:r>
      <w:r w:rsidRPr="00310105">
        <w:rPr>
          <w:b/>
          <w:szCs w:val="20"/>
        </w:rPr>
        <w:t>CO</w:t>
      </w:r>
      <w:r w:rsidRPr="00310105">
        <w:rPr>
          <w:b/>
          <w:szCs w:val="20"/>
          <w:vertAlign w:val="subscript"/>
        </w:rPr>
        <w:t>2</w:t>
      </w:r>
      <w:r w:rsidRPr="00310105">
        <w:rPr>
          <w:b/>
          <w:szCs w:val="20"/>
        </w:rPr>
        <w:t xml:space="preserve">-kibocsátáshoz </w:t>
      </w:r>
      <w:r>
        <w:rPr>
          <w:b/>
          <w:szCs w:val="20"/>
        </w:rPr>
        <w:t>8</w:t>
      </w:r>
      <w:r w:rsidRPr="00310105">
        <w:rPr>
          <w:b/>
          <w:szCs w:val="20"/>
        </w:rPr>
        <w:t>%-ban járult hozzá</w:t>
      </w:r>
      <w:r w:rsidRPr="00541812">
        <w:rPr>
          <w:szCs w:val="20"/>
        </w:rPr>
        <w:t>.</w:t>
      </w:r>
    </w:p>
    <w:p w14:paraId="1F3EFDD5" w14:textId="77777777" w:rsidR="00ED4797" w:rsidRDefault="00ED4797" w:rsidP="00ED4797">
      <w:pPr>
        <w:rPr>
          <w:szCs w:val="20"/>
        </w:rPr>
      </w:pPr>
      <w:r w:rsidRPr="00310105">
        <w:rPr>
          <w:b/>
          <w:szCs w:val="20"/>
        </w:rPr>
        <w:t>201</w:t>
      </w:r>
      <w:r>
        <w:rPr>
          <w:b/>
          <w:szCs w:val="20"/>
        </w:rPr>
        <w:t>8</w:t>
      </w:r>
      <w:r w:rsidRPr="00310105">
        <w:rPr>
          <w:b/>
          <w:szCs w:val="20"/>
        </w:rPr>
        <w:t>-b</w:t>
      </w:r>
      <w:r>
        <w:rPr>
          <w:b/>
          <w:szCs w:val="20"/>
        </w:rPr>
        <w:t>a</w:t>
      </w:r>
      <w:r w:rsidRPr="00310105">
        <w:rPr>
          <w:b/>
          <w:szCs w:val="20"/>
        </w:rPr>
        <w:t>n a fővárosi távhőszolgáltató által a lakosság</w:t>
      </w:r>
      <w:r w:rsidRPr="009D1DB6">
        <w:rPr>
          <w:szCs w:val="20"/>
        </w:rPr>
        <w:t xml:space="preserve"> számára értékesített hőmennyiség</w:t>
      </w:r>
      <w:r>
        <w:rPr>
          <w:szCs w:val="20"/>
        </w:rPr>
        <w:t xml:space="preserve"> 2173 </w:t>
      </w:r>
      <w:r w:rsidRPr="009D1DB6">
        <w:rPr>
          <w:szCs w:val="20"/>
        </w:rPr>
        <w:t xml:space="preserve">ezer MWh volt, </w:t>
      </w:r>
      <w:r>
        <w:rPr>
          <w:szCs w:val="20"/>
        </w:rPr>
        <w:t>a</w:t>
      </w:r>
      <w:r w:rsidRPr="009D1DB6">
        <w:rPr>
          <w:szCs w:val="20"/>
        </w:rPr>
        <w:t xml:space="preserve">mely a korábbi évhez képest </w:t>
      </w:r>
      <w:r>
        <w:rPr>
          <w:b/>
          <w:szCs w:val="20"/>
        </w:rPr>
        <w:t>6</w:t>
      </w:r>
      <w:r w:rsidRPr="00310105">
        <w:rPr>
          <w:b/>
          <w:szCs w:val="20"/>
        </w:rPr>
        <w:t xml:space="preserve">%-os </w:t>
      </w:r>
      <w:r>
        <w:rPr>
          <w:b/>
          <w:szCs w:val="20"/>
        </w:rPr>
        <w:t>csökken</w:t>
      </w:r>
      <w:r w:rsidRPr="00310105">
        <w:rPr>
          <w:b/>
          <w:szCs w:val="20"/>
        </w:rPr>
        <w:t>és</w:t>
      </w:r>
      <w:r w:rsidRPr="009D1DB6">
        <w:rPr>
          <w:szCs w:val="20"/>
        </w:rPr>
        <w:t xml:space="preserve">. </w:t>
      </w:r>
      <w:r>
        <w:rPr>
          <w:szCs w:val="20"/>
        </w:rPr>
        <w:t xml:space="preserve">A </w:t>
      </w:r>
      <w:r w:rsidRPr="00310105">
        <w:rPr>
          <w:b/>
          <w:szCs w:val="20"/>
        </w:rPr>
        <w:t>nem lakossági</w:t>
      </w:r>
      <w:r>
        <w:rPr>
          <w:szCs w:val="20"/>
        </w:rPr>
        <w:t xml:space="preserve"> fogyasztóknak értékesített hőmennyiség is csökkent mintegy</w:t>
      </w:r>
      <w:r>
        <w:rPr>
          <w:szCs w:val="20"/>
        </w:rPr>
        <w:br/>
      </w:r>
      <w:r>
        <w:rPr>
          <w:b/>
          <w:szCs w:val="20"/>
        </w:rPr>
        <w:t>8</w:t>
      </w:r>
      <w:r w:rsidRPr="00310105">
        <w:rPr>
          <w:b/>
          <w:szCs w:val="20"/>
        </w:rPr>
        <w:t>%-kal</w:t>
      </w:r>
      <w:r>
        <w:rPr>
          <w:szCs w:val="20"/>
        </w:rPr>
        <w:t xml:space="preserve">. A hőigények változásának tendenciája a földgáz felhasználáshoz hasonlóan a fűtési időszak átlaghőmérsékletét követte. </w:t>
      </w:r>
    </w:p>
    <w:p w14:paraId="4E9CA4ED" w14:textId="77777777" w:rsidR="00ED4797" w:rsidRPr="009D1DB6" w:rsidRDefault="00ED4797" w:rsidP="00ED4797">
      <w:pPr>
        <w:rPr>
          <w:szCs w:val="20"/>
        </w:rPr>
      </w:pPr>
      <w:r w:rsidRPr="009D1DB6">
        <w:rPr>
          <w:szCs w:val="20"/>
        </w:rPr>
        <w:t>A fővárosi távhőellátási rendszer jellegzetességei:</w:t>
      </w:r>
    </w:p>
    <w:p w14:paraId="6A6FFC0D" w14:textId="77777777" w:rsidR="00ED4797" w:rsidRPr="008C5D9C" w:rsidRDefault="00ED4797" w:rsidP="00ED4797">
      <w:pPr>
        <w:pStyle w:val="Listaszerbekezds"/>
        <w:spacing w:after="200"/>
        <w:ind w:left="357" w:hanging="357"/>
        <w:contextualSpacing/>
      </w:pPr>
      <w:r w:rsidRPr="008C5D9C">
        <w:t>szigetszerű kialakítás: az egymástól független távhőkörzetek (legjelentősebbek: az Észak-pesti, az Észak-budai, a Kelenföldi Erőmű, a Kispesti Erőmű távhőrendszere) és a tömbkazánházak mindegyike külön-külön hőforrással rendelkezik, a nagy szigetüzemű távhőrendszerek összeköttetés nélkül kizárólagos helyzetet teremtenek, a hőtermelői verseny hiányában viszonylag magas hőárak jellemzőek (súlyozott átlag 3.311 Ft/GJ), ami megnehezíti a hálózat bővítését;</w:t>
      </w:r>
    </w:p>
    <w:p w14:paraId="65256466" w14:textId="77777777" w:rsidR="00ED4797" w:rsidRPr="008C5D9C" w:rsidRDefault="00ED4797" w:rsidP="00ED4797">
      <w:pPr>
        <w:pStyle w:val="Listaszerbekezds"/>
        <w:spacing w:after="200"/>
        <w:ind w:left="357" w:hanging="357"/>
        <w:contextualSpacing/>
      </w:pPr>
      <w:r w:rsidRPr="008C5D9C">
        <w:t>a rövid idejű, legmagasabb (csúcs) hőteljesítmény-igény a hőbázisokba beépített lehetőségeknek a felét éri el, tehát jelentős tartalék (hőtermelő-) kapacitás áll rendelkezésre;</w:t>
      </w:r>
    </w:p>
    <w:p w14:paraId="6689898C" w14:textId="77777777" w:rsidR="00ED4797" w:rsidRPr="008C5D9C" w:rsidRDefault="00ED4797" w:rsidP="00ED4797">
      <w:pPr>
        <w:pStyle w:val="Listaszerbekezds"/>
        <w:spacing w:after="200"/>
        <w:ind w:left="357" w:hanging="357"/>
        <w:contextualSpacing/>
      </w:pPr>
      <w:r w:rsidRPr="008C5D9C">
        <w:t>a FŐTÁV távhőhálózatának mintegy 40%-a korszerűsített, a rendszerek fajlagos hővesztesége összességében az európai átlagnál jobb;</w:t>
      </w:r>
    </w:p>
    <w:p w14:paraId="456EC0A9" w14:textId="77777777" w:rsidR="00ED4797" w:rsidRPr="008C5D9C" w:rsidRDefault="00ED4797" w:rsidP="00ED4797">
      <w:pPr>
        <w:pStyle w:val="Listaszerbekezds"/>
        <w:spacing w:after="200"/>
        <w:ind w:left="357" w:hanging="357"/>
      </w:pPr>
      <w:r w:rsidRPr="008C5D9C">
        <w:lastRenderedPageBreak/>
        <w:t>a hálózatokra adott hőt jelentős mértékben nagy energiahatékonyságú – a villamos energia előállításával együtt történő – kapcsolt energiatermeléssel állítják elő, amely műszaki megoldás környezetügyi szempontból is kedvezőbb.</w:t>
      </w:r>
    </w:p>
    <w:p w14:paraId="47157F35" w14:textId="77777777" w:rsidR="00ED4797" w:rsidRPr="009D1DB6" w:rsidRDefault="00ED4797" w:rsidP="00ED4797">
      <w:pPr>
        <w:pStyle w:val="Cmsor5"/>
        <w:jc w:val="both"/>
      </w:pPr>
      <w:r w:rsidRPr="009D1DB6">
        <w:t>Megújuló energiaforrások alkalmazása, energetikai célú hulladékhasznosítás</w:t>
      </w:r>
    </w:p>
    <w:p w14:paraId="1EBDF450" w14:textId="77777777" w:rsidR="00ED4797" w:rsidRPr="00541812" w:rsidRDefault="00ED4797" w:rsidP="00ED4797">
      <w:pPr>
        <w:rPr>
          <w:szCs w:val="20"/>
        </w:rPr>
      </w:pPr>
      <w:r w:rsidRPr="009D1DB6">
        <w:rPr>
          <w:szCs w:val="20"/>
        </w:rPr>
        <w:t>Az energiahordozók összes mennyiségének 201</w:t>
      </w:r>
      <w:r>
        <w:rPr>
          <w:szCs w:val="20"/>
        </w:rPr>
        <w:t>8</w:t>
      </w:r>
      <w:r w:rsidRPr="009D1DB6">
        <w:rPr>
          <w:szCs w:val="20"/>
        </w:rPr>
        <w:t xml:space="preserve">. évi budapesti végfelhasználását tekintve a </w:t>
      </w:r>
      <w:r w:rsidRPr="004A5794">
        <w:rPr>
          <w:b/>
          <w:szCs w:val="20"/>
        </w:rPr>
        <w:t>megújuló energiahordozók</w:t>
      </w:r>
      <w:r w:rsidRPr="009D1DB6">
        <w:rPr>
          <w:szCs w:val="20"/>
        </w:rPr>
        <w:t xml:space="preserve"> – amelyek felhasználása a</w:t>
      </w:r>
      <w:r>
        <w:rPr>
          <w:szCs w:val="20"/>
        </w:rPr>
        <w:br/>
      </w:r>
      <w:r w:rsidRPr="004A5794">
        <w:rPr>
          <w:b/>
          <w:szCs w:val="20"/>
        </w:rPr>
        <w:t>CO</w:t>
      </w:r>
      <w:r w:rsidRPr="004A5794">
        <w:rPr>
          <w:b/>
          <w:szCs w:val="20"/>
          <w:vertAlign w:val="subscript"/>
        </w:rPr>
        <w:t>2</w:t>
      </w:r>
      <w:r w:rsidRPr="004A5794">
        <w:rPr>
          <w:b/>
          <w:szCs w:val="20"/>
        </w:rPr>
        <w:t>-kibocsátáshoz nem járul hozzá</w:t>
      </w:r>
      <w:r w:rsidRPr="00541812">
        <w:rPr>
          <w:szCs w:val="20"/>
        </w:rPr>
        <w:t xml:space="preserve"> – </w:t>
      </w:r>
      <w:r w:rsidRPr="009D1DB6">
        <w:rPr>
          <w:szCs w:val="20"/>
        </w:rPr>
        <w:t xml:space="preserve">aránya </w:t>
      </w:r>
      <w:r w:rsidRPr="00541812">
        <w:rPr>
          <w:szCs w:val="20"/>
        </w:rPr>
        <w:t>mintegy 4%</w:t>
      </w:r>
      <w:r w:rsidRPr="009D1DB6">
        <w:rPr>
          <w:szCs w:val="20"/>
        </w:rPr>
        <w:t xml:space="preserve">. Ezen felül folyamatosan növekvő ütemben </w:t>
      </w:r>
      <w:r>
        <w:rPr>
          <w:szCs w:val="20"/>
        </w:rPr>
        <w:t>használnak</w:t>
      </w:r>
      <w:r w:rsidRPr="009D1DB6">
        <w:rPr>
          <w:szCs w:val="20"/>
        </w:rPr>
        <w:t xml:space="preserve"> a privát szférában napenergia- és hőszivattyús rendszerek</w:t>
      </w:r>
      <w:r>
        <w:rPr>
          <w:szCs w:val="20"/>
        </w:rPr>
        <w:t>et</w:t>
      </w:r>
      <w:r w:rsidRPr="009D1DB6">
        <w:rPr>
          <w:szCs w:val="20"/>
        </w:rPr>
        <w:t xml:space="preserve">. Ezek pontos beépített teljesítményéről, </w:t>
      </w:r>
      <w:r>
        <w:rPr>
          <w:szCs w:val="20"/>
        </w:rPr>
        <w:t>illetve</w:t>
      </w:r>
      <w:r w:rsidRPr="009D1DB6">
        <w:rPr>
          <w:szCs w:val="20"/>
        </w:rPr>
        <w:t xml:space="preserve"> a lakossági biomassza felhasználásról sem áll rendelkezésre </w:t>
      </w:r>
      <w:r>
        <w:rPr>
          <w:szCs w:val="20"/>
        </w:rPr>
        <w:t xml:space="preserve">megbízható információ vagy nyilvántartás. </w:t>
      </w:r>
      <w:r w:rsidRPr="009D1DB6">
        <w:rPr>
          <w:szCs w:val="20"/>
        </w:rPr>
        <w:t xml:space="preserve">A megújuló energiahordozókon belül a </w:t>
      </w:r>
      <w:r w:rsidRPr="00541812">
        <w:rPr>
          <w:szCs w:val="20"/>
        </w:rPr>
        <w:t>villamos energia hazai termeléshez használt megújuló energiák (</w:t>
      </w:r>
      <w:r>
        <w:rPr>
          <w:szCs w:val="20"/>
        </w:rPr>
        <w:t>910</w:t>
      </w:r>
      <w:r w:rsidRPr="00541812">
        <w:rPr>
          <w:szCs w:val="20"/>
        </w:rPr>
        <w:t xml:space="preserve"> ezer MWh) mennyisége 3%, a távhőtermelésen belüli</w:t>
      </w:r>
      <w:r>
        <w:rPr>
          <w:szCs w:val="20"/>
        </w:rPr>
        <w:br/>
      </w:r>
      <w:r w:rsidRPr="00541812">
        <w:rPr>
          <w:szCs w:val="20"/>
        </w:rPr>
        <w:t>(1</w:t>
      </w:r>
      <w:r>
        <w:rPr>
          <w:szCs w:val="20"/>
        </w:rPr>
        <w:t>85</w:t>
      </w:r>
      <w:r w:rsidRPr="00541812">
        <w:rPr>
          <w:szCs w:val="20"/>
        </w:rPr>
        <w:t xml:space="preserve"> ezer MWh) megújuló energiaforrások használata 0,</w:t>
      </w:r>
      <w:r>
        <w:rPr>
          <w:szCs w:val="20"/>
        </w:rPr>
        <w:t>6</w:t>
      </w:r>
      <w:r w:rsidRPr="00541812">
        <w:rPr>
          <w:szCs w:val="20"/>
        </w:rPr>
        <w:t>%. A további (geotermikus energia, nap-, szélenergia, biomassza, biogáz) megújuló energiahordozók</w:t>
      </w:r>
      <w:r>
        <w:rPr>
          <w:szCs w:val="20"/>
        </w:rPr>
        <w:br/>
      </w:r>
      <w:r w:rsidRPr="00541812">
        <w:rPr>
          <w:szCs w:val="20"/>
        </w:rPr>
        <w:t>(15</w:t>
      </w:r>
      <w:r>
        <w:rPr>
          <w:szCs w:val="20"/>
        </w:rPr>
        <w:t>1</w:t>
      </w:r>
      <w:r w:rsidRPr="00541812">
        <w:rPr>
          <w:szCs w:val="20"/>
        </w:rPr>
        <w:t xml:space="preserve"> ezer MWh) aránya nem éri el az 1%-ot.</w:t>
      </w:r>
    </w:p>
    <w:p w14:paraId="7EFCE8CB" w14:textId="77777777" w:rsidR="00384B04" w:rsidRDefault="00384B04" w:rsidP="00384B04"/>
    <w:p w14:paraId="477BA629" w14:textId="66CF14CD" w:rsidR="00384B04" w:rsidRPr="009D1DB6" w:rsidRDefault="00384B04" w:rsidP="00384B04">
      <w:pPr>
        <w:pStyle w:val="Cmsor3"/>
      </w:pPr>
      <w:r>
        <w:t>A budapestiek véleménye az energetikai felújításokról</w:t>
      </w:r>
    </w:p>
    <w:p w14:paraId="6DA25AD1" w14:textId="7C999731" w:rsidR="00384B04" w:rsidRDefault="00384B04" w:rsidP="00384B04">
      <w:r w:rsidRPr="00195F4C">
        <w:t xml:space="preserve">A budapestiek </w:t>
      </w:r>
      <w:r>
        <w:t>energetikai felújításokról</w:t>
      </w:r>
      <w:r w:rsidRPr="00195F4C">
        <w:t xml:space="preserve"> alkotott véleménye telefonos, reprezentatív közvélemény-kutatás alapján került felmérésre a MEDIÁN Közvélemény- és Piackutató Kft. közreműködésével. A módszertan részletes bemutatását </w:t>
      </w:r>
      <w:r w:rsidRPr="00195F4C">
        <w:rPr>
          <w:rStyle w:val="IdzetChar"/>
        </w:rPr>
        <w:t>II.9. Környezeti nevelés, tájékoztatás, szemléletformálás</w:t>
      </w:r>
      <w:r w:rsidRPr="00195F4C">
        <w:t xml:space="preserve"> c. fejezet tartalmazza</w:t>
      </w:r>
      <w:r>
        <w:t xml:space="preserve">. </w:t>
      </w:r>
    </w:p>
    <w:p w14:paraId="088301A9" w14:textId="1E36B204" w:rsidR="00384B04" w:rsidRDefault="009C7DA6" w:rsidP="00384B04">
      <w:r>
        <w:rPr>
          <w:noProof/>
        </w:rPr>
        <w:drawing>
          <wp:anchor distT="0" distB="0" distL="114300" distR="114300" simplePos="0" relativeHeight="251664896" behindDoc="0" locked="0" layoutInCell="1" allowOverlap="1" wp14:anchorId="0F226562" wp14:editId="43C9B455">
            <wp:simplePos x="0" y="0"/>
            <wp:positionH relativeFrom="column">
              <wp:posOffset>-3615</wp:posOffset>
            </wp:positionH>
            <wp:positionV relativeFrom="paragraph">
              <wp:posOffset>1588721</wp:posOffset>
            </wp:positionV>
            <wp:extent cx="4267200" cy="1019175"/>
            <wp:effectExtent l="0" t="0" r="0" b="0"/>
            <wp:wrapNone/>
            <wp:docPr id="194" name="Diagram 1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384B04">
        <w:t xml:space="preserve">A felmérés szerint a budapestiek </w:t>
      </w:r>
      <w:r w:rsidR="00384B04" w:rsidRPr="00384B04">
        <w:t>csupán 8</w:t>
      </w:r>
      <w:r w:rsidR="00384B04">
        <w:t>%-a</w:t>
      </w:r>
      <w:r w:rsidR="00384B04" w:rsidRPr="00384B04">
        <w:t xml:space="preserve"> mondta biztosnak, hogy három éven belül energetikai felújításokat </w:t>
      </w:r>
      <w:r w:rsidR="00384B04">
        <w:t>hajt végre</w:t>
      </w:r>
      <w:r w:rsidR="00384B04" w:rsidRPr="00384B04">
        <w:t xml:space="preserve"> a lakás</w:t>
      </w:r>
      <w:r w:rsidR="00384B04">
        <w:t>án.</w:t>
      </w:r>
      <w:r w:rsidR="00384B04" w:rsidRPr="00384B04">
        <w:t xml:space="preserve"> </w:t>
      </w:r>
      <w:r w:rsidR="00384B04">
        <w:t>Arányuk</w:t>
      </w:r>
      <w:r w:rsidR="00384B04" w:rsidRPr="00384B04">
        <w:t xml:space="preserve"> kedvező vagy kamatmentes hitel kilátásba helyezése mellett 16</w:t>
      </w:r>
      <w:r w:rsidR="00F1464B">
        <w:t>%</w:t>
      </w:r>
      <w:r w:rsidR="00384B04" w:rsidRPr="00384B04">
        <w:t>, önkormányzati vagy állami támogatás mellett 29</w:t>
      </w:r>
      <w:r w:rsidR="00384B04">
        <w:t>%-ra</w:t>
      </w:r>
      <w:r w:rsidR="00384B04" w:rsidRPr="00384B04">
        <w:t xml:space="preserve"> nőtt. Az energetikai felújításra nyitottság kevéssé függ </w:t>
      </w:r>
      <w:r w:rsidR="00384B04">
        <w:t>össze demográfiai tényezőkkel: a</w:t>
      </w:r>
      <w:r w:rsidR="00384B04" w:rsidRPr="00384B04">
        <w:t>z élekor hatása ugyan mindhárom feltétel mellett kimutatható, de csupán abban jelenik meg, hogy a legidősebbek kevésbé nyitottak erre, mint a 65 évesnél fiatalabbak. Emellett csupán az iskolai végzettsé</w:t>
      </w:r>
      <w:r w:rsidR="00384B04">
        <w:t>ggel mutatható ki összefüggés: a</w:t>
      </w:r>
      <w:r w:rsidR="00384B04" w:rsidRPr="00384B04">
        <w:t>z érettségizettek nagyobb valószínűséggel vállalkoznak energetikai felújításra, mint a más végzettségűek, de az összefüggés csupán a minden segítség nélküli felújítás esetében szignifi</w:t>
      </w:r>
      <w:r w:rsidR="00384B04">
        <w:t>káns.</w:t>
      </w:r>
    </w:p>
    <w:p w14:paraId="32C9D935" w14:textId="4CDAF32E" w:rsidR="009C7DA6" w:rsidRDefault="009C7DA6" w:rsidP="009C7DA6">
      <w:pPr>
        <w:pStyle w:val="Kpalrs"/>
        <w:keepNext/>
        <w:jc w:val="both"/>
      </w:pPr>
      <w:r>
        <w:fldChar w:fldCharType="begin"/>
      </w:r>
      <w:r>
        <w:instrText xml:space="preserve"> SEQ ábra \* ARABIC </w:instrText>
      </w:r>
      <w:r>
        <w:fldChar w:fldCharType="separate"/>
      </w:r>
      <w:r w:rsidR="001A43FF">
        <w:t>2</w:t>
      </w:r>
      <w:r>
        <w:fldChar w:fldCharType="end"/>
      </w:r>
      <w:r>
        <w:t xml:space="preserve">. ábra: </w:t>
      </w:r>
      <w:r w:rsidRPr="009C7DA6">
        <w:t>Vállalkozás energetikai felújításokra (%)</w:t>
      </w:r>
    </w:p>
    <w:p w14:paraId="7765A99D" w14:textId="3AF48201" w:rsidR="009C7DA6" w:rsidRDefault="009C7DA6" w:rsidP="00CC1A0D">
      <w:pPr>
        <w:spacing w:after="0"/>
        <w:rPr>
          <w:b/>
        </w:rPr>
      </w:pPr>
    </w:p>
    <w:p w14:paraId="1228D876" w14:textId="7551BFCD" w:rsidR="009C7DA6" w:rsidRDefault="009C7DA6" w:rsidP="00CC1A0D">
      <w:pPr>
        <w:spacing w:after="0"/>
        <w:rPr>
          <w:b/>
        </w:rPr>
      </w:pPr>
    </w:p>
    <w:p w14:paraId="4404D40D" w14:textId="65C4B0DC" w:rsidR="009C7DA6" w:rsidRDefault="009C7DA6" w:rsidP="00CC1A0D">
      <w:pPr>
        <w:spacing w:after="0"/>
        <w:rPr>
          <w:b/>
        </w:rPr>
      </w:pPr>
    </w:p>
    <w:p w14:paraId="24E35C14" w14:textId="6E9FADBC" w:rsidR="00384B04" w:rsidRDefault="00384B04" w:rsidP="00CC1A0D">
      <w:pPr>
        <w:spacing w:after="0"/>
        <w:rPr>
          <w:b/>
        </w:rPr>
      </w:pPr>
    </w:p>
    <w:p w14:paraId="30D0F027" w14:textId="77777777" w:rsidR="009C7DA6" w:rsidRDefault="009C7DA6" w:rsidP="00CC1A0D">
      <w:pPr>
        <w:spacing w:after="0"/>
        <w:rPr>
          <w:b/>
        </w:rPr>
      </w:pPr>
    </w:p>
    <w:p w14:paraId="41504122" w14:textId="6F6734CC" w:rsidR="00384B04" w:rsidRDefault="00384B04" w:rsidP="00384B04">
      <w:r w:rsidRPr="00384B04">
        <w:t>Azok közül, akik legalábbis valószínűnek mondták felújítási szándékukat, a legtöbben a napelemek telepítését jelölték meg célként. A képet némileg árnyalja, hogy a napenergia hasznosítását szolgáló beruházások segítség nélküli megvalósításának valószínűsége kisebb a felmérésben szereplő másik három energetikai beruházásénál, igaz, ez a különbség akár a kedvezményes hitel, akár a támogatás kilátásba helyezése mellett eltűnik. A napelemek és a napkollektorok telepítésének hasonlósága arra utal, hogy a köznyelvben összekeveredik a két berendezés.</w:t>
      </w:r>
    </w:p>
    <w:p w14:paraId="5D1E3196" w14:textId="20051EEF" w:rsidR="009C7DA6" w:rsidRDefault="009C7DA6" w:rsidP="009C7DA6">
      <w:pPr>
        <w:pStyle w:val="Kpalrs"/>
        <w:keepNext/>
        <w:jc w:val="both"/>
      </w:pPr>
      <w:r>
        <w:lastRenderedPageBreak/>
        <w:drawing>
          <wp:anchor distT="0" distB="0" distL="114300" distR="114300" simplePos="0" relativeHeight="251665920" behindDoc="0" locked="0" layoutInCell="1" allowOverlap="1" wp14:anchorId="2ABD2B72" wp14:editId="54BE924D">
            <wp:simplePos x="0" y="0"/>
            <wp:positionH relativeFrom="column">
              <wp:posOffset>6350</wp:posOffset>
            </wp:positionH>
            <wp:positionV relativeFrom="paragraph">
              <wp:posOffset>14214</wp:posOffset>
            </wp:positionV>
            <wp:extent cx="4314825" cy="1257300"/>
            <wp:effectExtent l="0" t="0" r="0" b="0"/>
            <wp:wrapNone/>
            <wp:docPr id="195" name="Diagram 1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fldChar w:fldCharType="begin"/>
      </w:r>
      <w:r>
        <w:instrText xml:space="preserve"> SEQ ábra \* ARABIC </w:instrText>
      </w:r>
      <w:r>
        <w:fldChar w:fldCharType="separate"/>
      </w:r>
      <w:r w:rsidR="001A43FF">
        <w:t>3</w:t>
      </w:r>
      <w:r>
        <w:fldChar w:fldCharType="end"/>
      </w:r>
      <w:r>
        <w:t xml:space="preserve">. ábra: </w:t>
      </w:r>
      <w:r w:rsidRPr="009C7DA6">
        <w:t>Energetikai felújítástól való elzárkózás okai (%)</w:t>
      </w:r>
    </w:p>
    <w:p w14:paraId="14074272" w14:textId="3CCAE8F5" w:rsidR="009A59CE" w:rsidRDefault="009A59CE" w:rsidP="00CC1A0D">
      <w:pPr>
        <w:spacing w:after="0"/>
        <w:rPr>
          <w:szCs w:val="20"/>
        </w:rPr>
      </w:pPr>
    </w:p>
    <w:p w14:paraId="1F3C32DC" w14:textId="77777777" w:rsidR="009C7DA6" w:rsidRDefault="009C7DA6" w:rsidP="00CC1A0D">
      <w:pPr>
        <w:spacing w:after="0"/>
        <w:rPr>
          <w:szCs w:val="20"/>
        </w:rPr>
      </w:pPr>
    </w:p>
    <w:p w14:paraId="6377F16B" w14:textId="77777777" w:rsidR="009C7DA6" w:rsidRDefault="009C7DA6" w:rsidP="00CC1A0D">
      <w:pPr>
        <w:spacing w:after="0"/>
        <w:rPr>
          <w:szCs w:val="20"/>
        </w:rPr>
      </w:pPr>
    </w:p>
    <w:p w14:paraId="0B758B5D" w14:textId="77777777" w:rsidR="009C7DA6" w:rsidRDefault="009C7DA6" w:rsidP="00CC1A0D">
      <w:pPr>
        <w:spacing w:after="0"/>
        <w:rPr>
          <w:szCs w:val="20"/>
        </w:rPr>
      </w:pPr>
    </w:p>
    <w:p w14:paraId="37701B12" w14:textId="77777777" w:rsidR="009C7DA6" w:rsidRDefault="009C7DA6" w:rsidP="00CC1A0D">
      <w:pPr>
        <w:spacing w:after="0"/>
        <w:rPr>
          <w:szCs w:val="20"/>
        </w:rPr>
      </w:pPr>
    </w:p>
    <w:p w14:paraId="62CB426D" w14:textId="77777777" w:rsidR="009C7DA6" w:rsidRDefault="009C7DA6" w:rsidP="00CC1A0D">
      <w:pPr>
        <w:spacing w:after="0"/>
        <w:rPr>
          <w:szCs w:val="20"/>
        </w:rPr>
      </w:pPr>
    </w:p>
    <w:p w14:paraId="2AC034FA" w14:textId="77777777" w:rsidR="009C7DA6" w:rsidRDefault="009C7DA6" w:rsidP="00CC1A0D">
      <w:pPr>
        <w:spacing w:after="0"/>
        <w:rPr>
          <w:szCs w:val="20"/>
        </w:rPr>
      </w:pPr>
    </w:p>
    <w:p w14:paraId="0AEA37D9" w14:textId="70DCF192" w:rsidR="009A59CE" w:rsidRPr="00384B04" w:rsidRDefault="009A59CE" w:rsidP="009A59CE">
      <w:pPr>
        <w:rPr>
          <w:szCs w:val="20"/>
        </w:rPr>
      </w:pPr>
      <w:r w:rsidRPr="00384B04">
        <w:rPr>
          <w:szCs w:val="20"/>
        </w:rPr>
        <w:t>Azok közül, akik nem tartották valószínűnek, hogy energetikai felújításba vágjanak, a legtöbben azzal indokolták ezt, hogy a lakásuk már most is energia-hatékony.</w:t>
      </w:r>
      <w:r w:rsidR="00F1464B">
        <w:rPr>
          <w:szCs w:val="20"/>
        </w:rPr>
        <w:br/>
      </w:r>
      <w:r w:rsidRPr="00384B04">
        <w:rPr>
          <w:szCs w:val="20"/>
        </w:rPr>
        <w:t xml:space="preserve">A 40 évesnél idősebbek közül számottevően többen </w:t>
      </w:r>
      <w:r>
        <w:rPr>
          <w:szCs w:val="20"/>
        </w:rPr>
        <w:t xml:space="preserve">válaszoltak így, mint az ennél </w:t>
      </w:r>
      <w:r w:rsidRPr="00384B04">
        <w:rPr>
          <w:szCs w:val="20"/>
        </w:rPr>
        <w:t>fiatalabbak közül, és a családi házakban vagy a lakótelepen élők, mint a hagyományos társasházak lakói közül, továbbá a pesti kert</w:t>
      </w:r>
      <w:r>
        <w:rPr>
          <w:szCs w:val="20"/>
        </w:rPr>
        <w:t xml:space="preserve">városokban lakók, mint a város más </w:t>
      </w:r>
      <w:r w:rsidRPr="00384B04">
        <w:rPr>
          <w:szCs w:val="20"/>
        </w:rPr>
        <w:t xml:space="preserve">övezeteiben élők közül.  </w:t>
      </w:r>
    </w:p>
    <w:p w14:paraId="566D3E19" w14:textId="2B74B5F7" w:rsidR="009A59CE" w:rsidRPr="00384B04" w:rsidRDefault="009A59CE" w:rsidP="009A59CE">
      <w:pPr>
        <w:rPr>
          <w:szCs w:val="20"/>
        </w:rPr>
      </w:pPr>
      <w:r w:rsidRPr="00384B04">
        <w:rPr>
          <w:szCs w:val="20"/>
        </w:rPr>
        <w:t>A társasház támogatásának hiányát azonos arányban említették a panelekben és más többszintes társasházakban lakók, különösen a szűkebb belvárosban.</w:t>
      </w:r>
      <w:r w:rsidR="00F1464B">
        <w:rPr>
          <w:szCs w:val="20"/>
        </w:rPr>
        <w:br/>
      </w:r>
      <w:r w:rsidRPr="00384B04">
        <w:rPr>
          <w:szCs w:val="20"/>
        </w:rPr>
        <w:t>A legfiatalabbak közül számottevően nagyobb arányban hivatkoztak erre, mint a</w:t>
      </w:r>
      <w:r w:rsidR="00F1464B">
        <w:rPr>
          <w:szCs w:val="20"/>
        </w:rPr>
        <w:br/>
      </w:r>
      <w:r w:rsidRPr="00384B04">
        <w:rPr>
          <w:szCs w:val="20"/>
        </w:rPr>
        <w:t>30 évesnél idősebbek közül.</w:t>
      </w:r>
    </w:p>
    <w:p w14:paraId="37F41CC0" w14:textId="511F46AC" w:rsidR="009A59CE" w:rsidRPr="00384B04" w:rsidRDefault="009A59CE" w:rsidP="009A59CE">
      <w:pPr>
        <w:rPr>
          <w:szCs w:val="20"/>
        </w:rPr>
      </w:pPr>
      <w:r w:rsidRPr="00384B04">
        <w:rPr>
          <w:szCs w:val="20"/>
        </w:rPr>
        <w:t>A ház alkalmatlanságára közel kétszer annyian utaltak a férfiak, mint a nők közül, és a legfiatalabbak közül is sokkal nagyobb arányban hivatkoztak erre, mint a 30 évesnél idősebbek közül.</w:t>
      </w:r>
    </w:p>
    <w:p w14:paraId="2AFFB929" w14:textId="24CD6495" w:rsidR="009A59CE" w:rsidRDefault="009A59CE" w:rsidP="009A59CE">
      <w:pPr>
        <w:rPr>
          <w:szCs w:val="20"/>
        </w:rPr>
      </w:pPr>
      <w:r w:rsidRPr="00384B04">
        <w:rPr>
          <w:szCs w:val="20"/>
        </w:rPr>
        <w:t xml:space="preserve">Az, hogy nem érzik fontosnak az ingatlan energia-hatékonyságának </w:t>
      </w:r>
      <w:r>
        <w:rPr>
          <w:szCs w:val="20"/>
        </w:rPr>
        <w:t>fejlesztését, jobban jellemzi a</w:t>
      </w:r>
      <w:r w:rsidRPr="00384B04">
        <w:rPr>
          <w:szCs w:val="20"/>
        </w:rPr>
        <w:t xml:space="preserve"> tágabb belvárosi és a budai kertvárosi lakókat, mint a lakótelepeken és a pesti kertvárosban élőket.</w:t>
      </w:r>
    </w:p>
    <w:p w14:paraId="2E6321E0" w14:textId="5DE6FA2B" w:rsidR="009A59CE" w:rsidRPr="009A59CE" w:rsidRDefault="009A59CE" w:rsidP="009A59CE">
      <w:pPr>
        <w:rPr>
          <w:szCs w:val="20"/>
        </w:rPr>
      </w:pPr>
      <w:r w:rsidRPr="009A59CE">
        <w:rPr>
          <w:szCs w:val="20"/>
        </w:rPr>
        <w:t>A budapestieket egyáltalán nem zavarja a tetőn elhelyezett napel</w:t>
      </w:r>
      <w:r>
        <w:rPr>
          <w:szCs w:val="20"/>
        </w:rPr>
        <w:t>emek látványa. Csupán 2%</w:t>
      </w:r>
      <w:r w:rsidRPr="009A59CE">
        <w:rPr>
          <w:szCs w:val="20"/>
        </w:rPr>
        <w:t xml:space="preserve"> azok aránya, akiknek vannak ezzel fenntartásai, de közülük is minden második csupán a belvárosban érzi zavarónak a napelemek látványát.</w:t>
      </w:r>
    </w:p>
    <w:p w14:paraId="14EF5915" w14:textId="2385C59A" w:rsidR="009A59CE" w:rsidRDefault="009A59CE" w:rsidP="00CC1A0D">
      <w:pPr>
        <w:spacing w:after="0"/>
        <w:rPr>
          <w:szCs w:val="20"/>
        </w:rPr>
      </w:pPr>
      <w:r>
        <w:rPr>
          <w:szCs w:val="20"/>
        </w:rPr>
        <w:t>A különböző demográfiai csoportok</w:t>
      </w:r>
      <w:r w:rsidRPr="009A59CE">
        <w:rPr>
          <w:szCs w:val="20"/>
        </w:rPr>
        <w:t xml:space="preserve"> között nincsenek különbsé</w:t>
      </w:r>
      <w:r>
        <w:rPr>
          <w:szCs w:val="20"/>
        </w:rPr>
        <w:t xml:space="preserve">gek, </w:t>
      </w:r>
      <w:r w:rsidRPr="009A59CE">
        <w:rPr>
          <w:szCs w:val="20"/>
        </w:rPr>
        <w:t>egyetlen kivétellel nem akad olyan csoport, amelyben a 3</w:t>
      </w:r>
      <w:r>
        <w:rPr>
          <w:szCs w:val="20"/>
        </w:rPr>
        <w:t>%-ot</w:t>
      </w:r>
      <w:r w:rsidRPr="009A59CE">
        <w:rPr>
          <w:szCs w:val="20"/>
        </w:rPr>
        <w:t xml:space="preserve"> meghaladná azok aránya, akiket összességében zavarnak a tetőkön elhelyezett napelemek, és csupán a szakmunkásképzőt, szakiskolát végzettek</w:t>
      </w:r>
      <w:r>
        <w:rPr>
          <w:szCs w:val="20"/>
        </w:rPr>
        <w:t xml:space="preserve"> körében éri el az 5%-ot</w:t>
      </w:r>
      <w:r w:rsidRPr="009A59CE">
        <w:rPr>
          <w:szCs w:val="20"/>
        </w:rPr>
        <w:t>.</w:t>
      </w:r>
    </w:p>
    <w:p w14:paraId="19027A49" w14:textId="53A44E25" w:rsidR="009C7DA6" w:rsidRDefault="009C7DA6" w:rsidP="009C7DA6">
      <w:pPr>
        <w:pStyle w:val="Kpalrs"/>
        <w:keepNext/>
        <w:jc w:val="both"/>
      </w:pPr>
      <w:r>
        <w:drawing>
          <wp:anchor distT="0" distB="0" distL="114300" distR="114300" simplePos="0" relativeHeight="251666944" behindDoc="0" locked="0" layoutInCell="1" allowOverlap="1" wp14:anchorId="38545484" wp14:editId="34EDA2F6">
            <wp:simplePos x="0" y="0"/>
            <wp:positionH relativeFrom="column">
              <wp:posOffset>-5080</wp:posOffset>
            </wp:positionH>
            <wp:positionV relativeFrom="paragraph">
              <wp:posOffset>43180</wp:posOffset>
            </wp:positionV>
            <wp:extent cx="5715000" cy="1724025"/>
            <wp:effectExtent l="0" t="0" r="0" b="0"/>
            <wp:wrapNone/>
            <wp:docPr id="196" name="Diagram 1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fldChar w:fldCharType="begin"/>
      </w:r>
      <w:r>
        <w:instrText xml:space="preserve"> SEQ ábra \* ARABIC </w:instrText>
      </w:r>
      <w:r>
        <w:fldChar w:fldCharType="separate"/>
      </w:r>
      <w:r w:rsidR="001A43FF">
        <w:t>4</w:t>
      </w:r>
      <w:r>
        <w:fldChar w:fldCharType="end"/>
      </w:r>
      <w:r>
        <w:t xml:space="preserve">. ábra: </w:t>
      </w:r>
      <w:r w:rsidRPr="009C7DA6">
        <w:t>Napelemek látványának megítélése (%)</w:t>
      </w:r>
    </w:p>
    <w:p w14:paraId="67BC4016" w14:textId="629AB975" w:rsidR="009C7DA6" w:rsidRDefault="009C7DA6" w:rsidP="00CC1A0D">
      <w:pPr>
        <w:spacing w:after="0"/>
        <w:rPr>
          <w:szCs w:val="20"/>
        </w:rPr>
      </w:pPr>
    </w:p>
    <w:p w14:paraId="6D81F6ED" w14:textId="231B19FE" w:rsidR="009C7DA6" w:rsidRDefault="009C7DA6" w:rsidP="00CC1A0D">
      <w:pPr>
        <w:spacing w:after="0"/>
        <w:rPr>
          <w:szCs w:val="20"/>
        </w:rPr>
      </w:pPr>
    </w:p>
    <w:p w14:paraId="1CE4D110" w14:textId="5F4D6299" w:rsidR="009C7DA6" w:rsidRDefault="009C7DA6" w:rsidP="00CC1A0D">
      <w:pPr>
        <w:spacing w:after="0"/>
        <w:rPr>
          <w:szCs w:val="20"/>
        </w:rPr>
      </w:pPr>
    </w:p>
    <w:p w14:paraId="113518A6" w14:textId="6026BB12" w:rsidR="009C7DA6" w:rsidRDefault="009C7DA6" w:rsidP="00CC1A0D">
      <w:pPr>
        <w:spacing w:after="0"/>
        <w:rPr>
          <w:szCs w:val="20"/>
        </w:rPr>
      </w:pPr>
    </w:p>
    <w:p w14:paraId="3CFF56DF" w14:textId="18DAD55E" w:rsidR="009C7DA6" w:rsidRDefault="009C7DA6" w:rsidP="00CC1A0D">
      <w:pPr>
        <w:spacing w:after="0"/>
        <w:rPr>
          <w:szCs w:val="20"/>
        </w:rPr>
      </w:pPr>
    </w:p>
    <w:p w14:paraId="7E3642D4" w14:textId="293AB2C1" w:rsidR="009C7DA6" w:rsidRDefault="009C7DA6" w:rsidP="00CC1A0D">
      <w:pPr>
        <w:spacing w:after="0"/>
        <w:rPr>
          <w:szCs w:val="20"/>
        </w:rPr>
      </w:pPr>
    </w:p>
    <w:p w14:paraId="6190BD71" w14:textId="558D3EA1" w:rsidR="009C7DA6" w:rsidRDefault="009C7DA6" w:rsidP="00CC1A0D">
      <w:pPr>
        <w:spacing w:after="0"/>
        <w:rPr>
          <w:szCs w:val="20"/>
        </w:rPr>
      </w:pPr>
    </w:p>
    <w:p w14:paraId="08C090CD" w14:textId="6E4EA299" w:rsidR="009C7DA6" w:rsidRDefault="009C7DA6" w:rsidP="00CC1A0D">
      <w:pPr>
        <w:spacing w:after="0"/>
        <w:rPr>
          <w:szCs w:val="20"/>
        </w:rPr>
      </w:pPr>
    </w:p>
    <w:p w14:paraId="2AB47631" w14:textId="7024BC6E" w:rsidR="009C7DA6" w:rsidRDefault="009C7DA6" w:rsidP="00CC1A0D">
      <w:pPr>
        <w:spacing w:after="0"/>
        <w:rPr>
          <w:szCs w:val="20"/>
        </w:rPr>
      </w:pPr>
    </w:p>
    <w:p w14:paraId="6826ECB9" w14:textId="77777777" w:rsidR="009C7DA6" w:rsidRDefault="009C7DA6" w:rsidP="00CC1A0D">
      <w:pPr>
        <w:spacing w:after="0"/>
        <w:rPr>
          <w:szCs w:val="20"/>
        </w:rPr>
      </w:pPr>
    </w:p>
    <w:p w14:paraId="2DFF69C4" w14:textId="77777777" w:rsidR="00FD7496" w:rsidRDefault="00FD7496" w:rsidP="00CC1A0D">
      <w:pPr>
        <w:spacing w:after="0"/>
        <w:rPr>
          <w:szCs w:val="20"/>
        </w:rPr>
      </w:pPr>
    </w:p>
    <w:p w14:paraId="66CEF665" w14:textId="77777777" w:rsidR="00541812" w:rsidRPr="00541812" w:rsidRDefault="00541812" w:rsidP="00541812">
      <w:pPr>
        <w:pStyle w:val="Cmsor3"/>
        <w:tabs>
          <w:tab w:val="center" w:pos="3401"/>
        </w:tabs>
      </w:pPr>
      <w:bookmarkStart w:id="15" w:name="_Toc19625591"/>
      <w:r w:rsidRPr="009D1DB6">
        <w:t>Intézkedések</w:t>
      </w:r>
      <w:bookmarkEnd w:id="15"/>
    </w:p>
    <w:p w14:paraId="3D6DA56D" w14:textId="77777777" w:rsidR="00541812" w:rsidRPr="00541812" w:rsidRDefault="00541812" w:rsidP="00541812">
      <w:pPr>
        <w:contextualSpacing/>
        <w:rPr>
          <w:szCs w:val="20"/>
        </w:rPr>
      </w:pPr>
      <w:r w:rsidRPr="00541812">
        <w:rPr>
          <w:szCs w:val="20"/>
        </w:rPr>
        <w:t>Az energiahatékonyságról szóló 2015. évi LVII. törvény jogi keretet biztosít az energiapolitikai célkitűzések teljesítéséhez, a megújuló energiák részarányának növeléséhez, az energiahatékonyság és energia-megtakarítás növeléséhez, valamint az üvegházhatású gázok kibocsátásának csökkentéséhez.</w:t>
      </w:r>
    </w:p>
    <w:p w14:paraId="3270248F" w14:textId="77777777" w:rsidR="00541812" w:rsidRPr="00541812" w:rsidRDefault="00541812" w:rsidP="00AB2503">
      <w:pPr>
        <w:pStyle w:val="Listaszerbekezds"/>
        <w:spacing w:after="200"/>
        <w:ind w:left="357" w:hanging="357"/>
        <w:contextualSpacing/>
      </w:pPr>
      <w:r w:rsidRPr="00541812">
        <w:lastRenderedPageBreak/>
        <w:t>Az energiagazdálkodás jobb állapotának elérését segítő fővárosi intézkedések az elmúlt időszakban:</w:t>
      </w:r>
    </w:p>
    <w:p w14:paraId="13375340" w14:textId="77777777" w:rsidR="00541812" w:rsidRPr="004A5794" w:rsidRDefault="00541812" w:rsidP="00AB2503">
      <w:pPr>
        <w:pStyle w:val="Listaszerbekezds"/>
        <w:spacing w:after="200"/>
        <w:ind w:left="357" w:hanging="357"/>
        <w:contextualSpacing/>
      </w:pPr>
      <w:r w:rsidRPr="004A5794">
        <w:t>Három fővárosi szennyvíztisztító telepén megvalósult a biogáz termelés (pl.: a Dél-pesti Szennyvíztisztító Telep hőenergia tekintetében önellátó vált, a villamos energia igényének mintegy 90%-át fedezi);</w:t>
      </w:r>
    </w:p>
    <w:p w14:paraId="4C8174CC" w14:textId="36132DFE" w:rsidR="00541812" w:rsidRPr="004A5794" w:rsidRDefault="00541812" w:rsidP="00AB2503">
      <w:pPr>
        <w:pStyle w:val="Listaszerbekezds"/>
        <w:spacing w:after="200"/>
        <w:ind w:left="357" w:hanging="357"/>
        <w:contextualSpacing/>
      </w:pPr>
      <w:r w:rsidRPr="004A5794">
        <w:t xml:space="preserve">Az FKF által az energetikailag hasznosított (égetett) hulladék mennyisége </w:t>
      </w:r>
      <w:r w:rsidR="003F06A1" w:rsidRPr="004A5794">
        <w:t>201</w:t>
      </w:r>
      <w:r w:rsidR="003F06A1">
        <w:t>8</w:t>
      </w:r>
      <w:r w:rsidRPr="004A5794">
        <w:t>-b</w:t>
      </w:r>
      <w:r w:rsidR="003F06A1">
        <w:t>a</w:t>
      </w:r>
      <w:r w:rsidRPr="004A5794">
        <w:t xml:space="preserve">n </w:t>
      </w:r>
      <w:r w:rsidR="00A6365D">
        <w:t>3 366 543</w:t>
      </w:r>
      <w:r w:rsidRPr="004A5794">
        <w:t> tonna volt. A HHM villamosenergia-értékesítés</w:t>
      </w:r>
      <w:r w:rsidR="00A6365D">
        <w:t>e 141</w:t>
      </w:r>
      <w:r w:rsidR="003F06A1">
        <w:t> 335 </w:t>
      </w:r>
      <w:r w:rsidR="00A6365D">
        <w:t>MWh volt</w:t>
      </w:r>
      <w:r w:rsidR="003F06A1">
        <w:t>,</w:t>
      </w:r>
      <w:r w:rsidR="00A6365D">
        <w:t xml:space="preserve"> az értékesített </w:t>
      </w:r>
      <w:r w:rsidR="003F06A1">
        <w:t>hő</w:t>
      </w:r>
      <w:r w:rsidR="00A6365D">
        <w:t xml:space="preserve"> mennyisége </w:t>
      </w:r>
      <w:r w:rsidR="003F06A1">
        <w:t xml:space="preserve">748 783 GJ </w:t>
      </w:r>
      <w:r w:rsidR="00A6365D">
        <w:t>v</w:t>
      </w:r>
      <w:r w:rsidR="003F06A1">
        <w:t>o</w:t>
      </w:r>
      <w:r w:rsidR="00A6365D">
        <w:t>lt.</w:t>
      </w:r>
      <w:r w:rsidRPr="004A5794">
        <w:t xml:space="preserve"> </w:t>
      </w:r>
      <w:r w:rsidR="00A6365D" w:rsidRPr="004A5794">
        <w:t>201</w:t>
      </w:r>
      <w:r w:rsidR="00A6365D">
        <w:t>7</w:t>
      </w:r>
      <w:r w:rsidRPr="004A5794">
        <w:t>. évihez képest</w:t>
      </w:r>
      <w:r w:rsidR="003F06A1">
        <w:t xml:space="preserve"> az villamosenergia-értékesítés 4%-kal, a hőértékesítés 26%-kal volt magasabb 2018-ban;</w:t>
      </w:r>
    </w:p>
    <w:p w14:paraId="1D6A98F1" w14:textId="633EA227" w:rsidR="00541812" w:rsidRPr="004A5794" w:rsidRDefault="00541812" w:rsidP="00AB2503">
      <w:pPr>
        <w:pStyle w:val="Listaszerbekezds"/>
        <w:spacing w:after="200"/>
        <w:ind w:left="357" w:hanging="357"/>
        <w:contextualSpacing/>
      </w:pPr>
      <w:r w:rsidRPr="004A5794">
        <w:t>A Budapest Gyógyfürdői és Hévizei Zrt. (BGYH) Széchenyi Fürdőjének termálvíz hőjéből a FŐTÁV-BGYH konzorcium által a Fővárosi Állat- és Növénykert (FÁNK) részére 201</w:t>
      </w:r>
      <w:r w:rsidR="003F06A1">
        <w:t>8</w:t>
      </w:r>
      <w:r w:rsidRPr="004A5794">
        <w:t>-b</w:t>
      </w:r>
      <w:r w:rsidR="003F06A1">
        <w:t>a</w:t>
      </w:r>
      <w:r w:rsidRPr="004A5794">
        <w:t xml:space="preserve">n szolgáltatott geotermikus hő mennyisége </w:t>
      </w:r>
      <w:r w:rsidR="003F06A1" w:rsidRPr="004A5794">
        <w:t>13</w:t>
      </w:r>
      <w:r w:rsidR="003F06A1">
        <w:t>940</w:t>
      </w:r>
      <w:r w:rsidR="003F06A1" w:rsidRPr="004A5794">
        <w:t xml:space="preserve"> </w:t>
      </w:r>
      <w:r w:rsidRPr="004A5794">
        <w:t>GJ (</w:t>
      </w:r>
      <w:r w:rsidR="003F06A1" w:rsidRPr="004A5794">
        <w:t>3</w:t>
      </w:r>
      <w:r w:rsidR="003F06A1">
        <w:t>872</w:t>
      </w:r>
      <w:r w:rsidR="003F06A1" w:rsidRPr="004A5794">
        <w:t xml:space="preserve"> </w:t>
      </w:r>
      <w:r w:rsidRPr="004A5794">
        <w:t>MWh) volt.</w:t>
      </w:r>
    </w:p>
    <w:p w14:paraId="1D7A1F6F" w14:textId="77777777" w:rsidR="00541812" w:rsidRPr="004A5794" w:rsidRDefault="00541812" w:rsidP="00AB2503">
      <w:pPr>
        <w:pStyle w:val="Listaszerbekezds"/>
        <w:spacing w:after="200"/>
        <w:ind w:left="357" w:hanging="357"/>
        <w:contextualSpacing/>
      </w:pPr>
      <w:r w:rsidRPr="004A5794">
        <w:t>A fővárosi távhőhálózaton végzett fejlesztéseket a Fővárosi Önkormányzat évente ellenőrzi, amelyről jegyzőkönyv készül.</w:t>
      </w:r>
    </w:p>
    <w:p w14:paraId="4DBDD29E" w14:textId="77777777" w:rsidR="00541812" w:rsidRPr="00541812" w:rsidRDefault="00541812" w:rsidP="00541812">
      <w:pPr>
        <w:rPr>
          <w:szCs w:val="20"/>
        </w:rPr>
      </w:pPr>
    </w:p>
    <w:p w14:paraId="39F3081D" w14:textId="67B896B4" w:rsidR="00541812" w:rsidRPr="00541812" w:rsidRDefault="00541812" w:rsidP="00541812">
      <w:pPr>
        <w:pStyle w:val="Cmsor3"/>
        <w:tabs>
          <w:tab w:val="center" w:pos="3401"/>
        </w:tabs>
      </w:pPr>
      <w:bookmarkStart w:id="16" w:name="_Toc407102882"/>
      <w:bookmarkStart w:id="17" w:name="_Toc417291488"/>
      <w:bookmarkStart w:id="18" w:name="_Toc501608189"/>
      <w:bookmarkStart w:id="19" w:name="_Toc513804949"/>
      <w:bookmarkStart w:id="20" w:name="_Toc19625592"/>
      <w:r w:rsidRPr="009D1DB6">
        <w:t>További javasolt feladatok</w:t>
      </w:r>
      <w:bookmarkEnd w:id="16"/>
      <w:bookmarkEnd w:id="17"/>
      <w:bookmarkEnd w:id="18"/>
      <w:bookmarkEnd w:id="19"/>
      <w:bookmarkEnd w:id="20"/>
    </w:p>
    <w:p w14:paraId="0506F2E4" w14:textId="77777777" w:rsidR="00496BD2" w:rsidRPr="00541812" w:rsidRDefault="00496BD2" w:rsidP="00496BD2">
      <w:pPr>
        <w:rPr>
          <w:szCs w:val="20"/>
        </w:rPr>
      </w:pPr>
      <w:r w:rsidRPr="00541812">
        <w:rPr>
          <w:szCs w:val="20"/>
        </w:rPr>
        <w:t>Budapest klímastratégiája az alábbi</w:t>
      </w:r>
      <w:r>
        <w:rPr>
          <w:szCs w:val="20"/>
        </w:rPr>
        <w:t xml:space="preserve"> fontosabb</w:t>
      </w:r>
      <w:r w:rsidRPr="00541812">
        <w:rPr>
          <w:szCs w:val="20"/>
        </w:rPr>
        <w:t xml:space="preserve"> intézkedéseket határozta meg az energiagazdálkodáshoz kapcsolódóan (8.1. Üvegházhatású gázok kibocsátásának csökkentése, dekarbonizációs és mitigációs intézkedések, 8.3. Szemléletformálási, klímatudatossági intézkedések):</w:t>
      </w:r>
    </w:p>
    <w:p w14:paraId="76A0CFCB" w14:textId="6F0117F3" w:rsidR="00496BD2" w:rsidRPr="008C5D9C" w:rsidRDefault="00496BD2" w:rsidP="00496BD2">
      <w:pPr>
        <w:pStyle w:val="Listaszerbekezds"/>
        <w:spacing w:after="200"/>
        <w:ind w:hanging="357"/>
      </w:pPr>
      <w:r w:rsidRPr="008C5D9C">
        <w:t xml:space="preserve">Az épületek, </w:t>
      </w:r>
      <w:r>
        <w:t>és</w:t>
      </w:r>
      <w:r w:rsidRPr="008C5D9C">
        <w:t xml:space="preserve"> létesítmények energiahatékonyságának javítása, valamint a megújuló energiaforrások részarányának növelése:</w:t>
      </w:r>
    </w:p>
    <w:p w14:paraId="12509D14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a Fővárosi Önkormányzat, valamint a közszolgáltatásokat végző gazdasági társaságok épületeinek és működésének energetikai korszerűsítése;</w:t>
      </w:r>
    </w:p>
    <w:p w14:paraId="39A6C555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lakóépületek energetikai korszerűsítése;</w:t>
      </w:r>
    </w:p>
    <w:p w14:paraId="4DED2924" w14:textId="3775979A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távhőellátó rendszer fejlesztése</w:t>
      </w:r>
      <w:r>
        <w:rPr>
          <w:szCs w:val="20"/>
        </w:rPr>
        <w:t>,</w:t>
      </w:r>
      <w:r w:rsidRPr="004A5794">
        <w:rPr>
          <w:szCs w:val="20"/>
        </w:rPr>
        <w:t xml:space="preserve"> a megújuló energiaforrások részarányának növelése;</w:t>
      </w:r>
    </w:p>
    <w:p w14:paraId="04DD7045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 xml:space="preserve">SEAP felülvizsgálata, </w:t>
      </w:r>
      <w:r>
        <w:rPr>
          <w:szCs w:val="20"/>
        </w:rPr>
        <w:t xml:space="preserve">és </w:t>
      </w:r>
      <w:r w:rsidRPr="004A5794">
        <w:rPr>
          <w:szCs w:val="20"/>
        </w:rPr>
        <w:t>Fenntartható Energia- és Klímaakciótervre történő kiterjesztése;</w:t>
      </w:r>
    </w:p>
    <w:p w14:paraId="3ADCBFEE" w14:textId="6F3A5E6B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felmérés a megújuló energiaforrások alkalmazásának lehetőségeiről;</w:t>
      </w:r>
    </w:p>
    <w:p w14:paraId="41BBD192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3" w:hanging="357"/>
        <w:rPr>
          <w:szCs w:val="20"/>
        </w:rPr>
      </w:pPr>
      <w:r w:rsidRPr="004A5794">
        <w:rPr>
          <w:szCs w:val="20"/>
        </w:rPr>
        <w:t>épületekben alkalmazható megújuló energiaforrások használatának elősegítése (napelem, napkollektor, hőszivattyú).</w:t>
      </w:r>
    </w:p>
    <w:p w14:paraId="5D63AC26" w14:textId="77777777" w:rsidR="00496BD2" w:rsidRPr="008C5D9C" w:rsidRDefault="00496BD2" w:rsidP="00496BD2">
      <w:pPr>
        <w:pStyle w:val="Listaszerbekezds"/>
        <w:spacing w:after="200"/>
        <w:ind w:hanging="357"/>
      </w:pPr>
      <w:r w:rsidRPr="008C5D9C">
        <w:t>Közlekedési infrastruktúrák energiahatékonyságának javítása és a környezetbarát közlekedési módok támogatása és fejlesztése:</w:t>
      </w:r>
    </w:p>
    <w:p w14:paraId="53D00D0A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vonzó járművekkel és jobb szolgáltatásokkal a közösségi közlekedés fejlesztése;</w:t>
      </w:r>
    </w:p>
    <w:p w14:paraId="6F910D4D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a kerékpáros és gyalogos infrastruktúra fejlesztése;</w:t>
      </w:r>
    </w:p>
    <w:p w14:paraId="2AB8268E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2" w:hanging="357"/>
        <w:contextualSpacing/>
        <w:rPr>
          <w:szCs w:val="20"/>
        </w:rPr>
      </w:pPr>
      <w:r w:rsidRPr="004A5794">
        <w:rPr>
          <w:szCs w:val="20"/>
        </w:rPr>
        <w:t>elektromos meghajtású vagy alacsony kibocsátású gépjárművek, illetve a közautó és telekocsi rendszerek használatának elősegítése;</w:t>
      </w:r>
    </w:p>
    <w:p w14:paraId="75ABD87E" w14:textId="77777777" w:rsidR="00496BD2" w:rsidRPr="004A5794" w:rsidRDefault="00496BD2" w:rsidP="00496BD2">
      <w:pPr>
        <w:pStyle w:val="Listaszerbekezds"/>
        <w:numPr>
          <w:ilvl w:val="1"/>
          <w:numId w:val="15"/>
        </w:numPr>
        <w:spacing w:after="200"/>
        <w:ind w:left="993" w:hanging="357"/>
        <w:rPr>
          <w:szCs w:val="20"/>
        </w:rPr>
      </w:pPr>
      <w:r w:rsidRPr="004A5794">
        <w:rPr>
          <w:szCs w:val="20"/>
        </w:rPr>
        <w:t>kibocsátás-csökkentő forgalomszabályozás, klímavédelmi övezetek kijelölése és az ehhez szükséges infrastruktúra (P+R parkolók) kiépítése;</w:t>
      </w:r>
    </w:p>
    <w:p w14:paraId="1CF94494" w14:textId="77777777" w:rsidR="002E7872" w:rsidRPr="002E7872" w:rsidRDefault="00496BD2" w:rsidP="002E7872">
      <w:pPr>
        <w:pStyle w:val="Listaszerbekezds"/>
        <w:spacing w:after="200"/>
        <w:ind w:left="363" w:hanging="357"/>
        <w:contextualSpacing/>
      </w:pPr>
      <w:r w:rsidRPr="008C5D9C">
        <w:t>Szemléletformálási intézkedések:</w:t>
      </w:r>
    </w:p>
    <w:p w14:paraId="32EA2B8A" w14:textId="26F84199" w:rsidR="00400873" w:rsidRPr="002E7872" w:rsidRDefault="00496BD2" w:rsidP="002E7872">
      <w:pPr>
        <w:pStyle w:val="Listaszerbekezds"/>
        <w:numPr>
          <w:ilvl w:val="0"/>
          <w:numId w:val="0"/>
        </w:numPr>
        <w:spacing w:after="200"/>
        <w:ind w:left="360"/>
      </w:pPr>
      <w:r w:rsidRPr="002E7872">
        <w:t>háztartási, lakossági energiafelhasználás csökkentésére irányuló kommunikációs és támogató eszközrendszer kialakítása.</w:t>
      </w:r>
    </w:p>
    <w:p w14:paraId="58C9922E" w14:textId="77777777" w:rsidR="001D6635" w:rsidRPr="002E7872" w:rsidRDefault="001D6635" w:rsidP="002E7872">
      <w:pPr>
        <w:pStyle w:val="Listaszerbekezds"/>
        <w:spacing w:after="200"/>
        <w:ind w:hanging="357"/>
        <w:sectPr w:rsidR="001D6635" w:rsidRPr="002E7872" w:rsidSect="008A6CD3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</w:p>
    <w:bookmarkEnd w:id="5"/>
    <w:bookmarkEnd w:id="6"/>
    <w:bookmarkEnd w:id="7"/>
    <w:bookmarkEnd w:id="8"/>
    <w:p w14:paraId="4A6E8C88" w14:textId="0E1213F4" w:rsidR="008C5D9C" w:rsidRDefault="006D2F1B" w:rsidP="008C5D9C">
      <w:pPr>
        <w:pStyle w:val="Cmsor3"/>
      </w:pPr>
      <w:r>
        <w:lastRenderedPageBreak/>
        <w:t>Függelék</w:t>
      </w:r>
    </w:p>
    <w:p w14:paraId="6694233F" w14:textId="2E043158" w:rsidR="008C5D9C" w:rsidRDefault="008C5D9C" w:rsidP="008C5D9C">
      <w:pPr>
        <w:rPr>
          <w:lang w:eastAsia="en-US"/>
        </w:rPr>
      </w:pPr>
      <w:r>
        <w:rPr>
          <w:noProof/>
        </w:rPr>
        <w:drawing>
          <wp:inline distT="0" distB="0" distL="0" distR="0" wp14:anchorId="67B45467" wp14:editId="71E5DAC7">
            <wp:extent cx="4320000" cy="7077952"/>
            <wp:effectExtent l="0" t="0" r="4445" b="889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9" t="8106" r="14560"/>
                    <a:stretch/>
                  </pic:blipFill>
                  <pic:spPr bwMode="auto">
                    <a:xfrm>
                      <a:off x="0" y="0"/>
                      <a:ext cx="4320000" cy="707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FD542" w14:textId="77777777" w:rsidR="008C5D9C" w:rsidRDefault="008C5D9C" w:rsidP="008C5D9C">
      <w:pPr>
        <w:rPr>
          <w:lang w:eastAsia="en-US"/>
        </w:rPr>
      </w:pPr>
    </w:p>
    <w:p w14:paraId="731506E9" w14:textId="77777777" w:rsidR="008C5D9C" w:rsidRDefault="008C5D9C" w:rsidP="008C5D9C">
      <w:pPr>
        <w:rPr>
          <w:lang w:eastAsia="en-US"/>
        </w:rPr>
      </w:pPr>
    </w:p>
    <w:p w14:paraId="08B712DB" w14:textId="46AE7A2E" w:rsidR="008C5D9C" w:rsidRDefault="008C5D9C" w:rsidP="008C5D9C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6E5F4AF" wp14:editId="5D0815BA">
            <wp:extent cx="4295554" cy="8555774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8" r="25409"/>
                    <a:stretch/>
                  </pic:blipFill>
                  <pic:spPr bwMode="auto">
                    <a:xfrm>
                      <a:off x="0" y="0"/>
                      <a:ext cx="4296028" cy="855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B18EC" w14:textId="5BA276EA" w:rsidR="008C5D9C" w:rsidRDefault="008C5D9C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52909340" wp14:editId="7E352727">
            <wp:extent cx="4319270" cy="7669493"/>
            <wp:effectExtent l="0" t="0" r="5080" b="8255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8" t="562" r="14213" b="115"/>
                    <a:stretch/>
                  </pic:blipFill>
                  <pic:spPr bwMode="auto">
                    <a:xfrm>
                      <a:off x="0" y="0"/>
                      <a:ext cx="4319270" cy="76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A2672" w14:textId="66344F2A" w:rsidR="008C5D9C" w:rsidRDefault="008C5D9C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2D6599E5" wp14:editId="0AD67D95">
            <wp:extent cx="4258102" cy="9548357"/>
            <wp:effectExtent l="0" t="0" r="9525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10490" r="28674"/>
                    <a:stretch/>
                  </pic:blipFill>
                  <pic:spPr bwMode="auto">
                    <a:xfrm>
                      <a:off x="0" y="0"/>
                      <a:ext cx="4258620" cy="95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237DE" w14:textId="627D0509" w:rsidR="008C5D9C" w:rsidRDefault="008C5D9C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3F238C36" wp14:editId="7C810A9B">
            <wp:extent cx="4320000" cy="7468269"/>
            <wp:effectExtent l="0" t="0" r="4445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r="12796"/>
                    <a:stretch/>
                  </pic:blipFill>
                  <pic:spPr bwMode="auto">
                    <a:xfrm>
                      <a:off x="0" y="0"/>
                      <a:ext cx="4320000" cy="74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0C402" w14:textId="77777777" w:rsidR="008C5D9C" w:rsidRDefault="008C5D9C" w:rsidP="008C5D9C">
      <w:pPr>
        <w:pStyle w:val="Bevezetnorml"/>
      </w:pPr>
    </w:p>
    <w:p w14:paraId="5C4F2814" w14:textId="0630743F" w:rsidR="008C5D9C" w:rsidRDefault="008C5D9C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2F9D6917" wp14:editId="22500FA8">
            <wp:extent cx="4258102" cy="9089390"/>
            <wp:effectExtent l="0" t="0" r="9525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4" t="11264" r="37875" b="3488"/>
                    <a:stretch/>
                  </pic:blipFill>
                  <pic:spPr bwMode="auto">
                    <a:xfrm>
                      <a:off x="0" y="0"/>
                      <a:ext cx="4258111" cy="908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5571A" w14:textId="6F294B57" w:rsidR="008C5D9C" w:rsidRDefault="008C5D9C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691E40FA" wp14:editId="199EA45C">
            <wp:extent cx="4320000" cy="6962939"/>
            <wp:effectExtent l="0" t="0" r="4445" b="9525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1" t="7420" r="12950"/>
                    <a:stretch/>
                  </pic:blipFill>
                  <pic:spPr bwMode="auto">
                    <a:xfrm>
                      <a:off x="0" y="0"/>
                      <a:ext cx="4320000" cy="696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40C8C" w14:textId="77777777" w:rsidR="00637FB1" w:rsidRDefault="00637FB1" w:rsidP="008C5D9C">
      <w:pPr>
        <w:pStyle w:val="Bevezetnorml"/>
      </w:pPr>
    </w:p>
    <w:p w14:paraId="7A3260B9" w14:textId="15F94D8A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0C2C844F" wp14:editId="6F59CF55">
            <wp:extent cx="4258102" cy="9658172"/>
            <wp:effectExtent l="0" t="0" r="9525" b="63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" t="9466" r="40094"/>
                    <a:stretch/>
                  </pic:blipFill>
                  <pic:spPr bwMode="auto">
                    <a:xfrm>
                      <a:off x="0" y="0"/>
                      <a:ext cx="4258335" cy="965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3E19E" w14:textId="1778D84D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03BCB4C4" wp14:editId="0BC2B561">
            <wp:extent cx="4320000" cy="7442282"/>
            <wp:effectExtent l="0" t="0" r="4445" b="635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4" r="12658"/>
                    <a:stretch/>
                  </pic:blipFill>
                  <pic:spPr bwMode="auto">
                    <a:xfrm>
                      <a:off x="0" y="0"/>
                      <a:ext cx="4320000" cy="744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3BEF3" w14:textId="77777777" w:rsidR="00637FB1" w:rsidRDefault="00637FB1" w:rsidP="008C5D9C">
      <w:pPr>
        <w:pStyle w:val="Bevezetnorml"/>
      </w:pPr>
    </w:p>
    <w:p w14:paraId="15070AB9" w14:textId="77777777" w:rsidR="00637FB1" w:rsidRDefault="00637FB1" w:rsidP="008C5D9C">
      <w:pPr>
        <w:pStyle w:val="Bevezetnorml"/>
      </w:pPr>
    </w:p>
    <w:p w14:paraId="4A331FC4" w14:textId="77777777" w:rsidR="00637FB1" w:rsidRDefault="00637FB1" w:rsidP="008C5D9C">
      <w:pPr>
        <w:pStyle w:val="Bevezetnorml"/>
      </w:pPr>
    </w:p>
    <w:p w14:paraId="265683C3" w14:textId="6FE513CB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3B8B84B3" wp14:editId="6B64BA01">
            <wp:extent cx="4285397" cy="9514780"/>
            <wp:effectExtent l="0" t="0" r="127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3" t="10867" r="38830"/>
                    <a:stretch/>
                  </pic:blipFill>
                  <pic:spPr bwMode="auto">
                    <a:xfrm>
                      <a:off x="0" y="0"/>
                      <a:ext cx="4285462" cy="95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99659" w14:textId="76DE9255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6F62F254" wp14:editId="77EB58D1">
            <wp:extent cx="4320000" cy="7597280"/>
            <wp:effectExtent l="0" t="0" r="4445" b="381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8" r="13199"/>
                    <a:stretch/>
                  </pic:blipFill>
                  <pic:spPr bwMode="auto">
                    <a:xfrm>
                      <a:off x="0" y="0"/>
                      <a:ext cx="4320000" cy="75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CB605" w14:textId="750E6CF6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3B0C6613" wp14:editId="51F748C3">
            <wp:extent cx="4326341" cy="9389110"/>
            <wp:effectExtent l="0" t="0" r="0" b="254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6" t="9617" r="37258" b="3313"/>
                    <a:stretch/>
                  </pic:blipFill>
                  <pic:spPr bwMode="auto">
                    <a:xfrm>
                      <a:off x="0" y="0"/>
                      <a:ext cx="4326859" cy="939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F4BB1" w14:textId="19186DF0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07DA2630" wp14:editId="38F76F3B">
            <wp:extent cx="4320000" cy="7410130"/>
            <wp:effectExtent l="0" t="0" r="4445" b="635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" r="12120"/>
                    <a:stretch/>
                  </pic:blipFill>
                  <pic:spPr bwMode="auto">
                    <a:xfrm>
                      <a:off x="0" y="0"/>
                      <a:ext cx="4320000" cy="74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143B9" w14:textId="77777777" w:rsidR="00637FB1" w:rsidRDefault="00637FB1" w:rsidP="008C5D9C">
      <w:pPr>
        <w:pStyle w:val="Bevezetnorml"/>
      </w:pPr>
    </w:p>
    <w:p w14:paraId="32CCD168" w14:textId="77777777" w:rsidR="00637FB1" w:rsidRDefault="00637FB1" w:rsidP="008C5D9C">
      <w:pPr>
        <w:pStyle w:val="Bevezetnorml"/>
      </w:pPr>
    </w:p>
    <w:p w14:paraId="768A477D" w14:textId="77777777" w:rsidR="00637FB1" w:rsidRDefault="00637FB1" w:rsidP="008C5D9C">
      <w:pPr>
        <w:pStyle w:val="Bevezetnorml"/>
      </w:pPr>
    </w:p>
    <w:p w14:paraId="31E575E8" w14:textId="77777777" w:rsidR="00637FB1" w:rsidRDefault="00637FB1" w:rsidP="008C5D9C">
      <w:pPr>
        <w:pStyle w:val="Bevezetnorml"/>
      </w:pPr>
    </w:p>
    <w:p w14:paraId="6839E986" w14:textId="77777777" w:rsidR="00637FB1" w:rsidRDefault="00637FB1" w:rsidP="008C5D9C">
      <w:pPr>
        <w:pStyle w:val="Bevezetnorml"/>
      </w:pPr>
    </w:p>
    <w:p w14:paraId="49E4C496" w14:textId="60AC88BB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6A1AB571" wp14:editId="394FA204">
            <wp:extent cx="4244454" cy="9653905"/>
            <wp:effectExtent l="0" t="0" r="3810" b="4445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9816" r="39568"/>
                    <a:stretch/>
                  </pic:blipFill>
                  <pic:spPr bwMode="auto">
                    <a:xfrm>
                      <a:off x="0" y="0"/>
                      <a:ext cx="4244747" cy="965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69837" w14:textId="4236DFE0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44FC59FF" wp14:editId="2FFEE539">
            <wp:extent cx="4320000" cy="7559324"/>
            <wp:effectExtent l="0" t="0" r="4445" b="381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r="13414"/>
                    <a:stretch/>
                  </pic:blipFill>
                  <pic:spPr bwMode="auto">
                    <a:xfrm>
                      <a:off x="0" y="0"/>
                      <a:ext cx="4320000" cy="755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A5B22" w14:textId="1F1BBEF0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610F0881" wp14:editId="7CE4C588">
            <wp:extent cx="4135272" cy="9207532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8" t="13688" r="34538"/>
                    <a:stretch/>
                  </pic:blipFill>
                  <pic:spPr bwMode="auto">
                    <a:xfrm>
                      <a:off x="0" y="0"/>
                      <a:ext cx="4135628" cy="920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7096E" w14:textId="05E6D472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156F61DC" wp14:editId="5B7638BB">
            <wp:extent cx="4320000" cy="8020533"/>
            <wp:effectExtent l="0" t="0" r="4445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8" r="10813"/>
                    <a:stretch/>
                  </pic:blipFill>
                  <pic:spPr bwMode="auto">
                    <a:xfrm>
                      <a:off x="0" y="0"/>
                      <a:ext cx="4320000" cy="802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1B840" w14:textId="77777777" w:rsidR="00637FB1" w:rsidRDefault="00637FB1" w:rsidP="008C5D9C">
      <w:pPr>
        <w:pStyle w:val="Bevezetnorml"/>
      </w:pPr>
    </w:p>
    <w:p w14:paraId="4A262952" w14:textId="77777777" w:rsidR="00637FB1" w:rsidRDefault="00637FB1" w:rsidP="008C5D9C">
      <w:pPr>
        <w:pStyle w:val="Bevezetnorml"/>
      </w:pPr>
    </w:p>
    <w:p w14:paraId="350BFFDD" w14:textId="77777777" w:rsidR="00637FB1" w:rsidRDefault="00637FB1" w:rsidP="008C5D9C">
      <w:pPr>
        <w:pStyle w:val="Bevezetnorml"/>
      </w:pPr>
    </w:p>
    <w:p w14:paraId="2863894B" w14:textId="1F3DA592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458C279E" wp14:editId="327E97B5">
            <wp:extent cx="4162567" cy="10306685"/>
            <wp:effectExtent l="0" t="0" r="9525" b="0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" t="4910" r="40029"/>
                    <a:stretch/>
                  </pic:blipFill>
                  <pic:spPr bwMode="auto">
                    <a:xfrm>
                      <a:off x="0" y="0"/>
                      <a:ext cx="4162765" cy="1030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6CB14" w14:textId="13ACEDB2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7A73974E" wp14:editId="416190FB">
            <wp:extent cx="4320000" cy="8779391"/>
            <wp:effectExtent l="0" t="0" r="4445" b="3175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 r="23505"/>
                    <a:stretch/>
                  </pic:blipFill>
                  <pic:spPr bwMode="auto">
                    <a:xfrm>
                      <a:off x="0" y="0"/>
                      <a:ext cx="4320000" cy="877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79170" w14:textId="77777777" w:rsidR="00637FB1" w:rsidRDefault="00637FB1" w:rsidP="008C5D9C">
      <w:pPr>
        <w:pStyle w:val="Bevezetnorml"/>
      </w:pPr>
    </w:p>
    <w:p w14:paraId="141C9B42" w14:textId="1C227B9C" w:rsidR="00637FB1" w:rsidRDefault="00637FB1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3EA4CCBD" wp14:editId="561E10C6">
            <wp:extent cx="4230427" cy="9620843"/>
            <wp:effectExtent l="0" t="0" r="0" b="0"/>
            <wp:docPr id="192" name="Kép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 t="5382" r="38344" b="4241"/>
                    <a:stretch/>
                  </pic:blipFill>
                  <pic:spPr bwMode="auto">
                    <a:xfrm>
                      <a:off x="0" y="0"/>
                      <a:ext cx="4232685" cy="962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EFB85" w14:textId="702BA681" w:rsidR="00CE787B" w:rsidRDefault="00406387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559F8744" wp14:editId="3A02063E">
            <wp:extent cx="8712835" cy="6155661"/>
            <wp:effectExtent l="254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AP_2018_1_Page_1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17518" cy="61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418B9" w14:textId="77777777" w:rsidR="00CE787B" w:rsidRDefault="00CE787B" w:rsidP="008C5D9C">
      <w:pPr>
        <w:pStyle w:val="Bevezetnorml"/>
      </w:pPr>
    </w:p>
    <w:p w14:paraId="69B55143" w14:textId="77777777" w:rsidR="00CE787B" w:rsidRDefault="00CE787B" w:rsidP="008C5D9C">
      <w:pPr>
        <w:pStyle w:val="Bevezetnorml"/>
      </w:pPr>
    </w:p>
    <w:p w14:paraId="2BB55DEB" w14:textId="37D55EA7" w:rsidR="00406387" w:rsidRDefault="00406387" w:rsidP="008C5D9C">
      <w:pPr>
        <w:pStyle w:val="Bevezetnorml"/>
      </w:pPr>
      <w:r>
        <w:rPr>
          <w:noProof/>
        </w:rPr>
        <w:drawing>
          <wp:inline distT="0" distB="0" distL="0" distR="0" wp14:anchorId="0F9CFE1E" wp14:editId="2E7CC693">
            <wp:extent cx="8577580" cy="6065777"/>
            <wp:effectExtent l="0" t="127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AP_2018_1_Page_2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79171" cy="60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113F1" w14:textId="453D6983" w:rsidR="00406387" w:rsidRDefault="00406387" w:rsidP="008C5D9C">
      <w:pPr>
        <w:pStyle w:val="Bevezetnorml"/>
      </w:pPr>
      <w:r>
        <w:rPr>
          <w:noProof/>
        </w:rPr>
        <w:lastRenderedPageBreak/>
        <w:drawing>
          <wp:inline distT="0" distB="0" distL="0" distR="0" wp14:anchorId="6005B136" wp14:editId="2D4A3F1F">
            <wp:extent cx="8060895" cy="5700395"/>
            <wp:effectExtent l="0" t="953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EAP_2018_1_Page_3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63015" cy="570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FB17" w14:textId="77777777" w:rsidR="00406387" w:rsidRDefault="00406387" w:rsidP="008C5D9C">
      <w:pPr>
        <w:pStyle w:val="Bevezetnorml"/>
      </w:pPr>
    </w:p>
    <w:p w14:paraId="786DB09F" w14:textId="77777777" w:rsidR="002F59D9" w:rsidRDefault="002F59D9">
      <w:pPr>
        <w:spacing w:after="160" w:line="259" w:lineRule="auto"/>
        <w:ind w:right="0"/>
        <w:jc w:val="left"/>
        <w:rPr>
          <w:rFonts w:eastAsia="Calibri"/>
          <w:i/>
          <w:spacing w:val="20"/>
          <w:sz w:val="20"/>
          <w:szCs w:val="20"/>
          <w:lang w:eastAsia="en-US"/>
        </w:rPr>
      </w:pPr>
      <w:r>
        <w:br w:type="page"/>
      </w:r>
    </w:p>
    <w:p w14:paraId="7CBEC1D1" w14:textId="674FB8B4" w:rsidR="00A3451F" w:rsidRPr="00A3451F" w:rsidRDefault="00A3451F" w:rsidP="006D2F1B">
      <w:pPr>
        <w:pStyle w:val="Cmsor5"/>
      </w:pPr>
      <w:r w:rsidRPr="00A3451F">
        <w:lastRenderedPageBreak/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42"/>
      <w:headerReference w:type="default" r:id="rId43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5DCC0" w14:textId="77777777" w:rsidR="00F37296" w:rsidRDefault="00F37296" w:rsidP="006C431E">
      <w:pPr>
        <w:spacing w:after="0" w:line="240" w:lineRule="auto"/>
      </w:pPr>
      <w:r>
        <w:separator/>
      </w:r>
    </w:p>
  </w:endnote>
  <w:endnote w:type="continuationSeparator" w:id="0">
    <w:p w14:paraId="5B00E837" w14:textId="77777777" w:rsidR="00F37296" w:rsidRDefault="00F37296" w:rsidP="006C431E">
      <w:pPr>
        <w:spacing w:after="0" w:line="240" w:lineRule="auto"/>
      </w:pPr>
      <w:r>
        <w:continuationSeparator/>
      </w:r>
    </w:p>
  </w:endnote>
  <w:endnote w:id="1">
    <w:p w14:paraId="24AE74FE" w14:textId="77777777" w:rsidR="00496963" w:rsidRPr="00B47AFE" w:rsidRDefault="00496963" w:rsidP="007D6340">
      <w:pPr>
        <w:pStyle w:val="Vgjegyzetszvege"/>
        <w:spacing w:after="0"/>
        <w:jc w:val="left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Mivel égési, energiaátalakulási folyamatok az élő szervezetekben is zajlanak, ezért az így keletkező szén-dioxid is hozzájárul a globális szintű CO</w:t>
      </w:r>
      <w:r w:rsidRPr="00B47AFE">
        <w:rPr>
          <w:szCs w:val="18"/>
          <w:vertAlign w:val="subscript"/>
        </w:rPr>
        <w:t>2</w:t>
      </w:r>
      <w:r w:rsidRPr="00B47AFE">
        <w:rPr>
          <w:szCs w:val="18"/>
        </w:rPr>
        <w:t>-szint emelkedéséhez.</w:t>
      </w:r>
    </w:p>
  </w:endnote>
  <w:endnote w:id="2">
    <w:p w14:paraId="7CDA42AF" w14:textId="77777777" w:rsidR="00496963" w:rsidRPr="00B47AFE" w:rsidRDefault="00496963" w:rsidP="002F73CA">
      <w:pPr>
        <w:pStyle w:val="Vgjegyzetszvege"/>
        <w:spacing w:after="0"/>
        <w:jc w:val="left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</w:t>
      </w:r>
      <w:r w:rsidRPr="00B47AFE">
        <w:rPr>
          <w:rFonts w:cs="Arial"/>
          <w:szCs w:val="18"/>
        </w:rPr>
        <w:t>2089/2008 (12.18.) K.Gy. határozat alapján</w:t>
      </w:r>
    </w:p>
  </w:endnote>
  <w:endnote w:id="3">
    <w:p w14:paraId="5C3D1BCC" w14:textId="77777777" w:rsidR="00496963" w:rsidRPr="00B47AFE" w:rsidRDefault="00496963" w:rsidP="002F73CA">
      <w:pPr>
        <w:pStyle w:val="Vgjegyzetszvege"/>
        <w:spacing w:after="0"/>
        <w:jc w:val="left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</w:t>
      </w:r>
      <w:r w:rsidRPr="00B47AFE">
        <w:rPr>
          <w:rFonts w:cs="Arial"/>
          <w:szCs w:val="18"/>
        </w:rPr>
        <w:t>Legutóbb a 2405/2012.(10.31.) K.Gy. határozat alapján.</w:t>
      </w:r>
    </w:p>
  </w:endnote>
  <w:endnote w:id="4">
    <w:p w14:paraId="26C96735" w14:textId="77777777" w:rsidR="00ED4797" w:rsidRPr="00B47AFE" w:rsidRDefault="00ED4797" w:rsidP="00ED4797">
      <w:pPr>
        <w:pStyle w:val="Vgjegyzetszvege"/>
        <w:spacing w:after="0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A villamos energiáról szóló 2007. évi LXXXVI. törvény 3. § 39. pont</w:t>
      </w:r>
    </w:p>
  </w:endnote>
  <w:endnote w:id="5">
    <w:p w14:paraId="17891B59" w14:textId="77777777" w:rsidR="00ED4797" w:rsidRPr="00B47AFE" w:rsidRDefault="00ED4797" w:rsidP="00ED4797">
      <w:pPr>
        <w:pStyle w:val="Vgjegyzetszvege"/>
        <w:spacing w:after="0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Magyarország helyi önkormányzatairól szóló 2011. évi CLXXXIX. törvény 23. § (4) bekezdés 9. pont</w:t>
      </w:r>
    </w:p>
  </w:endnote>
  <w:endnote w:id="6">
    <w:p w14:paraId="01EAD690" w14:textId="77777777" w:rsidR="00ED4797" w:rsidRPr="00B47AFE" w:rsidRDefault="00ED4797" w:rsidP="00ED4797">
      <w:pPr>
        <w:pStyle w:val="Vgjegyzetszvege"/>
        <w:spacing w:after="0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Budapest Főváros Önkormányzata vagyonáról, a vagyonelemek feletti tulajdonosi jogok gyakorlásáról szóló 22/2012. (III. 14.) Főv. Kgy. rendelet 4. melléklet 20. pont</w:t>
      </w:r>
    </w:p>
  </w:endnote>
  <w:endnote w:id="7">
    <w:p w14:paraId="293612C1" w14:textId="77777777" w:rsidR="00ED4797" w:rsidRPr="00B47AFE" w:rsidRDefault="00ED4797" w:rsidP="00ED4797">
      <w:pPr>
        <w:pStyle w:val="Vgjegyzetszvege"/>
        <w:spacing w:after="0"/>
        <w:rPr>
          <w:szCs w:val="18"/>
        </w:rPr>
      </w:pPr>
      <w:r w:rsidRPr="00B47AFE">
        <w:rPr>
          <w:rStyle w:val="Vgjegyzet-hivatkozs"/>
          <w:szCs w:val="18"/>
        </w:rPr>
        <w:endnoteRef/>
      </w:r>
      <w:r w:rsidRPr="00B47AFE">
        <w:rPr>
          <w:szCs w:val="18"/>
        </w:rPr>
        <w:t xml:space="preserve"> A villamos energiáról szóló 2007. évi LXXXVI. törvény 34. § (6) bekezdés.</w:t>
      </w:r>
    </w:p>
    <w:p w14:paraId="1A7A31B0" w14:textId="77777777" w:rsidR="00ED4797" w:rsidRPr="00E42A08" w:rsidRDefault="00ED4797" w:rsidP="00ED4797">
      <w:pPr>
        <w:pStyle w:val="Cmsorvgjegyzetben"/>
      </w:pPr>
      <w:r w:rsidRPr="00B47AFE">
        <w:rPr>
          <w:sz w:val="18"/>
          <w:szCs w:val="18"/>
        </w:rPr>
        <w:t>- ÉS SZÁLLÍTÁSSZERVEZÉS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81678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529B768" w14:textId="471E9C00" w:rsidR="00496963" w:rsidRPr="0009067F" w:rsidRDefault="00496963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1A43FF">
          <w:rPr>
            <w:noProof/>
            <w:color w:val="808080" w:themeColor="background1" w:themeShade="80"/>
          </w:rPr>
          <w:t>22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2C6DC41C" w14:textId="77777777" w:rsidR="00496963" w:rsidRDefault="0049696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704629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1C998AEA" w14:textId="0D3FD117" w:rsidR="00496963" w:rsidRPr="0009067F" w:rsidRDefault="00496963" w:rsidP="004D14B0">
        <w:pPr>
          <w:pStyle w:val="llb"/>
          <w:ind w:right="-711"/>
          <w:jc w:val="right"/>
          <w:rPr>
            <w:b/>
            <w:color w:val="808080" w:themeColor="background1" w:themeShade="80"/>
          </w:rPr>
        </w:pPr>
        <w:r w:rsidRPr="0009067F">
          <w:rPr>
            <w:b/>
            <w:color w:val="808080" w:themeColor="background1" w:themeShade="80"/>
          </w:rPr>
          <w:fldChar w:fldCharType="begin"/>
        </w:r>
        <w:r w:rsidRPr="0009067F">
          <w:rPr>
            <w:b/>
            <w:color w:val="808080" w:themeColor="background1" w:themeShade="80"/>
          </w:rPr>
          <w:instrText>PAGE   \* MERGEFORMAT</w:instrText>
        </w:r>
        <w:r w:rsidRPr="0009067F">
          <w:rPr>
            <w:b/>
            <w:color w:val="808080" w:themeColor="background1" w:themeShade="80"/>
          </w:rPr>
          <w:fldChar w:fldCharType="separate"/>
        </w:r>
        <w:r w:rsidR="001A43FF">
          <w:rPr>
            <w:b/>
            <w:noProof/>
            <w:color w:val="808080" w:themeColor="background1" w:themeShade="80"/>
          </w:rPr>
          <w:t>21</w:t>
        </w:r>
        <w:r w:rsidRPr="0009067F">
          <w:rPr>
            <w:b/>
            <w:color w:val="808080" w:themeColor="background1" w:themeShade="80"/>
          </w:rPr>
          <w:fldChar w:fldCharType="end"/>
        </w:r>
      </w:p>
    </w:sdtContent>
  </w:sdt>
  <w:p w14:paraId="4973007C" w14:textId="77777777" w:rsidR="00496963" w:rsidRDefault="0049696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3416917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12A984B" w14:textId="77777777" w:rsidR="00496963" w:rsidRPr="008A6CD3" w:rsidRDefault="00F37296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A215262" w14:textId="77777777" w:rsidR="00496963" w:rsidRDefault="004969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777BE" w14:textId="77777777" w:rsidR="00F37296" w:rsidRDefault="00F37296" w:rsidP="006C431E">
      <w:pPr>
        <w:spacing w:after="0" w:line="240" w:lineRule="auto"/>
      </w:pPr>
      <w:r>
        <w:separator/>
      </w:r>
    </w:p>
  </w:footnote>
  <w:footnote w:type="continuationSeparator" w:id="0">
    <w:p w14:paraId="2A47B0B8" w14:textId="77777777" w:rsidR="00F37296" w:rsidRDefault="00F37296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2C50" w14:textId="79F7808B" w:rsidR="00496963" w:rsidRPr="000F2CE3" w:rsidRDefault="00496963" w:rsidP="00754E07">
    <w:pPr>
      <w:pStyle w:val="lfej"/>
      <w:tabs>
        <w:tab w:val="clear" w:pos="4536"/>
        <w:tab w:val="clear" w:pos="9072"/>
        <w:tab w:val="center" w:pos="3401"/>
      </w:tabs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DCC008" wp14:editId="52543AF5">
              <wp:simplePos x="0" y="0"/>
              <wp:positionH relativeFrom="column">
                <wp:posOffset>-894080</wp:posOffset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A1D1A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064830D" id="Téglalap 2" o:spid="_x0000_s1026" style="position:absolute;margin-left:-70.4pt;margin-top:-13.8pt;width:595.3pt;height:3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" fillcolor="#a1d1ae" stroked="f" strokeweight="1pt"/>
          </w:pict>
        </mc:Fallback>
      </mc:AlternateContent>
    </w:r>
    <w:r>
      <w:rPr>
        <w:color w:val="FFFFFF" w:themeColor="background1"/>
      </w:rPr>
      <w:t>Energiagazdálkodás</w:t>
    </w:r>
    <w:r>
      <w:rPr>
        <w:color w:val="FFFFFF" w:themeColor="background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78C03" w14:textId="4539EE2D" w:rsidR="00496963" w:rsidRPr="00A7544D" w:rsidRDefault="00496963" w:rsidP="009C7DA6">
    <w:pPr>
      <w:pStyle w:val="lfej"/>
      <w:tabs>
        <w:tab w:val="clear" w:pos="4536"/>
        <w:tab w:val="clear" w:pos="9072"/>
        <w:tab w:val="center" w:pos="3401"/>
      </w:tabs>
      <w:rPr>
        <w:color w:val="FFFFFF" w:themeColor="background1"/>
      </w:rPr>
    </w:pPr>
    <w:r w:rsidRPr="00A7544D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143E26" wp14:editId="20169D16">
              <wp:simplePos x="0" y="0"/>
              <wp:positionH relativeFrom="column">
                <wp:posOffset>-894080</wp:posOffset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A1D1A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A7E468" id="Téglalap 1" o:spid="_x0000_s1026" style="position:absolute;margin-left:-70.4pt;margin-top:-13.8pt;width:595.3pt;height:3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" fillcolor="#a1d1ae" stroked="f" strokeweight="1pt"/>
          </w:pict>
        </mc:Fallback>
      </mc:AlternateContent>
    </w:r>
    <w:r>
      <w:rPr>
        <w:color w:val="FFFFFF" w:themeColor="background1"/>
      </w:rPr>
      <w:t>Energiagazdálkodás</w:t>
    </w:r>
    <w:r w:rsidR="009C7DA6">
      <w:rPr>
        <w:color w:val="FFFFFF" w:themeColor="background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57C9982F" w:rsidR="00496963" w:rsidRPr="00210F8A" w:rsidRDefault="00496963">
    <w:pPr>
      <w:pStyle w:val="lfej"/>
      <w:rPr>
        <w:color w:val="A1D1AE"/>
      </w:rPr>
    </w:pPr>
    <w:r w:rsidRPr="00210F8A">
      <w:rPr>
        <w:noProof/>
        <w:color w:val="A1D1A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41134208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2DD1610" id="Téglalap 13" o:spid="_x0000_s1026" style="position:absolute;margin-left:0;margin-top:-13.8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>
      <w:rPr>
        <w:color w:val="A1D1AE"/>
      </w:rPr>
      <w:t>Energiagazdálkodás</w:t>
    </w:r>
    <w:r w:rsidRPr="00210F8A">
      <w:rPr>
        <w:color w:val="A1D1AE"/>
      </w:rPr>
      <w:t xml:space="preserve">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68C0C25B" w:rsidR="00496963" w:rsidRPr="0002145C" w:rsidRDefault="00496963">
    <w:pPr>
      <w:pStyle w:val="lfej"/>
      <w:rPr>
        <w:color w:val="A1D1AE"/>
      </w:rPr>
    </w:pPr>
    <w:r w:rsidRPr="0002145C">
      <w:rPr>
        <w:noProof/>
        <w:color w:val="A1D1A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6742CD83">
              <wp:simplePos x="0" y="0"/>
              <wp:positionH relativeFrom="page">
                <wp:align>right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651DB33" id="Téglalap 14" o:spid="_x0000_s1026" style="position:absolute;margin-left:544.1pt;margin-top:-13.8pt;width:595.3pt;height:36.8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gB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X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ZYzXyfJERvugelI60E94WpYxKqqY4Ri7pDy4nlmF&#10;fEfwOHGxXCYzXGrLwo15sDyCx67G0X3cPzFnu/kOuBm30O82m70a82wbPQ0stwFkk3bg2Neu33gQ&#10;0uB0xytenOd8sjqe2MVvAA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IfgKAG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>
      <w:rPr>
        <w:color w:val="A1D1AE"/>
      </w:rPr>
      <w:t>Energiagazdálkodás</w:t>
    </w:r>
    <w:r w:rsidRPr="0002145C">
      <w:rPr>
        <w:color w:val="A1D1AE"/>
      </w:rPr>
      <w:t xml:space="preserve">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08E7"/>
    <w:multiLevelType w:val="hybridMultilevel"/>
    <w:tmpl w:val="CF36FE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E6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1D1AE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E47A6"/>
    <w:multiLevelType w:val="hybridMultilevel"/>
    <w:tmpl w:val="E320D9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C9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1D1AE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7170E"/>
    <w:multiLevelType w:val="hybridMultilevel"/>
    <w:tmpl w:val="4BCE80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1FC5"/>
    <w:multiLevelType w:val="hybridMultilevel"/>
    <w:tmpl w:val="15F6E2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071CC"/>
    <w:multiLevelType w:val="hybridMultilevel"/>
    <w:tmpl w:val="87C4F92C"/>
    <w:lvl w:ilvl="0" w:tplc="6C3A4D50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95E10"/>
    <w:multiLevelType w:val="hybridMultilevel"/>
    <w:tmpl w:val="9B023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54BAE"/>
    <w:multiLevelType w:val="hybridMultilevel"/>
    <w:tmpl w:val="1A22D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536B4"/>
    <w:multiLevelType w:val="hybridMultilevel"/>
    <w:tmpl w:val="BE30E9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C63D4"/>
    <w:multiLevelType w:val="hybridMultilevel"/>
    <w:tmpl w:val="354E81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86F23"/>
    <w:multiLevelType w:val="hybridMultilevel"/>
    <w:tmpl w:val="DA48936E"/>
    <w:lvl w:ilvl="0" w:tplc="88BE8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7"/>
  </w:num>
  <w:num w:numId="5">
    <w:abstractNumId w:val="15"/>
  </w:num>
  <w:num w:numId="6">
    <w:abstractNumId w:val="6"/>
  </w:num>
  <w:num w:numId="7">
    <w:abstractNumId w:val="3"/>
  </w:num>
  <w:num w:numId="8">
    <w:abstractNumId w:val="13"/>
  </w:num>
  <w:num w:numId="9">
    <w:abstractNumId w:val="5"/>
  </w:num>
  <w:num w:numId="10">
    <w:abstractNumId w:val="9"/>
  </w:num>
  <w:num w:numId="11">
    <w:abstractNumId w:val="10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1FD6"/>
    <w:rsid w:val="00011D80"/>
    <w:rsid w:val="0002145C"/>
    <w:rsid w:val="00066285"/>
    <w:rsid w:val="0007331B"/>
    <w:rsid w:val="0009067F"/>
    <w:rsid w:val="000F2CE3"/>
    <w:rsid w:val="00114DAF"/>
    <w:rsid w:val="001544A5"/>
    <w:rsid w:val="00175AC7"/>
    <w:rsid w:val="00192D77"/>
    <w:rsid w:val="0019588D"/>
    <w:rsid w:val="001A0FC7"/>
    <w:rsid w:val="001A43FF"/>
    <w:rsid w:val="001B0BA0"/>
    <w:rsid w:val="001D6635"/>
    <w:rsid w:val="001E3DD9"/>
    <w:rsid w:val="00210F8A"/>
    <w:rsid w:val="002319BC"/>
    <w:rsid w:val="00237645"/>
    <w:rsid w:val="002B7CA3"/>
    <w:rsid w:val="002C26B9"/>
    <w:rsid w:val="002D1D56"/>
    <w:rsid w:val="002E4869"/>
    <w:rsid w:val="002E7872"/>
    <w:rsid w:val="002F59D9"/>
    <w:rsid w:val="002F73CA"/>
    <w:rsid w:val="003027F8"/>
    <w:rsid w:val="00310105"/>
    <w:rsid w:val="003310FF"/>
    <w:rsid w:val="00384774"/>
    <w:rsid w:val="00384B04"/>
    <w:rsid w:val="00386F0C"/>
    <w:rsid w:val="003F06A1"/>
    <w:rsid w:val="00400873"/>
    <w:rsid w:val="00406139"/>
    <w:rsid w:val="00406387"/>
    <w:rsid w:val="0041530F"/>
    <w:rsid w:val="00424385"/>
    <w:rsid w:val="004269D9"/>
    <w:rsid w:val="004274D6"/>
    <w:rsid w:val="00431513"/>
    <w:rsid w:val="004502B5"/>
    <w:rsid w:val="00496963"/>
    <w:rsid w:val="00496BD2"/>
    <w:rsid w:val="004A5794"/>
    <w:rsid w:val="004A7DAF"/>
    <w:rsid w:val="004D14B0"/>
    <w:rsid w:val="004E0E36"/>
    <w:rsid w:val="004F0170"/>
    <w:rsid w:val="004F4068"/>
    <w:rsid w:val="0050043A"/>
    <w:rsid w:val="00511F4E"/>
    <w:rsid w:val="00541812"/>
    <w:rsid w:val="00543B96"/>
    <w:rsid w:val="00560358"/>
    <w:rsid w:val="005717A0"/>
    <w:rsid w:val="00580A3F"/>
    <w:rsid w:val="005830C9"/>
    <w:rsid w:val="00585F7C"/>
    <w:rsid w:val="00590D0A"/>
    <w:rsid w:val="005920BE"/>
    <w:rsid w:val="005921FD"/>
    <w:rsid w:val="005A5F6E"/>
    <w:rsid w:val="005A7435"/>
    <w:rsid w:val="00637FB1"/>
    <w:rsid w:val="00661147"/>
    <w:rsid w:val="00676272"/>
    <w:rsid w:val="006C431E"/>
    <w:rsid w:val="006D2F1B"/>
    <w:rsid w:val="00705B16"/>
    <w:rsid w:val="0073231B"/>
    <w:rsid w:val="00734577"/>
    <w:rsid w:val="00754E07"/>
    <w:rsid w:val="00762B74"/>
    <w:rsid w:val="00766167"/>
    <w:rsid w:val="007D6340"/>
    <w:rsid w:val="007E68F2"/>
    <w:rsid w:val="0080455C"/>
    <w:rsid w:val="00833492"/>
    <w:rsid w:val="00844139"/>
    <w:rsid w:val="0084732C"/>
    <w:rsid w:val="008533C7"/>
    <w:rsid w:val="0087674B"/>
    <w:rsid w:val="0088210F"/>
    <w:rsid w:val="00887E60"/>
    <w:rsid w:val="008A6CD3"/>
    <w:rsid w:val="008C5D9C"/>
    <w:rsid w:val="008D4010"/>
    <w:rsid w:val="008E163E"/>
    <w:rsid w:val="00902C14"/>
    <w:rsid w:val="0091452C"/>
    <w:rsid w:val="009A59CE"/>
    <w:rsid w:val="009C16E4"/>
    <w:rsid w:val="009C7DA6"/>
    <w:rsid w:val="009E4D09"/>
    <w:rsid w:val="00A10DCB"/>
    <w:rsid w:val="00A3451F"/>
    <w:rsid w:val="00A6365D"/>
    <w:rsid w:val="00A66803"/>
    <w:rsid w:val="00A7544D"/>
    <w:rsid w:val="00AB2503"/>
    <w:rsid w:val="00AB4B89"/>
    <w:rsid w:val="00AB5C08"/>
    <w:rsid w:val="00AC15F1"/>
    <w:rsid w:val="00AD18EB"/>
    <w:rsid w:val="00AE19AF"/>
    <w:rsid w:val="00AE3938"/>
    <w:rsid w:val="00B468E8"/>
    <w:rsid w:val="00B47AFE"/>
    <w:rsid w:val="00B71013"/>
    <w:rsid w:val="00B81FF0"/>
    <w:rsid w:val="00B86F1A"/>
    <w:rsid w:val="00B9308C"/>
    <w:rsid w:val="00BA55C7"/>
    <w:rsid w:val="00BA5DF7"/>
    <w:rsid w:val="00BC702A"/>
    <w:rsid w:val="00BD59B2"/>
    <w:rsid w:val="00BD7ED5"/>
    <w:rsid w:val="00C241DE"/>
    <w:rsid w:val="00C35340"/>
    <w:rsid w:val="00C53A3C"/>
    <w:rsid w:val="00C61FD8"/>
    <w:rsid w:val="00CB32E7"/>
    <w:rsid w:val="00CC1A0D"/>
    <w:rsid w:val="00CC6209"/>
    <w:rsid w:val="00CD3CF0"/>
    <w:rsid w:val="00CD7369"/>
    <w:rsid w:val="00CE7242"/>
    <w:rsid w:val="00CE787B"/>
    <w:rsid w:val="00D14D19"/>
    <w:rsid w:val="00D242D0"/>
    <w:rsid w:val="00D469E0"/>
    <w:rsid w:val="00D75170"/>
    <w:rsid w:val="00D9392A"/>
    <w:rsid w:val="00D95444"/>
    <w:rsid w:val="00DA2318"/>
    <w:rsid w:val="00DF498D"/>
    <w:rsid w:val="00DF5E5D"/>
    <w:rsid w:val="00E33245"/>
    <w:rsid w:val="00E573F5"/>
    <w:rsid w:val="00E62502"/>
    <w:rsid w:val="00E71141"/>
    <w:rsid w:val="00ED4797"/>
    <w:rsid w:val="00F06042"/>
    <w:rsid w:val="00F06908"/>
    <w:rsid w:val="00F1464B"/>
    <w:rsid w:val="00F2447C"/>
    <w:rsid w:val="00F26FD3"/>
    <w:rsid w:val="00F27C02"/>
    <w:rsid w:val="00F32B8E"/>
    <w:rsid w:val="00F37296"/>
    <w:rsid w:val="00F43ED9"/>
    <w:rsid w:val="00F562C8"/>
    <w:rsid w:val="00F60578"/>
    <w:rsid w:val="00F63FD2"/>
    <w:rsid w:val="00FA017E"/>
    <w:rsid w:val="00FA0D88"/>
    <w:rsid w:val="00FC428B"/>
    <w:rsid w:val="00FD0649"/>
    <w:rsid w:val="00FD25D9"/>
    <w:rsid w:val="00FD7496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02145C"/>
    <w:pPr>
      <w:numPr>
        <w:ilvl w:val="0"/>
        <w:numId w:val="0"/>
      </w:numPr>
      <w:pBdr>
        <w:top w:val="single" w:sz="18" w:space="10" w:color="A1D1AE"/>
      </w:pBdr>
      <w:spacing w:before="0" w:after="360" w:line="276" w:lineRule="auto"/>
      <w:jc w:val="left"/>
      <w:outlineLvl w:val="2"/>
    </w:pPr>
    <w:rPr>
      <w:color w:val="A1D1AE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02145C"/>
    <w:rPr>
      <w:rFonts w:ascii="Arial" w:eastAsia="Calibri" w:hAnsi="Arial" w:cs="Arial"/>
      <w:b/>
      <w:color w:val="A1D1AE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02145C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1txtbody">
    <w:name w:val="1_txtbody"/>
    <w:link w:val="1txtbodyChar"/>
    <w:qFormat/>
    <w:rsid w:val="001D6635"/>
    <w:pPr>
      <w:overflowPunct w:val="0"/>
      <w:autoSpaceDE w:val="0"/>
      <w:autoSpaceDN w:val="0"/>
      <w:adjustRightInd w:val="0"/>
      <w:spacing w:before="120" w:after="0" w:line="300" w:lineRule="atLeast"/>
      <w:ind w:firstLine="363"/>
      <w:jc w:val="both"/>
      <w:textAlignment w:val="baseline"/>
    </w:pPr>
    <w:rPr>
      <w:rFonts w:ascii="Times New Roman" w:eastAsia="Arial Unicode MS" w:hAnsi="Times New Roman" w:cs="Times New Roman"/>
      <w:sz w:val="24"/>
      <w:szCs w:val="24"/>
      <w:lang w:eastAsia="hu-HU"/>
    </w:rPr>
  </w:style>
  <w:style w:type="character" w:customStyle="1" w:styleId="1txtbodyChar">
    <w:name w:val="1_txtbody Char"/>
    <w:basedOn w:val="Bekezdsalapbettpusa"/>
    <w:link w:val="1txtbody"/>
    <w:rsid w:val="001D6635"/>
    <w:rPr>
      <w:rFonts w:ascii="Times New Roman" w:eastAsia="Arial Unicode MS" w:hAnsi="Times New Roman" w:cs="Times New Roman"/>
      <w:sz w:val="24"/>
      <w:szCs w:val="24"/>
      <w:lang w:eastAsia="hu-HU"/>
    </w:rPr>
  </w:style>
  <w:style w:type="paragraph" w:customStyle="1" w:styleId="sszefoglalsnorml">
    <w:name w:val="Összefoglalás_normál"/>
    <w:basedOn w:val="Norml"/>
    <w:uiPriority w:val="99"/>
    <w:qFormat/>
    <w:rsid w:val="007D634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00"/>
      <w:ind w:right="0"/>
    </w:pPr>
    <w:rPr>
      <w:sz w:val="20"/>
      <w:szCs w:val="20"/>
    </w:rPr>
  </w:style>
  <w:style w:type="paragraph" w:customStyle="1" w:styleId="sszefoglalsfelsorols">
    <w:name w:val="Összefoglalás_felsorolás"/>
    <w:basedOn w:val="Listaszerbekezds"/>
    <w:qFormat/>
    <w:rsid w:val="007D6340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after="100"/>
      <w:ind w:right="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chart" Target="charts/chart2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header" Target="header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bfvt-dc1\Common\BP_Kornyezetallapot_2019\Kozmu\energiaafelhasznalas_osszefoglalo_2018_homerseklette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ozmu\energiaafelhasznalas_osszefoglalo_2018_homerseklett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361160500098781"/>
          <c:y val="4.5109698585195819E-2"/>
          <c:w val="0.77467377868089071"/>
          <c:h val="0.55788751212300014"/>
        </c:manualLayout>
      </c:layout>
      <c:areaChart>
        <c:grouping val="stacked"/>
        <c:varyColors val="0"/>
        <c:ser>
          <c:idx val="0"/>
          <c:order val="0"/>
          <c:tx>
            <c:strRef>
              <c:f>SEAP_valtozas!$B$5</c:f>
              <c:strCache>
                <c:ptCount val="1"/>
                <c:pt idx="0">
                  <c:v>Villamosenergia-felhasználás (kivéve közlekedés)</c:v>
                </c:pt>
              </c:strCache>
            </c:strRef>
          </c:tx>
          <c:spPr>
            <a:solidFill>
              <a:srgbClr val="A1D1AE"/>
            </a:solidFill>
            <a:ln>
              <a:noFill/>
            </a:ln>
            <a:effectLst/>
          </c:spPr>
          <c:cat>
            <c:numRef>
              <c:f>SEAP_valtozas!$C$4:$J$4</c:f>
              <c:numCache>
                <c:formatCode>General</c:formatCode>
                <c:ptCount val="8"/>
                <c:pt idx="0">
                  <c:v>2005</c:v>
                </c:pt>
                <c:pt idx="1">
                  <c:v>2010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SEAP_valtozas!$C$5:$J$5</c:f>
              <c:numCache>
                <c:formatCode>#,##0</c:formatCode>
                <c:ptCount val="8"/>
                <c:pt idx="0">
                  <c:v>3681522</c:v>
                </c:pt>
                <c:pt idx="1">
                  <c:v>3843643</c:v>
                </c:pt>
                <c:pt idx="2">
                  <c:v>3727036</c:v>
                </c:pt>
                <c:pt idx="3">
                  <c:v>3690501</c:v>
                </c:pt>
                <c:pt idx="4">
                  <c:v>3744861</c:v>
                </c:pt>
                <c:pt idx="5">
                  <c:v>3851464</c:v>
                </c:pt>
                <c:pt idx="6">
                  <c:v>4044772</c:v>
                </c:pt>
                <c:pt idx="7">
                  <c:v>4115449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6-45BE-8BEA-23A77B8F3D71}"/>
            </c:ext>
          </c:extLst>
        </c:ser>
        <c:ser>
          <c:idx val="1"/>
          <c:order val="1"/>
          <c:tx>
            <c:strRef>
              <c:f>SEAP_valtozas!$B$8</c:f>
              <c:strCache>
                <c:ptCount val="1"/>
                <c:pt idx="0">
                  <c:v>Távhőfelhasználás</c:v>
                </c:pt>
              </c:strCache>
            </c:strRef>
          </c:tx>
          <c:spPr>
            <a:solidFill>
              <a:srgbClr val="C1DFC7"/>
            </a:solidFill>
            <a:ln>
              <a:noFill/>
            </a:ln>
            <a:effectLst/>
          </c:spPr>
          <c:cat>
            <c:numRef>
              <c:f>SEAP_valtozas!$C$4:$J$4</c:f>
              <c:numCache>
                <c:formatCode>General</c:formatCode>
                <c:ptCount val="8"/>
                <c:pt idx="0">
                  <c:v>2005</c:v>
                </c:pt>
                <c:pt idx="1">
                  <c:v>2010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SEAP_valtozas!$C$8:$J$8</c:f>
              <c:numCache>
                <c:formatCode>#,##0</c:formatCode>
                <c:ptCount val="8"/>
                <c:pt idx="0">
                  <c:v>1103072</c:v>
                </c:pt>
                <c:pt idx="1">
                  <c:v>865907</c:v>
                </c:pt>
                <c:pt idx="2">
                  <c:v>789701</c:v>
                </c:pt>
                <c:pt idx="3">
                  <c:v>690554</c:v>
                </c:pt>
                <c:pt idx="4">
                  <c:v>767754</c:v>
                </c:pt>
                <c:pt idx="5">
                  <c:v>811083</c:v>
                </c:pt>
                <c:pt idx="6">
                  <c:v>829687</c:v>
                </c:pt>
                <c:pt idx="7">
                  <c:v>753005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86-45BE-8BEA-23A77B8F3D71}"/>
            </c:ext>
          </c:extLst>
        </c:ser>
        <c:ser>
          <c:idx val="3"/>
          <c:order val="2"/>
          <c:tx>
            <c:strRef>
              <c:f>SEAP_valtozas!$B$7</c:f>
              <c:strCache>
                <c:ptCount val="1"/>
                <c:pt idx="0">
                  <c:v>Közlekedéshez köthető (benzin, gázolaj, LPG, villamos energia)</c:v>
                </c:pt>
              </c:strCache>
            </c:strRef>
          </c:tx>
          <c:spPr>
            <a:solidFill>
              <a:srgbClr val="D4E9D8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2.9046542793261954E-2"/>
                  <c:y val="-0.178689575517247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86-45BE-8BEA-23A77B8F3D71}"/>
                </c:ext>
              </c:extLst>
            </c:dLbl>
            <c:dLbl>
              <c:idx val="1"/>
              <c:layout>
                <c:manualLayout>
                  <c:x val="0"/>
                  <c:y val="-0.180857026159260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86-45BE-8BEA-23A77B8F3D71}"/>
                </c:ext>
              </c:extLst>
            </c:dLbl>
            <c:dLbl>
              <c:idx val="2"/>
              <c:layout>
                <c:manualLayout>
                  <c:x val="-1.5987584885221871E-3"/>
                  <c:y val="-0.146313332269398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86-45BE-8BEA-23A77B8F3D71}"/>
                </c:ext>
              </c:extLst>
            </c:dLbl>
            <c:dLbl>
              <c:idx val="3"/>
              <c:layout>
                <c:manualLayout>
                  <c:x val="-1.616677385145396E-16"/>
                  <c:y val="-0.131304284319320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86-45BE-8BEA-23A77B8F3D71}"/>
                </c:ext>
              </c:extLst>
            </c:dLbl>
            <c:dLbl>
              <c:idx val="4"/>
              <c:layout>
                <c:manualLayout>
                  <c:x val="0"/>
                  <c:y val="-0.146313332269398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886-45BE-8BEA-23A77B8F3D71}"/>
                </c:ext>
              </c:extLst>
            </c:dLbl>
            <c:dLbl>
              <c:idx val="5"/>
              <c:layout>
                <c:manualLayout>
                  <c:x val="-4.7961018761543692E-3"/>
                  <c:y val="-0.157886864107634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DC-49ED-80F8-3A8107F5E4C4}"/>
                </c:ext>
              </c:extLst>
            </c:dLbl>
            <c:dLbl>
              <c:idx val="6"/>
              <c:layout>
                <c:manualLayout>
                  <c:x val="-5.3835793200469988E-3"/>
                  <c:y val="-0.1668544984104153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DC-49ED-80F8-3A8107F5E4C4}"/>
                </c:ext>
              </c:extLst>
            </c:dLbl>
            <c:dLbl>
              <c:idx val="7"/>
              <c:layout>
                <c:manualLayout>
                  <c:x val="1.0513618091784253E-16"/>
                  <c:y val="-0.165374677002584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DC-49ED-80F8-3A8107F5E4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SEAP_valtozas!$C$4:$J$4</c:f>
              <c:numCache>
                <c:formatCode>General</c:formatCode>
                <c:ptCount val="8"/>
                <c:pt idx="0">
                  <c:v>2005</c:v>
                </c:pt>
                <c:pt idx="1">
                  <c:v>2010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SEAP_valtozas!$C$7:$J$7</c:f>
              <c:numCache>
                <c:formatCode>#,##0</c:formatCode>
                <c:ptCount val="8"/>
                <c:pt idx="0">
                  <c:v>2166432</c:v>
                </c:pt>
                <c:pt idx="1">
                  <c:v>1744675</c:v>
                </c:pt>
                <c:pt idx="2">
                  <c:v>1693915</c:v>
                </c:pt>
                <c:pt idx="3">
                  <c:v>1759417</c:v>
                </c:pt>
                <c:pt idx="4">
                  <c:v>1794906</c:v>
                </c:pt>
                <c:pt idx="5">
                  <c:v>1898244</c:v>
                </c:pt>
                <c:pt idx="6">
                  <c:v>1883198</c:v>
                </c:pt>
                <c:pt idx="7">
                  <c:v>1918321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886-45BE-8BEA-23A77B8F3D71}"/>
            </c:ext>
          </c:extLst>
        </c:ser>
        <c:ser>
          <c:idx val="2"/>
          <c:order val="4"/>
          <c:tx>
            <c:strRef>
              <c:f>SEAP_valtozas!$B$6</c:f>
              <c:strCache>
                <c:ptCount val="1"/>
                <c:pt idx="0">
                  <c:v>Földgázfelhasználás (csak végfelhasználásra átadott, erőművi földgázt nem tartalmaz)</c:v>
                </c:pt>
              </c:strCache>
            </c:strRef>
          </c:tx>
          <c:spPr>
            <a:solidFill>
              <a:srgbClr val="E6F2E8"/>
            </a:solidFill>
            <a:ln>
              <a:noFill/>
            </a:ln>
            <a:effectLst/>
          </c:spPr>
          <c:cat>
            <c:numRef>
              <c:f>SEAP_valtozas!$C$4:$J$4</c:f>
              <c:numCache>
                <c:formatCode>General</c:formatCode>
                <c:ptCount val="8"/>
                <c:pt idx="0">
                  <c:v>2005</c:v>
                </c:pt>
                <c:pt idx="1">
                  <c:v>2010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SEAP_valtozas!$C$6:$J$6</c:f>
              <c:numCache>
                <c:formatCode>#,##0</c:formatCode>
                <c:ptCount val="8"/>
                <c:pt idx="0">
                  <c:v>3271537</c:v>
                </c:pt>
                <c:pt idx="1">
                  <c:v>3244196</c:v>
                </c:pt>
                <c:pt idx="2">
                  <c:v>2466854</c:v>
                </c:pt>
                <c:pt idx="3">
                  <c:v>2135166</c:v>
                </c:pt>
                <c:pt idx="4">
                  <c:v>2379793</c:v>
                </c:pt>
                <c:pt idx="5">
                  <c:v>2602652</c:v>
                </c:pt>
                <c:pt idx="6">
                  <c:v>2760540</c:v>
                </c:pt>
                <c:pt idx="7">
                  <c:v>2582424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886-45BE-8BEA-23A77B8F3D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dropLines>
        <c:axId val="478899888"/>
        <c:axId val="478905376"/>
        <c:extLst>
          <c:ext xmlns:c15="http://schemas.microsoft.com/office/drawing/2012/chart" uri="{02D57815-91ED-43cb-92C2-25804820EDAC}">
            <c15:filteredAreaSeries>
              <c15:ser>
                <c:idx val="4"/>
                <c:order val="3"/>
                <c:tx>
                  <c:strRef>
                    <c:extLst>
                      <c:ext uri="{02D57815-91ED-43cb-92C2-25804820EDAC}">
                        <c15:formulaRef>
                          <c15:sqref>SEAP_valtozas!$B$10</c15:sqref>
                        </c15:formulaRef>
                      </c:ext>
                    </c:extLst>
                    <c:strCache>
                      <c:ptCount val="1"/>
                      <c:pt idx="0">
                        <c:v>Egyéb (nem közlekedési célú gázolaj és folyékony gáz)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dLbls>
                  <c:dLbl>
                    <c:idx val="0"/>
                    <c:layout>
                      <c:manualLayout>
                        <c:x val="1.59872082192881E-3"/>
                        <c:y val="-1.6276702229053797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0%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2-B886-45BE-8BEA-23A77B8F3D71}"/>
                      </c:ext>
                    </c:extLst>
                  </c:dLbl>
                  <c:dLbl>
                    <c:idx val="1"/>
                    <c:layout>
                      <c:manualLayout>
                        <c:x val="0"/>
                        <c:y val="-1.8989485933896082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-5%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3-B886-45BE-8BEA-23A77B8F3D71}"/>
                      </c:ext>
                    </c:extLst>
                  </c:dLbl>
                  <c:dLbl>
                    <c:idx val="2"/>
                    <c:layout>
                      <c:manualLayout>
                        <c:x val="0"/>
                        <c:y val="-1.8989485933896107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-15%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4-B886-45BE-8BEA-23A77B8F3D71}"/>
                      </c:ext>
                    </c:extLst>
                  </c:dLbl>
                  <c:dLbl>
                    <c:idx val="3"/>
                    <c:layout>
                      <c:manualLayout>
                        <c:x val="-5.8619086298035955E-17"/>
                        <c:y val="-1.6276702229053787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-19%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5-B886-45BE-8BEA-23A77B8F3D71}"/>
                      </c:ext>
                    </c:extLst>
                  </c:dLbl>
                  <c:dLbl>
                    <c:idx val="4"/>
                    <c:layout>
                      <c:manualLayout>
                        <c:x val="0"/>
                        <c:y val="-1.3563918524211488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-15%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6-B886-45BE-8BEA-23A77B8F3D71}"/>
                      </c:ext>
                    </c:extLst>
                  </c:dLbl>
                  <c:dLbl>
                    <c:idx val="5"/>
                    <c:layout>
                      <c:manualLayout>
                        <c:x val="-3.1974416438577376E-3"/>
                        <c:y val="-1.0851134819369191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-10%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7-B886-45BE-8BEA-23A77B8F3D71}"/>
                      </c:ext>
                    </c:extLst>
                  </c:dLbl>
                  <c:dLbl>
                    <c:idx val="6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8-B886-45BE-8BEA-23A77B8F3D71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SEAP_valtozas!$C$4:$J$4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2005</c:v>
                      </c:pt>
                      <c:pt idx="1">
                        <c:v>2010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SEAP_valtozas!$C$10:$J$10</c15:sqref>
                        </c15:formulaRef>
                      </c:ext>
                    </c:extLst>
                    <c:numCache>
                      <c:formatCode>#,##0</c:formatCode>
                      <c:ptCount val="8"/>
                      <c:pt idx="0">
                        <c:v>14615</c:v>
                      </c:pt>
                      <c:pt idx="1">
                        <c:v>14767</c:v>
                      </c:pt>
                      <c:pt idx="2">
                        <c:v>542</c:v>
                      </c:pt>
                      <c:pt idx="3">
                        <c:v>860</c:v>
                      </c:pt>
                      <c:pt idx="4">
                        <c:v>11569</c:v>
                      </c:pt>
                      <c:pt idx="5">
                        <c:v>11345</c:v>
                      </c:pt>
                      <c:pt idx="6">
                        <c:v>11877</c:v>
                      </c:pt>
                      <c:pt idx="7">
                        <c:v>11282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9-B886-45BE-8BEA-23A77B8F3D71}"/>
                  </c:ext>
                </c:extLst>
              </c15:ser>
            </c15:filteredAreaSeries>
          </c:ext>
        </c:extLst>
      </c:areaChart>
      <c:lineChart>
        <c:grouping val="standard"/>
        <c:varyColors val="0"/>
        <c:ser>
          <c:idx val="6"/>
          <c:order val="5"/>
          <c:tx>
            <c:strRef>
              <c:f>SEAP_valtozas!$B$14</c:f>
              <c:strCache>
                <c:ptCount val="1"/>
                <c:pt idx="0">
                  <c:v>SEAP célérték 2020-ra</c:v>
                </c:pt>
              </c:strCache>
            </c:strRef>
          </c:tx>
          <c:spPr>
            <a:ln w="15875" cap="rnd">
              <a:solidFill>
                <a:sysClr val="windowText" lastClr="000000">
                  <a:lumMod val="50000"/>
                  <a:lumOff val="50000"/>
                </a:sysClr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SEAP_valtozas!$C$14:$J$14</c:f>
              <c:numCache>
                <c:formatCode>#,##0</c:formatCode>
                <c:ptCount val="8"/>
                <c:pt idx="0">
                  <c:v>8087000</c:v>
                </c:pt>
                <c:pt idx="1">
                  <c:v>8087000</c:v>
                </c:pt>
                <c:pt idx="2">
                  <c:v>8087000</c:v>
                </c:pt>
                <c:pt idx="3">
                  <c:v>8087000</c:v>
                </c:pt>
                <c:pt idx="4">
                  <c:v>8087000</c:v>
                </c:pt>
                <c:pt idx="5">
                  <c:v>8087000</c:v>
                </c:pt>
                <c:pt idx="6">
                  <c:v>8087000</c:v>
                </c:pt>
                <c:pt idx="7">
                  <c:v>8087000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B886-45BE-8BEA-23A77B8F3D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899888"/>
        <c:axId val="478905376"/>
      </c:lineChart>
      <c:lineChart>
        <c:grouping val="stacked"/>
        <c:varyColors val="0"/>
        <c:ser>
          <c:idx val="5"/>
          <c:order val="6"/>
          <c:tx>
            <c:strRef>
              <c:f>SEAP_valtozas!$B$12</c:f>
              <c:strCache>
                <c:ptCount val="1"/>
                <c:pt idx="0">
                  <c:v>Átlaghőmérséklet fűtési időszakban (okt-ápr)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Text" lastClr="000000"/>
              </a:solidFill>
              <a:ln w="1587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2.4250440917107582E-2"/>
                  <c:y val="-3.77877018206801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  <a:endParaRPr lang="en-US" sz="900" b="0" i="0" u="none" strike="noStrike" baseline="0">
                      <a:effectLst/>
                    </a:endParaRP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886-45BE-8BEA-23A77B8F3D71}"/>
                </c:ext>
              </c:extLst>
            </c:dLbl>
            <c:dLbl>
              <c:idx val="1"/>
              <c:layout>
                <c:manualLayout>
                  <c:x val="-3.775361413156697E-2"/>
                  <c:y val="-3.60443822914440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700" b="0" i="0" u="none" strike="noStrike" kern="1200" baseline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5,5</a:t>
                    </a:r>
                    <a:endParaRPr lang="en-US" sz="700" b="0" i="0" u="none" strike="noStrike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700" b="0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886-45BE-8BEA-23A77B8F3D71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700" b="0" i="0" u="none" strike="noStrike" kern="1200" baseline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6,0</a:t>
                    </a:r>
                    <a:endParaRPr lang="en-US" sz="700" b="0" i="0" u="none" strike="noStrike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700" b="0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886-45BE-8BEA-23A77B8F3D71}"/>
                </c:ext>
              </c:extLst>
            </c:dLbl>
            <c:dLbl>
              <c:idx val="3"/>
              <c:layout>
                <c:manualLayout>
                  <c:x val="-2.8936809495899152E-2"/>
                  <c:y val="-3.228200985308658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700" b="0" i="0" u="none" strike="noStrike" kern="1200" baseline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8,6</a:t>
                    </a:r>
                    <a:endParaRPr lang="en-US" sz="700" b="0" i="0" u="none" strike="noStrike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700" b="0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886-45BE-8BEA-23A77B8F3D71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700" b="0" i="0" u="none" strike="noStrike" kern="1200" baseline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7,3</a:t>
                    </a:r>
                    <a:endParaRPr lang="en-US" sz="700" b="0" i="0" u="none" strike="noStrike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700" b="0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886-45BE-8BEA-23A77B8F3D71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700" b="0" i="0" u="none" strike="noStrike" kern="1200" baseline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6,9</a:t>
                    </a:r>
                    <a:endParaRPr lang="en-US" sz="700" b="0" i="0" u="none" strike="noStrike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700" b="0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886-45BE-8BEA-23A77B8F3D7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A02F3B87-D137-4239-A0A7-03055ECFED36}" type="VALUE">
                      <a:rPr lang="en-US" sz="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rPr>
                      <a:pPr/>
                      <a:t>[ÉRTÉK]</a:t>
                    </a:fld>
                    <a:endParaRPr lang="hu-HU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BDC-49ED-80F8-3A8107F5E4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SEAP_valtozas!$C$12:$J$12</c:f>
              <c:numCache>
                <c:formatCode>0.0</c:formatCode>
                <c:ptCount val="8"/>
                <c:pt idx="0">
                  <c:v>5.07</c:v>
                </c:pt>
                <c:pt idx="1">
                  <c:v>5.51</c:v>
                </c:pt>
                <c:pt idx="2">
                  <c:v>6.03</c:v>
                </c:pt>
                <c:pt idx="3">
                  <c:v>8.56</c:v>
                </c:pt>
                <c:pt idx="4">
                  <c:v>7.34</c:v>
                </c:pt>
                <c:pt idx="5">
                  <c:v>6.89</c:v>
                </c:pt>
                <c:pt idx="6">
                  <c:v>6.7</c:v>
                </c:pt>
                <c:pt idx="7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B886-45BE-8BEA-23A77B8F3D71}"/>
            </c:ext>
          </c:extLst>
        </c:ser>
        <c:ser>
          <c:idx val="7"/>
          <c:order val="7"/>
          <c:tx>
            <c:strRef>
              <c:f>SEAP_valtozas!$B$17</c:f>
              <c:strCache>
                <c:ptCount val="1"/>
                <c:pt idx="0">
                  <c:v>EU Klímatörvény célérték 2030-ra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val>
            <c:numRef>
              <c:f>SEAP_valtozas!$C$17:$J$17</c:f>
              <c:numCache>
                <c:formatCode>General</c:formatCode>
                <c:ptCount val="8"/>
                <c:pt idx="0">
                  <c:v>4043500</c:v>
                </c:pt>
                <c:pt idx="1">
                  <c:v>4043500</c:v>
                </c:pt>
                <c:pt idx="2">
                  <c:v>4043500</c:v>
                </c:pt>
                <c:pt idx="3">
                  <c:v>4043500</c:v>
                </c:pt>
                <c:pt idx="4">
                  <c:v>4043500</c:v>
                </c:pt>
                <c:pt idx="5">
                  <c:v>4043500</c:v>
                </c:pt>
                <c:pt idx="6">
                  <c:v>4043500</c:v>
                </c:pt>
                <c:pt idx="7">
                  <c:v>4043500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56-475B-9000-83595C50CC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900280"/>
        <c:axId val="478905768"/>
      </c:lineChart>
      <c:dateAx>
        <c:axId val="47889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8905376"/>
        <c:crosses val="autoZero"/>
        <c:auto val="0"/>
        <c:lblOffset val="100"/>
        <c:baseTimeUnit val="days"/>
      </c:dateAx>
      <c:valAx>
        <c:axId val="478905376"/>
        <c:scaling>
          <c:orientation val="minMax"/>
          <c:max val="140000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t" anchorCtr="0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700">
                    <a:latin typeface="Arial" panose="020B0604020202020204" pitchFamily="34" charset="0"/>
                    <a:cs typeface="Arial" panose="020B0604020202020204" pitchFamily="34" charset="0"/>
                  </a:rPr>
                  <a:t>CO</a:t>
                </a:r>
                <a:r>
                  <a:rPr lang="hu-HU" sz="700" baseline="-25000"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hu-HU" sz="700">
                    <a:latin typeface="Arial" panose="020B0604020202020204" pitchFamily="34" charset="0"/>
                    <a:cs typeface="Arial" panose="020B0604020202020204" pitchFamily="34" charset="0"/>
                  </a:rPr>
                  <a:t> kibocsátás (tonna)</a:t>
                </a:r>
              </a:p>
            </c:rich>
          </c:tx>
          <c:layout>
            <c:manualLayout>
              <c:xMode val="edge"/>
              <c:yMode val="edge"/>
              <c:x val="0"/>
              <c:y val="0.248369079388089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t" anchorCtr="0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8899888"/>
        <c:crosses val="autoZero"/>
        <c:crossBetween val="between"/>
      </c:valAx>
      <c:valAx>
        <c:axId val="478905768"/>
        <c:scaling>
          <c:orientation val="minMax"/>
          <c:max val="10"/>
          <c:min val="-2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700">
                    <a:latin typeface="Arial" panose="020B0604020202020204" pitchFamily="34" charset="0"/>
                    <a:cs typeface="Arial" panose="020B0604020202020204" pitchFamily="34" charset="0"/>
                  </a:rPr>
                  <a:t>Átlaghőmérséklet fűtési időszakban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8900280"/>
        <c:crosses val="max"/>
        <c:crossBetween val="between"/>
      </c:valAx>
      <c:dateAx>
        <c:axId val="4789002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78905768"/>
        <c:crosses val="autoZero"/>
        <c:auto val="0"/>
        <c:lblOffset val="100"/>
        <c:baseTimeUnit val="days"/>
      </c:date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12935271552594388"/>
          <c:y val="0.67095973468432724"/>
          <c:w val="0.87064736262805864"/>
          <c:h val="0.318704348003011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t" anchorCtr="0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7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hu-HU" sz="700" b="0" i="0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2016 és 2018 közötti változás</a:t>
            </a:r>
            <a:endParaRPr lang="hu-HU" sz="700"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11713099498926269"/>
          <c:y val="2.080083203328133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7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title>
    <c:autoTitleDeleted val="0"/>
    <c:plotArea>
      <c:layout>
        <c:manualLayout>
          <c:layoutTarget val="inner"/>
          <c:xMode val="edge"/>
          <c:yMode val="edge"/>
          <c:x val="3.7568486980849627E-4"/>
          <c:y val="0.17711007652904542"/>
          <c:w val="0.99962431513019145"/>
          <c:h val="0.78893379357221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E6F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67-401B-97E4-100921584D77}"/>
              </c:ext>
            </c:extLst>
          </c:dPt>
          <c:dPt>
            <c:idx val="1"/>
            <c:invertIfNegative val="0"/>
            <c:bubble3D val="0"/>
            <c:spPr>
              <a:solidFill>
                <a:srgbClr val="D4E9D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67-401B-97E4-100921584D77}"/>
              </c:ext>
            </c:extLst>
          </c:dPt>
          <c:dPt>
            <c:idx val="2"/>
            <c:invertIfNegative val="0"/>
            <c:bubble3D val="0"/>
            <c:spPr>
              <a:solidFill>
                <a:srgbClr val="C1DFC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67-401B-97E4-100921584D77}"/>
              </c:ext>
            </c:extLst>
          </c:dPt>
          <c:dPt>
            <c:idx val="3"/>
            <c:invertIfNegative val="0"/>
            <c:bubble3D val="0"/>
            <c:spPr>
              <a:solidFill>
                <a:srgbClr val="A1D1A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67-401B-97E4-100921584D7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(SEAP_valtozas!$B$27,SEAP_valtozas!$B$29,SEAP_valtozas!$B$31,SEAP_valtozas!$B$33)</c:f>
              <c:strCache>
                <c:ptCount val="4"/>
                <c:pt idx="0">
                  <c:v>Földgázfelhasználás (csak végfelhasználásra átadott, erőművi földgázt nem tartalmaz)</c:v>
                </c:pt>
                <c:pt idx="1">
                  <c:v>Közlekedéshez köthető (benzin, gázolaj, LPG, villamos energia)</c:v>
                </c:pt>
                <c:pt idx="2">
                  <c:v>Távhőfelhasználás</c:v>
                </c:pt>
                <c:pt idx="3">
                  <c:v>Villamosenergia-felhasználás (kivéve közlekedés)</c:v>
                </c:pt>
              </c:strCache>
            </c:strRef>
          </c:cat>
          <c:val>
            <c:numRef>
              <c:f>(SEAP_valtozas!$J$28,SEAP_valtozas!$J$30,SEAP_valtozas!$J$32,SEAP_valtozas!$J$34)</c:f>
              <c:numCache>
                <c:formatCode>0.0%</c:formatCode>
                <c:ptCount val="4"/>
                <c:pt idx="0">
                  <c:v>-6.4522158708078869E-2</c:v>
                </c:pt>
                <c:pt idx="1">
                  <c:v>1.8650720742056759E-2</c:v>
                </c:pt>
                <c:pt idx="2">
                  <c:v>-9.2422805226549332E-2</c:v>
                </c:pt>
                <c:pt idx="3">
                  <c:v>1.7473667242554169E-2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67-401B-97E4-100921584D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axId val="478906160"/>
        <c:axId val="478906944"/>
      </c:barChart>
      <c:valAx>
        <c:axId val="47890694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478906160"/>
        <c:crosses val="autoZero"/>
        <c:crossBetween val="between"/>
        <c:majorUnit val="2.0000000000000004E-2"/>
        <c:minorUnit val="1.0000000000000002E-2"/>
      </c:valAx>
      <c:catAx>
        <c:axId val="4789061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78906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401199850018746"/>
          <c:y val="5.9620596205962058E-2"/>
          <c:w val="0.54098800149981263"/>
          <c:h val="0.7617911785417066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'energetiai felújítás'!$B$2</c:f>
              <c:strCache>
                <c:ptCount val="1"/>
                <c:pt idx="0">
                  <c:v>biztosan</c:v>
                </c:pt>
              </c:strCache>
            </c:strRef>
          </c:tx>
          <c:spPr>
            <a:solidFill>
              <a:srgbClr val="A1D1A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'energetiai felújítás'!$A$3:$A$5</c:f>
              <c:strCache>
                <c:ptCount val="3"/>
                <c:pt idx="0">
                  <c:v>segítség említése nélkül</c:v>
                </c:pt>
                <c:pt idx="1">
                  <c:v>kedvező vagy kamatmentes banki hitellel</c:v>
                </c:pt>
                <c:pt idx="2">
                  <c:v>önkormányzati vagy állami támogatással</c:v>
                </c:pt>
              </c:strCache>
            </c:strRef>
          </c:cat>
          <c:val>
            <c:numRef>
              <c:f>'energetiai felújítás'!$B$3:$B$5</c:f>
              <c:numCache>
                <c:formatCode>0</c:formatCode>
                <c:ptCount val="3"/>
                <c:pt idx="0">
                  <c:v>8.4792375952104244</c:v>
                </c:pt>
                <c:pt idx="1">
                  <c:v>16.429063800335694</c:v>
                </c:pt>
                <c:pt idx="2">
                  <c:v>29.49233273740505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C5-4701-BBA5-0184B06EC745}"/>
            </c:ext>
          </c:extLst>
        </c:ser>
        <c:ser>
          <c:idx val="1"/>
          <c:order val="1"/>
          <c:tx>
            <c:strRef>
              <c:f>'energetiai felújítás'!$C$2</c:f>
              <c:strCache>
                <c:ptCount val="1"/>
                <c:pt idx="0">
                  <c:v>valószínűleg igen</c:v>
                </c:pt>
              </c:strCache>
            </c:strRef>
          </c:tx>
          <c:spPr>
            <a:solidFill>
              <a:srgbClr val="B4DAB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'energetiai felújítás'!$A$3:$A$5</c:f>
              <c:strCache>
                <c:ptCount val="3"/>
                <c:pt idx="0">
                  <c:v>segítség említése nélkül</c:v>
                </c:pt>
                <c:pt idx="1">
                  <c:v>kedvező vagy kamatmentes banki hitellel</c:v>
                </c:pt>
                <c:pt idx="2">
                  <c:v>önkormányzati vagy állami támogatással</c:v>
                </c:pt>
              </c:strCache>
            </c:strRef>
          </c:cat>
          <c:val>
            <c:numRef>
              <c:f>'energetiai felújítás'!$C$3:$C$5</c:f>
              <c:numCache>
                <c:formatCode>0</c:formatCode>
                <c:ptCount val="3"/>
                <c:pt idx="0">
                  <c:v>15.842016189202637</c:v>
                </c:pt>
                <c:pt idx="1">
                  <c:v>25.746432604242514</c:v>
                </c:pt>
                <c:pt idx="2">
                  <c:v>30.970699242490241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C5-4701-BBA5-0184B06EC745}"/>
            </c:ext>
          </c:extLst>
        </c:ser>
        <c:ser>
          <c:idx val="2"/>
          <c:order val="2"/>
          <c:tx>
            <c:strRef>
              <c:f>'energetiai felújítás'!$D$2</c:f>
              <c:strCache>
                <c:ptCount val="1"/>
                <c:pt idx="0">
                  <c:v>valószínűleg nem</c:v>
                </c:pt>
              </c:strCache>
            </c:strRef>
          </c:tx>
          <c:spPr>
            <a:solidFill>
              <a:srgbClr val="CCE6D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'energetiai felújítás'!$A$3:$A$5</c:f>
              <c:strCache>
                <c:ptCount val="3"/>
                <c:pt idx="0">
                  <c:v>segítség említése nélkül</c:v>
                </c:pt>
                <c:pt idx="1">
                  <c:v>kedvező vagy kamatmentes banki hitellel</c:v>
                </c:pt>
                <c:pt idx="2">
                  <c:v>önkormányzati vagy állami támogatással</c:v>
                </c:pt>
              </c:strCache>
            </c:strRef>
          </c:cat>
          <c:val>
            <c:numRef>
              <c:f>'energetiai felújítás'!$D$3:$D$5</c:f>
              <c:numCache>
                <c:formatCode>0</c:formatCode>
                <c:ptCount val="3"/>
                <c:pt idx="0">
                  <c:v>28.138992799460976</c:v>
                </c:pt>
                <c:pt idx="1">
                  <c:v>16.863571391531345</c:v>
                </c:pt>
                <c:pt idx="2">
                  <c:v>11.568594989684296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C5-4701-BBA5-0184B06EC745}"/>
            </c:ext>
          </c:extLst>
        </c:ser>
        <c:ser>
          <c:idx val="3"/>
          <c:order val="3"/>
          <c:tx>
            <c:strRef>
              <c:f>'energetiai felújítás'!$E$2</c:f>
              <c:strCache>
                <c:ptCount val="1"/>
                <c:pt idx="0">
                  <c:v>biztosan nem</c:v>
                </c:pt>
              </c:strCache>
            </c:strRef>
          </c:tx>
          <c:spPr>
            <a:solidFill>
              <a:srgbClr val="DBEDE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'energetiai felújítás'!$A$3:$A$5</c:f>
              <c:strCache>
                <c:ptCount val="3"/>
                <c:pt idx="0">
                  <c:v>segítség említése nélkül</c:v>
                </c:pt>
                <c:pt idx="1">
                  <c:v>kedvező vagy kamatmentes banki hitellel</c:v>
                </c:pt>
                <c:pt idx="2">
                  <c:v>önkormányzati vagy állami támogatással</c:v>
                </c:pt>
              </c:strCache>
            </c:strRef>
          </c:cat>
          <c:val>
            <c:numRef>
              <c:f>'energetiai felújítás'!$E$3:$E$5</c:f>
              <c:numCache>
                <c:formatCode>0</c:formatCode>
                <c:ptCount val="3"/>
                <c:pt idx="0">
                  <c:v>45.146574620848426</c:v>
                </c:pt>
                <c:pt idx="1">
                  <c:v>36.972795766230185</c:v>
                </c:pt>
                <c:pt idx="2">
                  <c:v>23.315200150466833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C5-4701-BBA5-0184B06EC745}"/>
            </c:ext>
          </c:extLst>
        </c:ser>
        <c:ser>
          <c:idx val="4"/>
          <c:order val="4"/>
          <c:tx>
            <c:strRef>
              <c:f>'energetiai felújítás'!$F$2</c:f>
              <c:strCache>
                <c:ptCount val="1"/>
                <c:pt idx="0">
                  <c:v>nem tudja</c:v>
                </c:pt>
              </c:strCache>
            </c:strRef>
          </c:tx>
          <c:spPr>
            <a:solidFill>
              <a:srgbClr val="EBF5E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'energetiai felújítás'!$A$3:$A$5</c:f>
              <c:strCache>
                <c:ptCount val="3"/>
                <c:pt idx="0">
                  <c:v>segítség említése nélkül</c:v>
                </c:pt>
                <c:pt idx="1">
                  <c:v>kedvező vagy kamatmentes banki hitellel</c:v>
                </c:pt>
                <c:pt idx="2">
                  <c:v>önkormányzati vagy állami támogatással</c:v>
                </c:pt>
              </c:strCache>
            </c:strRef>
          </c:cat>
          <c:val>
            <c:numRef>
              <c:f>'energetiai felújítás'!$F$3:$F$5</c:f>
              <c:numCache>
                <c:formatCode>0</c:formatCode>
                <c:ptCount val="3"/>
                <c:pt idx="0">
                  <c:v>2.2014566564853393</c:v>
                </c:pt>
                <c:pt idx="1">
                  <c:v>3.9881364376601156</c:v>
                </c:pt>
                <c:pt idx="2">
                  <c:v>4.6531728799534617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C5-4701-BBA5-0184B06EC7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78901848"/>
        <c:axId val="478902240"/>
      </c:barChart>
      <c:catAx>
        <c:axId val="4789018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8902240"/>
        <c:crosses val="autoZero"/>
        <c:auto val="1"/>
        <c:lblAlgn val="ctr"/>
        <c:lblOffset val="100"/>
        <c:noMultiLvlLbl val="0"/>
      </c:catAx>
      <c:valAx>
        <c:axId val="478902240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8901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5555555555555552E-2"/>
          <c:y val="0.88103237095363085"/>
          <c:w val="0.9"/>
          <c:h val="8.64473038431171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A1D1A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'energetikai felújítás'!$A$50:$A$53</c:f>
              <c:strCache>
                <c:ptCount val="4"/>
                <c:pt idx="0">
                  <c:v>már most is energia-hatékony a lakás</c:v>
                </c:pt>
                <c:pt idx="1">
                  <c:v>a társasház nem támogatja</c:v>
                </c:pt>
                <c:pt idx="2">
                  <c:v>a ház nem alkalmas rá  szerkezeti vagy műemlékvédelmi okok miatt</c:v>
                </c:pt>
                <c:pt idx="3">
                  <c:v>nem érzi fontosnak</c:v>
                </c:pt>
              </c:strCache>
            </c:strRef>
          </c:cat>
          <c:val>
            <c:numRef>
              <c:f>'energetikai felújítás'!$B$50:$B$53</c:f>
              <c:numCache>
                <c:formatCode>0</c:formatCode>
                <c:ptCount val="4"/>
                <c:pt idx="0">
                  <c:v>57.777093317444788</c:v>
                </c:pt>
                <c:pt idx="1">
                  <c:v>24.455882458686013</c:v>
                </c:pt>
                <c:pt idx="2">
                  <c:v>19.841878498845492</c:v>
                </c:pt>
                <c:pt idx="3">
                  <c:v>19.151892803565691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B9-4D81-90E6-843FEE8BF7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78907336"/>
        <c:axId val="478902632"/>
      </c:barChart>
      <c:catAx>
        <c:axId val="4789073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8902632"/>
        <c:crosses val="autoZero"/>
        <c:auto val="1"/>
        <c:lblAlgn val="ctr"/>
        <c:lblOffset val="100"/>
        <c:noMultiLvlLbl val="0"/>
      </c:catAx>
      <c:valAx>
        <c:axId val="478902632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7890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914855643044618"/>
          <c:y val="0.10128507417235828"/>
          <c:w val="0.26429938757655291"/>
          <c:h val="0.87613056655210919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DDEFE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FB-428F-9FC0-86B85342A6BC}"/>
              </c:ext>
            </c:extLst>
          </c:dPt>
          <c:dPt>
            <c:idx val="1"/>
            <c:bubble3D val="0"/>
            <c:spPr>
              <a:solidFill>
                <a:srgbClr val="C1E1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FFB-428F-9FC0-86B85342A6BC}"/>
              </c:ext>
            </c:extLst>
          </c:dPt>
          <c:dPt>
            <c:idx val="2"/>
            <c:bubble3D val="0"/>
            <c:spPr>
              <a:solidFill>
                <a:srgbClr val="A1D1AE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FFB-428F-9FC0-86B85342A6BC}"/>
              </c:ext>
            </c:extLst>
          </c:dPt>
          <c:dLbls>
            <c:dLbl>
              <c:idx val="0"/>
              <c:layout>
                <c:manualLayout>
                  <c:x val="-3.07212598425196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FB-428F-9FC0-86B85342A6BC}"/>
                </c:ext>
              </c:extLst>
            </c:dLbl>
            <c:dLbl>
              <c:idx val="1"/>
              <c:layout>
                <c:manualLayout>
                  <c:x val="2.066929133858263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FB-428F-9FC0-86B85342A6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napelem!$B$30:$B$32</c:f>
              <c:strCache>
                <c:ptCount val="3"/>
                <c:pt idx="0">
                  <c:v>mindenhol zavarja</c:v>
                </c:pt>
                <c:pt idx="1">
                  <c:v>csak a belvárosban</c:v>
                </c:pt>
                <c:pt idx="2">
                  <c:v>nem zavarja</c:v>
                </c:pt>
              </c:strCache>
            </c:strRef>
          </c:cat>
          <c:val>
            <c:numRef>
              <c:f>napelem!$E$30:$E$32</c:f>
              <c:numCache>
                <c:formatCode>0</c:formatCode>
                <c:ptCount val="3"/>
                <c:pt idx="0">
                  <c:v>1.0461743552458802</c:v>
                </c:pt>
                <c:pt idx="1">
                  <c:v>0.87693445903479716</c:v>
                </c:pt>
                <c:pt idx="2">
                  <c:v>97.855516119132361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FB-428F-9FC0-86B85342A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BAAC-264F-46A7-83E1-08535C06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2664</Words>
  <Characters>18384</Characters>
  <Application>Microsoft Office Word</Application>
  <DocSecurity>0</DocSecurity>
  <Lines>153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5</cp:revision>
  <cp:lastPrinted>2020-12-03T10:55:00Z</cp:lastPrinted>
  <dcterms:created xsi:type="dcterms:W3CDTF">2020-10-29T18:28:00Z</dcterms:created>
  <dcterms:modified xsi:type="dcterms:W3CDTF">2020-12-03T10:55:00Z</dcterms:modified>
</cp:coreProperties>
</file>