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9E33" w14:textId="77777777" w:rsidR="005724CE" w:rsidRPr="005724CE" w:rsidRDefault="002344B9" w:rsidP="008E3511">
      <w:pPr>
        <w:widowControl w:val="0"/>
        <w:autoSpaceDE w:val="0"/>
        <w:autoSpaceDN w:val="0"/>
        <w:adjustRightInd w:val="0"/>
        <w:spacing w:before="240" w:line="360" w:lineRule="auto"/>
        <w:rPr>
          <w:rFonts w:cs="Arial"/>
          <w:b/>
          <w:bCs/>
          <w:szCs w:val="20"/>
        </w:rPr>
      </w:pPr>
      <w:r>
        <w:rPr>
          <w:noProof/>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83F587A"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5724CE">
        <w:rPr>
          <w:rFonts w:cs="Arial"/>
          <w:b/>
          <w:bCs/>
          <w:szCs w:val="20"/>
        </w:rPr>
        <w:t>Előterjesztés</w:t>
      </w:r>
    </w:p>
    <w:p w14:paraId="1C449E34" w14:textId="77777777" w:rsidR="005724CE" w:rsidRPr="005724CE" w:rsidRDefault="005724CE" w:rsidP="008E3511">
      <w:pPr>
        <w:pStyle w:val="BPelterjesztskinek"/>
        <w:pBdr>
          <w:top w:val="single" w:sz="4" w:space="1" w:color="auto"/>
        </w:pBdr>
        <w:spacing w:before="120" w:after="360"/>
        <w:rPr>
          <w:szCs w:val="20"/>
        </w:rPr>
      </w:pPr>
      <w:r w:rsidRPr="005724CE">
        <w:rPr>
          <w:szCs w:val="20"/>
        </w:rPr>
        <w:t>a Közgyűlés részére</w:t>
      </w:r>
    </w:p>
    <w:p w14:paraId="1C449E35" w14:textId="77777777" w:rsidR="005724CE" w:rsidRPr="005724CE" w:rsidRDefault="005724CE" w:rsidP="008E3511">
      <w:pPr>
        <w:pStyle w:val="BPmegszlts"/>
        <w:spacing w:before="240" w:after="0"/>
        <w:rPr>
          <w:sz w:val="20"/>
          <w:szCs w:val="20"/>
        </w:rPr>
      </w:pPr>
      <w:r w:rsidRPr="005724CE">
        <w:rPr>
          <w:sz w:val="20"/>
          <w:szCs w:val="20"/>
        </w:rPr>
        <w:t>Tisztelt Közgyűlés!</w:t>
      </w:r>
    </w:p>
    <w:p w14:paraId="0C142506" w14:textId="4F951062" w:rsidR="00510EF5" w:rsidRPr="00510EF5" w:rsidRDefault="00510EF5" w:rsidP="00510EF5">
      <w:pPr>
        <w:pStyle w:val="BPszvegtest"/>
        <w:spacing w:before="240" w:line="360" w:lineRule="auto"/>
        <w:rPr>
          <w:sz w:val="20"/>
          <w:szCs w:val="20"/>
        </w:rPr>
      </w:pPr>
      <w:r w:rsidRPr="00510EF5">
        <w:rPr>
          <w:sz w:val="20"/>
          <w:szCs w:val="20"/>
        </w:rPr>
        <w:t>Az Emberi erőforrások minisztere és a Miniszterelnökséget vezető miniszter, valamint Budapest Főváros Önkormányzata között 2020. április 6</w:t>
      </w:r>
      <w:r w:rsidR="00E74BB0">
        <w:rPr>
          <w:sz w:val="20"/>
          <w:szCs w:val="20"/>
        </w:rPr>
        <w:t>. napján</w:t>
      </w:r>
      <w:r w:rsidRPr="00510EF5">
        <w:rPr>
          <w:sz w:val="20"/>
          <w:szCs w:val="20"/>
        </w:rPr>
        <w:t xml:space="preserve"> </w:t>
      </w:r>
      <w:r w:rsidR="00A37513">
        <w:rPr>
          <w:sz w:val="20"/>
          <w:szCs w:val="20"/>
        </w:rPr>
        <w:t>megkötött</w:t>
      </w:r>
      <w:r w:rsidRPr="00510EF5">
        <w:rPr>
          <w:sz w:val="20"/>
          <w:szCs w:val="20"/>
        </w:rPr>
        <w:t xml:space="preserve">, az előadó-művészeti szervezetek támogatásáról és sajátos foglalkoztatási szabályairól szóló 2008. évi XCIX. törvény 16. § (4)-(6) bekezdése szerinti megállapodás (továbbiakban: </w:t>
      </w:r>
      <w:r w:rsidRPr="00937EE7">
        <w:rPr>
          <w:b/>
          <w:bCs/>
          <w:sz w:val="20"/>
          <w:szCs w:val="20"/>
        </w:rPr>
        <w:t>Közös Működtetési Megállapodás</w:t>
      </w:r>
      <w:r w:rsidRPr="00510EF5">
        <w:rPr>
          <w:sz w:val="20"/>
          <w:szCs w:val="20"/>
        </w:rPr>
        <w:t xml:space="preserve">) 4. pont e) alpontja és 6-8. pontja szerint a Thália Színház Nonprofit Kft. (továbbiakban: úgy is mint </w:t>
      </w:r>
      <w:r w:rsidRPr="00B6108D">
        <w:rPr>
          <w:b/>
          <w:bCs/>
          <w:sz w:val="20"/>
          <w:szCs w:val="20"/>
        </w:rPr>
        <w:t>Társaság</w:t>
      </w:r>
      <w:r w:rsidRPr="00510EF5">
        <w:rPr>
          <w:sz w:val="20"/>
          <w:szCs w:val="20"/>
        </w:rPr>
        <w:t xml:space="preserve">), olyan közös működtetésű színház, amelynek éves működése pénzügyi feltételeit teljes egészében az Emberi Erőforrások Minisztériuma biztosítja, illetve a Közös Működtetési Megállapodás 10. pontja szerint a Társaság ügyvezetője feletti alapvető munkáltatói jogokat az </w:t>
      </w:r>
      <w:r w:rsidR="00937EE7">
        <w:rPr>
          <w:sz w:val="20"/>
          <w:szCs w:val="20"/>
        </w:rPr>
        <w:t>E</w:t>
      </w:r>
      <w:r w:rsidRPr="00510EF5">
        <w:rPr>
          <w:sz w:val="20"/>
          <w:szCs w:val="20"/>
        </w:rPr>
        <w:t>mberi erőforrások minisztere gyakorolja. A Közös Működtetési Megállapodást a Kormány az egyes, Budapest Főváros Önkormányzata fenntartásában lévő színházak közös működtetéséről szóló 1148/2020. (IV. 10.) Korm. határozattal, míg a Fővárosi Közgyűlés hatáskörében eljáró főpolgármester a 334/2020. (04.13.) Főv. Kgy. határozatban jóváhagyta, így az 2020. április 13-án hatályba lépett</w:t>
      </w:r>
      <w:r w:rsidR="00937EE7">
        <w:rPr>
          <w:sz w:val="20"/>
          <w:szCs w:val="20"/>
        </w:rPr>
        <w:t xml:space="preserve"> (</w:t>
      </w:r>
      <w:r w:rsidR="00937EE7" w:rsidRPr="00937EE7">
        <w:rPr>
          <w:b/>
          <w:bCs/>
          <w:sz w:val="20"/>
          <w:szCs w:val="20"/>
        </w:rPr>
        <w:t>1.sz. melléklet</w:t>
      </w:r>
      <w:r w:rsidR="00937EE7">
        <w:rPr>
          <w:sz w:val="20"/>
          <w:szCs w:val="20"/>
        </w:rPr>
        <w:t>)</w:t>
      </w:r>
      <w:r w:rsidRPr="00510EF5">
        <w:rPr>
          <w:sz w:val="20"/>
          <w:szCs w:val="20"/>
        </w:rPr>
        <w:t>.</w:t>
      </w:r>
    </w:p>
    <w:p w14:paraId="7BDD18BD" w14:textId="260F0438" w:rsidR="00510EF5" w:rsidRPr="00510EF5" w:rsidRDefault="00510EF5" w:rsidP="00510EF5">
      <w:pPr>
        <w:pStyle w:val="BPszvegtest"/>
        <w:spacing w:before="240" w:line="360" w:lineRule="auto"/>
        <w:rPr>
          <w:sz w:val="20"/>
          <w:szCs w:val="20"/>
        </w:rPr>
      </w:pPr>
      <w:r w:rsidRPr="00510EF5">
        <w:rPr>
          <w:sz w:val="20"/>
          <w:szCs w:val="20"/>
        </w:rPr>
        <w:t xml:space="preserve">A Közös Működtetési Megállapodás 15-16. pontjában a szerződő felek úgy rendelkeztek, hogy a Társaság Budapest Főváros Önkormányzata 100%-os tulajdonában álló üzletrésze és a Társaság elhelyezésére szolgáló, Budapest Főváros Önkormányzata tulajdonában álló ingatlanok adásvételéről a </w:t>
      </w:r>
      <w:r w:rsidR="00937EE7">
        <w:rPr>
          <w:sz w:val="20"/>
          <w:szCs w:val="20"/>
        </w:rPr>
        <w:t>m</w:t>
      </w:r>
      <w:r w:rsidRPr="00510EF5">
        <w:rPr>
          <w:sz w:val="20"/>
          <w:szCs w:val="20"/>
        </w:rPr>
        <w:t xml:space="preserve">agyar </w:t>
      </w:r>
      <w:r w:rsidR="00937EE7">
        <w:rPr>
          <w:sz w:val="20"/>
          <w:szCs w:val="20"/>
        </w:rPr>
        <w:t>á</w:t>
      </w:r>
      <w:r w:rsidRPr="00510EF5">
        <w:rPr>
          <w:sz w:val="20"/>
          <w:szCs w:val="20"/>
        </w:rPr>
        <w:t>llam és Budapest Főváros Önkormányzata egymással 2020. december 31-ig adásvételi szerződést kötnek.</w:t>
      </w:r>
    </w:p>
    <w:p w14:paraId="5253077B" w14:textId="28D9C93A" w:rsidR="00671B96" w:rsidRPr="00671B96" w:rsidRDefault="00671B96" w:rsidP="00510EF5">
      <w:pPr>
        <w:pStyle w:val="BPszvegtest"/>
        <w:spacing w:before="240" w:line="360" w:lineRule="auto"/>
        <w:rPr>
          <w:sz w:val="20"/>
          <w:szCs w:val="20"/>
        </w:rPr>
      </w:pPr>
      <w:r w:rsidRPr="00671B96">
        <w:rPr>
          <w:sz w:val="20"/>
          <w:szCs w:val="20"/>
        </w:rPr>
        <w:lastRenderedPageBreak/>
        <w:t>A Kormány a Budapest Főváros Önkormányzatával 2020. április 6</w:t>
      </w:r>
      <w:r w:rsidR="00E74BB0">
        <w:rPr>
          <w:sz w:val="20"/>
          <w:szCs w:val="20"/>
        </w:rPr>
        <w:t>. napján</w:t>
      </w:r>
      <w:r w:rsidRPr="00671B96">
        <w:rPr>
          <w:sz w:val="20"/>
          <w:szCs w:val="20"/>
        </w:rPr>
        <w:t xml:space="preserve"> kötött </w:t>
      </w:r>
      <w:r w:rsidR="00E74BB0" w:rsidRPr="00E74BB0">
        <w:rPr>
          <w:sz w:val="20"/>
          <w:szCs w:val="20"/>
        </w:rPr>
        <w:t>Közös Működtetési Megállapodás</w:t>
      </w:r>
      <w:r w:rsidRPr="00671B96">
        <w:rPr>
          <w:sz w:val="20"/>
          <w:szCs w:val="20"/>
        </w:rPr>
        <w:t>ban foglaltak végrehajtása céljából az egyes fővárosi kulturális színterek és ingatlanok magyar állam általi megvásárlásához szükséges kormányzati intézkedésekről szóló 1149/2020. (IV.10.)</w:t>
      </w:r>
      <w:r w:rsidR="00E74BB0">
        <w:rPr>
          <w:sz w:val="20"/>
          <w:szCs w:val="20"/>
        </w:rPr>
        <w:t xml:space="preserve"> Korm.</w:t>
      </w:r>
      <w:r w:rsidRPr="00671B96">
        <w:rPr>
          <w:sz w:val="20"/>
          <w:szCs w:val="20"/>
        </w:rPr>
        <w:t xml:space="preserve"> határozatával rendelkezett a Thália Színház Nonprofit Kft.</w:t>
      </w:r>
      <w:r>
        <w:rPr>
          <w:sz w:val="20"/>
          <w:szCs w:val="20"/>
        </w:rPr>
        <w:t xml:space="preserve"> </w:t>
      </w:r>
      <w:r w:rsidRPr="00671B96">
        <w:rPr>
          <w:sz w:val="20"/>
          <w:szCs w:val="20"/>
        </w:rPr>
        <w:t>100 %-os üzletrészének</w:t>
      </w:r>
      <w:r>
        <w:rPr>
          <w:sz w:val="20"/>
          <w:szCs w:val="20"/>
        </w:rPr>
        <w:t xml:space="preserve"> (a továbbiakban: </w:t>
      </w:r>
      <w:r w:rsidRPr="00671B96">
        <w:rPr>
          <w:b/>
          <w:bCs/>
          <w:sz w:val="20"/>
          <w:szCs w:val="20"/>
        </w:rPr>
        <w:t>Üzletrész</w:t>
      </w:r>
      <w:r>
        <w:rPr>
          <w:sz w:val="20"/>
          <w:szCs w:val="20"/>
        </w:rPr>
        <w:t>)</w:t>
      </w:r>
      <w:r w:rsidRPr="00671B96">
        <w:rPr>
          <w:sz w:val="20"/>
          <w:szCs w:val="20"/>
        </w:rPr>
        <w:t xml:space="preserve"> és a Társaság elhelyezésére szolgáló ingatlanok </w:t>
      </w:r>
      <w:r w:rsidR="003777F5">
        <w:rPr>
          <w:sz w:val="20"/>
          <w:szCs w:val="20"/>
        </w:rPr>
        <w:t xml:space="preserve">- </w:t>
      </w:r>
      <w:r w:rsidR="003777F5" w:rsidRPr="003777F5">
        <w:rPr>
          <w:i/>
          <w:iCs/>
          <w:sz w:val="20"/>
          <w:szCs w:val="20"/>
        </w:rPr>
        <w:t xml:space="preserve">Budapest VI. kerület belterület Hajós u. 9. fszt.4. (29081/0/A/2 hrsz), Mozsár u. 1. / Nagymező u. 19. fszt. 8. (29064/0/A/7 hrsz.), Nagymező u. 20. alagsor 1 és fszt. 3. (29076/0/A/3 hrsz., mely </w:t>
      </w:r>
      <w:r w:rsidR="004101DD">
        <w:rPr>
          <w:i/>
          <w:iCs/>
          <w:sz w:val="20"/>
          <w:szCs w:val="20"/>
        </w:rPr>
        <w:t xml:space="preserve">idő közben </w:t>
      </w:r>
      <w:r w:rsidR="003777F5" w:rsidRPr="003777F5">
        <w:rPr>
          <w:i/>
          <w:iCs/>
          <w:sz w:val="20"/>
          <w:szCs w:val="20"/>
        </w:rPr>
        <w:t>a társasház újra</w:t>
      </w:r>
      <w:r w:rsidR="004101DD">
        <w:rPr>
          <w:i/>
          <w:iCs/>
          <w:sz w:val="20"/>
          <w:szCs w:val="20"/>
        </w:rPr>
        <w:t xml:space="preserve"> </w:t>
      </w:r>
      <w:r w:rsidR="003777F5" w:rsidRPr="003777F5">
        <w:rPr>
          <w:i/>
          <w:iCs/>
          <w:sz w:val="20"/>
          <w:szCs w:val="20"/>
        </w:rPr>
        <w:t>alapítását követően 29076/0/B/1 és 29076/0/B/5 hrsz-re változott), Nagymező u. 22-24. 1.em. 1. és 2. (29086/0/A/1 és 29086/0/A/2 hrsz.) és Nagymező u. 26. fszt.3. (29087/0/A/1. hrsz.)</w:t>
      </w:r>
      <w:r w:rsidR="003777F5">
        <w:rPr>
          <w:sz w:val="20"/>
          <w:szCs w:val="20"/>
        </w:rPr>
        <w:t xml:space="preserve"> -</w:t>
      </w:r>
      <w:r w:rsidRPr="00671B96">
        <w:rPr>
          <w:sz w:val="20"/>
          <w:szCs w:val="20"/>
        </w:rPr>
        <w:t xml:space="preserve"> legfeljebb a független szakértő által meghatározott forgalmi (piaci) értéken – a Magyar Állam javára történő megvásárlásáról. A </w:t>
      </w:r>
      <w:r w:rsidR="00510EF5">
        <w:rPr>
          <w:sz w:val="20"/>
          <w:szCs w:val="20"/>
        </w:rPr>
        <w:t>m</w:t>
      </w:r>
      <w:r w:rsidRPr="00671B96">
        <w:rPr>
          <w:sz w:val="20"/>
          <w:szCs w:val="20"/>
        </w:rPr>
        <w:t xml:space="preserve">agyar </w:t>
      </w:r>
      <w:r w:rsidR="00510EF5">
        <w:rPr>
          <w:sz w:val="20"/>
          <w:szCs w:val="20"/>
        </w:rPr>
        <w:t>á</w:t>
      </w:r>
      <w:r w:rsidRPr="00671B96">
        <w:rPr>
          <w:sz w:val="20"/>
          <w:szCs w:val="20"/>
        </w:rPr>
        <w:t xml:space="preserve">llam képviseletében eljáró Magyar Nemzeti Vagyonkezelő Zrt. (a továbbiakban: </w:t>
      </w:r>
      <w:r w:rsidRPr="00671B96">
        <w:rPr>
          <w:b/>
          <w:bCs/>
          <w:sz w:val="20"/>
          <w:szCs w:val="20"/>
        </w:rPr>
        <w:t>MNV Zrt</w:t>
      </w:r>
      <w:r w:rsidRPr="00671B96">
        <w:rPr>
          <w:sz w:val="20"/>
          <w:szCs w:val="20"/>
        </w:rPr>
        <w:t>.) ennek megfelelően 2020. április 28-án nyújtotta be indikatív vételi ajánlatát.</w:t>
      </w:r>
      <w:r>
        <w:rPr>
          <w:sz w:val="20"/>
          <w:szCs w:val="20"/>
        </w:rPr>
        <w:t xml:space="preserve"> (</w:t>
      </w:r>
      <w:r w:rsidR="00937EE7">
        <w:rPr>
          <w:b/>
          <w:bCs/>
          <w:sz w:val="20"/>
          <w:szCs w:val="20"/>
        </w:rPr>
        <w:t>2</w:t>
      </w:r>
      <w:r w:rsidRPr="003D67EA">
        <w:rPr>
          <w:b/>
          <w:bCs/>
          <w:sz w:val="20"/>
          <w:szCs w:val="20"/>
        </w:rPr>
        <w:t>.sz. melléklet</w:t>
      </w:r>
      <w:r w:rsidR="003D67EA">
        <w:rPr>
          <w:sz w:val="20"/>
          <w:szCs w:val="20"/>
        </w:rPr>
        <w:t>: indikatív vételi ajánlat)</w:t>
      </w:r>
      <w:r w:rsidRPr="00671B96">
        <w:rPr>
          <w:sz w:val="20"/>
          <w:szCs w:val="20"/>
        </w:rPr>
        <w:t xml:space="preserve">  </w:t>
      </w:r>
    </w:p>
    <w:p w14:paraId="3571BCA1" w14:textId="766C47A9" w:rsidR="00671B96" w:rsidRPr="00671B96" w:rsidRDefault="00671B96" w:rsidP="00671B96">
      <w:pPr>
        <w:pStyle w:val="BPszvegtest"/>
        <w:spacing w:before="240" w:line="360" w:lineRule="auto"/>
        <w:rPr>
          <w:sz w:val="20"/>
          <w:szCs w:val="20"/>
        </w:rPr>
      </w:pPr>
      <w:r w:rsidRPr="00671B96">
        <w:rPr>
          <w:sz w:val="20"/>
          <w:szCs w:val="20"/>
        </w:rPr>
        <w:t>A színházi megállapodásból kimaradt, a Társaság által a feladatellátáshoz használt további ingatlanok</w:t>
      </w:r>
      <w:r w:rsidR="0099305C">
        <w:rPr>
          <w:sz w:val="20"/>
          <w:szCs w:val="20"/>
        </w:rPr>
        <w:t>, a VI. ker.</w:t>
      </w:r>
      <w:r w:rsidR="004F7F20">
        <w:rPr>
          <w:sz w:val="20"/>
          <w:szCs w:val="20"/>
        </w:rPr>
        <w:t xml:space="preserve"> </w:t>
      </w:r>
      <w:r w:rsidR="003777F5" w:rsidRPr="003777F5">
        <w:rPr>
          <w:i/>
          <w:iCs/>
          <w:sz w:val="20"/>
          <w:szCs w:val="20"/>
        </w:rPr>
        <w:t xml:space="preserve">Hajós u. 7. fszt.2. (29080/0/A/9 hrsz.); Zichy J. u. 42. (29013/0/A/4 hrsz.); </w:t>
      </w:r>
      <w:r w:rsidR="0099305C">
        <w:rPr>
          <w:i/>
          <w:iCs/>
          <w:sz w:val="20"/>
          <w:szCs w:val="20"/>
        </w:rPr>
        <w:t xml:space="preserve">VI. ker. </w:t>
      </w:r>
      <w:r w:rsidR="003777F5" w:rsidRPr="003777F5">
        <w:rPr>
          <w:i/>
          <w:iCs/>
          <w:sz w:val="20"/>
          <w:szCs w:val="20"/>
        </w:rPr>
        <w:t>Nagymező u. 22-24. I.em. (29086/0/A/5 hrsz, mely a VI. kerületi Önkormányzat tulajdonában van)</w:t>
      </w:r>
      <w:r w:rsidR="0099305C">
        <w:rPr>
          <w:i/>
          <w:iCs/>
          <w:sz w:val="20"/>
          <w:szCs w:val="20"/>
        </w:rPr>
        <w:t>, továbbá</w:t>
      </w:r>
      <w:r w:rsidR="003777F5" w:rsidRPr="003777F5">
        <w:rPr>
          <w:i/>
          <w:iCs/>
          <w:sz w:val="20"/>
          <w:szCs w:val="20"/>
        </w:rPr>
        <w:t xml:space="preserve"> a </w:t>
      </w:r>
      <w:r w:rsidR="0099305C">
        <w:rPr>
          <w:i/>
          <w:iCs/>
          <w:sz w:val="20"/>
          <w:szCs w:val="20"/>
        </w:rPr>
        <w:t xml:space="preserve">VI. ker. </w:t>
      </w:r>
      <w:r w:rsidR="003777F5" w:rsidRPr="003777F5">
        <w:rPr>
          <w:i/>
          <w:iCs/>
          <w:sz w:val="20"/>
          <w:szCs w:val="20"/>
        </w:rPr>
        <w:t>Nagymező u. 8. fszt.7. (</w:t>
      </w:r>
      <w:bookmarkStart w:id="0" w:name="_Hlk59009190"/>
      <w:r w:rsidR="003777F5" w:rsidRPr="003777F5">
        <w:rPr>
          <w:i/>
          <w:iCs/>
          <w:sz w:val="20"/>
          <w:szCs w:val="20"/>
        </w:rPr>
        <w:t>29356/0/A/12 hrsz</w:t>
      </w:r>
      <w:bookmarkEnd w:id="0"/>
      <w:r w:rsidR="003777F5" w:rsidRPr="003777F5">
        <w:rPr>
          <w:i/>
          <w:iCs/>
          <w:sz w:val="20"/>
          <w:szCs w:val="20"/>
        </w:rPr>
        <w:t>.)</w:t>
      </w:r>
      <w:r w:rsidR="003777F5">
        <w:rPr>
          <w:sz w:val="20"/>
          <w:szCs w:val="20"/>
        </w:rPr>
        <w:t xml:space="preserve"> -</w:t>
      </w:r>
      <w:r w:rsidRPr="00671B96">
        <w:rPr>
          <w:sz w:val="20"/>
          <w:szCs w:val="20"/>
        </w:rPr>
        <w:t xml:space="preserve"> megvásárlásáról a </w:t>
      </w:r>
      <w:r>
        <w:rPr>
          <w:sz w:val="20"/>
          <w:szCs w:val="20"/>
        </w:rPr>
        <w:t>Társaság</w:t>
      </w:r>
      <w:r w:rsidRPr="00671B96">
        <w:rPr>
          <w:sz w:val="20"/>
          <w:szCs w:val="20"/>
        </w:rPr>
        <w:t xml:space="preserve"> feladatellátásához szükséges további ingatlanok magyar állam általi megvásárlásához szükséges kormányzati intézkedésekről szóló 1433/2020.(VII.23.) Korm.határozat rendelkezett, tekintettel arra, hogy a kormányzati szándék szerint minden a Társaság által használt ingatlan </w:t>
      </w:r>
      <w:r w:rsidR="003D67EA">
        <w:rPr>
          <w:sz w:val="20"/>
          <w:szCs w:val="20"/>
        </w:rPr>
        <w:t xml:space="preserve">(a továbbiakban: </w:t>
      </w:r>
      <w:r w:rsidR="003D67EA" w:rsidRPr="003D67EA">
        <w:rPr>
          <w:b/>
          <w:bCs/>
          <w:sz w:val="20"/>
          <w:szCs w:val="20"/>
        </w:rPr>
        <w:t>Ingatlanok</w:t>
      </w:r>
      <w:r w:rsidR="003D67EA">
        <w:rPr>
          <w:sz w:val="20"/>
          <w:szCs w:val="20"/>
        </w:rPr>
        <w:t xml:space="preserve">) </w:t>
      </w:r>
      <w:r w:rsidRPr="00671B96">
        <w:rPr>
          <w:sz w:val="20"/>
          <w:szCs w:val="20"/>
        </w:rPr>
        <w:t xml:space="preserve">és </w:t>
      </w:r>
      <w:r w:rsidR="00E74BB0" w:rsidRPr="00671B96">
        <w:rPr>
          <w:sz w:val="20"/>
          <w:szCs w:val="20"/>
        </w:rPr>
        <w:t>benn</w:t>
      </w:r>
      <w:r w:rsidR="00E74BB0">
        <w:rPr>
          <w:sz w:val="20"/>
          <w:szCs w:val="20"/>
        </w:rPr>
        <w:t>ük</w:t>
      </w:r>
      <w:r w:rsidR="00E74BB0" w:rsidRPr="00671B96">
        <w:rPr>
          <w:sz w:val="20"/>
          <w:szCs w:val="20"/>
        </w:rPr>
        <w:t xml:space="preserve"> </w:t>
      </w:r>
      <w:r w:rsidRPr="00671B96">
        <w:rPr>
          <w:sz w:val="20"/>
          <w:szCs w:val="20"/>
        </w:rPr>
        <w:t>lévő, a feladatellátáshoz szükséges ingóság</w:t>
      </w:r>
      <w:r w:rsidR="00E74BB0">
        <w:rPr>
          <w:sz w:val="20"/>
          <w:szCs w:val="20"/>
        </w:rPr>
        <w:t>ok</w:t>
      </w:r>
      <w:r w:rsidRPr="00671B96">
        <w:rPr>
          <w:sz w:val="20"/>
          <w:szCs w:val="20"/>
        </w:rPr>
        <w:t xml:space="preserve"> megszerzése volt a cél</w:t>
      </w:r>
      <w:r>
        <w:rPr>
          <w:sz w:val="20"/>
          <w:szCs w:val="20"/>
        </w:rPr>
        <w:t xml:space="preserve"> (</w:t>
      </w:r>
      <w:r w:rsidR="00937EE7" w:rsidRPr="00937EE7">
        <w:rPr>
          <w:b/>
          <w:bCs/>
          <w:sz w:val="20"/>
          <w:szCs w:val="20"/>
        </w:rPr>
        <w:t>3.sz. melléklet</w:t>
      </w:r>
      <w:r w:rsidR="00937EE7">
        <w:rPr>
          <w:sz w:val="20"/>
          <w:szCs w:val="20"/>
        </w:rPr>
        <w:t xml:space="preserve"> – Tulajdoni lapok; </w:t>
      </w:r>
      <w:r w:rsidR="00937EE7">
        <w:rPr>
          <w:b/>
          <w:bCs/>
          <w:sz w:val="20"/>
          <w:szCs w:val="20"/>
        </w:rPr>
        <w:t>4</w:t>
      </w:r>
      <w:r w:rsidRPr="00671B96">
        <w:rPr>
          <w:b/>
          <w:bCs/>
          <w:sz w:val="20"/>
          <w:szCs w:val="20"/>
        </w:rPr>
        <w:t>.sz. melléklet</w:t>
      </w:r>
      <w:r>
        <w:rPr>
          <w:sz w:val="20"/>
          <w:szCs w:val="20"/>
        </w:rPr>
        <w:t>: Korm.határozatok)</w:t>
      </w:r>
      <w:r w:rsidR="00937EE7">
        <w:rPr>
          <w:sz w:val="20"/>
          <w:szCs w:val="20"/>
        </w:rPr>
        <w:t>.</w:t>
      </w:r>
      <w:r w:rsidRPr="00671B96">
        <w:rPr>
          <w:sz w:val="20"/>
          <w:szCs w:val="20"/>
        </w:rPr>
        <w:t xml:space="preserve"> </w:t>
      </w:r>
    </w:p>
    <w:p w14:paraId="38A3B360" w14:textId="2EA17343" w:rsidR="0099305C" w:rsidRDefault="003777F5" w:rsidP="00B451D7">
      <w:pPr>
        <w:pStyle w:val="BPszvegtest"/>
        <w:spacing w:before="240" w:line="360" w:lineRule="auto"/>
        <w:rPr>
          <w:sz w:val="20"/>
          <w:szCs w:val="20"/>
        </w:rPr>
      </w:pPr>
      <w:r w:rsidRPr="003777F5">
        <w:rPr>
          <w:sz w:val="20"/>
          <w:szCs w:val="20"/>
        </w:rPr>
        <w:t xml:space="preserve">Az Ingatlanok </w:t>
      </w:r>
      <w:r w:rsidR="0099305C">
        <w:rPr>
          <w:sz w:val="20"/>
          <w:szCs w:val="20"/>
        </w:rPr>
        <w:t xml:space="preserve">a VI. ker. </w:t>
      </w:r>
      <w:r w:rsidR="0099305C" w:rsidRPr="003777F5">
        <w:rPr>
          <w:sz w:val="20"/>
          <w:szCs w:val="20"/>
        </w:rPr>
        <w:t>Nagymező u. 8. fszt.7. sz. alatti ingatlan</w:t>
      </w:r>
      <w:r w:rsidR="0099305C">
        <w:rPr>
          <w:sz w:val="20"/>
          <w:szCs w:val="20"/>
        </w:rPr>
        <w:t xml:space="preserve"> (</w:t>
      </w:r>
      <w:r w:rsidR="0099305C" w:rsidRPr="003777F5">
        <w:rPr>
          <w:sz w:val="20"/>
          <w:szCs w:val="20"/>
        </w:rPr>
        <w:t>29356/0/A/12 hrsz</w:t>
      </w:r>
      <w:r w:rsidR="0099305C">
        <w:rPr>
          <w:sz w:val="20"/>
          <w:szCs w:val="20"/>
        </w:rPr>
        <w:t xml:space="preserve">.) </w:t>
      </w:r>
      <w:r w:rsidR="0099305C" w:rsidRPr="003777F5">
        <w:rPr>
          <w:sz w:val="20"/>
          <w:szCs w:val="20"/>
        </w:rPr>
        <w:t xml:space="preserve"> </w:t>
      </w:r>
      <w:r w:rsidRPr="003777F5">
        <w:rPr>
          <w:sz w:val="20"/>
          <w:szCs w:val="20"/>
        </w:rPr>
        <w:t xml:space="preserve">kivételével a Társaság birtokában és használatában vannak. </w:t>
      </w:r>
    </w:p>
    <w:p w14:paraId="1EC9B608" w14:textId="7BBA6438" w:rsidR="00B6108D" w:rsidRDefault="003777F5" w:rsidP="00B451D7">
      <w:pPr>
        <w:pStyle w:val="BPszvegtest"/>
        <w:spacing w:before="240" w:line="360" w:lineRule="auto"/>
        <w:rPr>
          <w:sz w:val="20"/>
          <w:szCs w:val="20"/>
        </w:rPr>
      </w:pPr>
      <w:r w:rsidRPr="003777F5">
        <w:rPr>
          <w:sz w:val="20"/>
          <w:szCs w:val="20"/>
        </w:rPr>
        <w:t xml:space="preserve">Az Üzletrész, valamint az Ingatlanok külön szerződéssel, egyidejűleg </w:t>
      </w:r>
      <w:r w:rsidR="00E74BB0">
        <w:rPr>
          <w:sz w:val="20"/>
          <w:szCs w:val="20"/>
        </w:rPr>
        <w:t xml:space="preserve">(jogi szempontból ún. dologösszességként, oszthatatlan szolgáltatásként) kerülnek </w:t>
      </w:r>
      <w:r w:rsidRPr="003777F5">
        <w:rPr>
          <w:sz w:val="20"/>
          <w:szCs w:val="20"/>
        </w:rPr>
        <w:t xml:space="preserve">értékesítésre. </w:t>
      </w:r>
    </w:p>
    <w:p w14:paraId="6450A386" w14:textId="77777777" w:rsidR="00C72652" w:rsidRDefault="00B6108D" w:rsidP="00B451D7">
      <w:pPr>
        <w:pStyle w:val="BPszvegtest"/>
        <w:spacing w:before="240" w:line="360" w:lineRule="auto"/>
        <w:rPr>
          <w:sz w:val="20"/>
          <w:szCs w:val="20"/>
        </w:rPr>
      </w:pPr>
      <w:r w:rsidRPr="00B6108D">
        <w:rPr>
          <w:sz w:val="20"/>
          <w:szCs w:val="20"/>
        </w:rPr>
        <w:t xml:space="preserve">Budapest Főváros Önkormányzata vagyonáról, a vagyonelemek feletti tulajdonosi jogok gyakorlásáról szóló 22/2012. (III. 14.) Főv. Kgy. rendelet (a továbbiakban: </w:t>
      </w:r>
      <w:r w:rsidRPr="00B6108D">
        <w:rPr>
          <w:b/>
          <w:bCs/>
          <w:sz w:val="20"/>
          <w:szCs w:val="20"/>
        </w:rPr>
        <w:t>Vagyonrendelet</w:t>
      </w:r>
      <w:r w:rsidRPr="00B6108D">
        <w:rPr>
          <w:sz w:val="20"/>
          <w:szCs w:val="20"/>
        </w:rPr>
        <w:t>) 12. § (1) bekezdésének d.) pontja értelmében az adott vagyonelem értékét nettó értéken, „egyéb társasági részesedés esetén” 12 hónapnál nem régebbi üzleti értékelés alapján kell meghatározni. A Vagyonrendelet alapján „Üzleti értékelés: az adott gazdasági társaság tőkeszerkezetére, gazdasági-pénzügyi helyzetére, vagyoni viszonyaira, üzleti-piaci pozícióira vonatkozó komplex közgazdasági elemzés.” A Vagyonrendelet 4. melléklet 1. a.) pontja értelmében a Fővárosi Önkormányzat kizárólagos joggal rendelkező önkormányzati társasága</w:t>
      </w:r>
      <w:r>
        <w:rPr>
          <w:sz w:val="20"/>
          <w:szCs w:val="20"/>
        </w:rPr>
        <w:t xml:space="preserve">, Budapest Főváros Vagyonkezelő Központ Zrt. (a továbbiakban: </w:t>
      </w:r>
      <w:r w:rsidRPr="00C72652">
        <w:rPr>
          <w:b/>
          <w:bCs/>
          <w:sz w:val="20"/>
          <w:szCs w:val="20"/>
        </w:rPr>
        <w:t>BFVK Zrt</w:t>
      </w:r>
      <w:r w:rsidRPr="00B6108D">
        <w:rPr>
          <w:sz w:val="20"/>
          <w:szCs w:val="20"/>
        </w:rPr>
        <w:t>.</w:t>
      </w:r>
      <w:r>
        <w:rPr>
          <w:sz w:val="20"/>
          <w:szCs w:val="20"/>
        </w:rPr>
        <w:t>)</w:t>
      </w:r>
      <w:r w:rsidRPr="00B6108D">
        <w:rPr>
          <w:sz w:val="20"/>
          <w:szCs w:val="20"/>
        </w:rPr>
        <w:t xml:space="preserve"> </w:t>
      </w:r>
      <w:r>
        <w:rPr>
          <w:sz w:val="20"/>
          <w:szCs w:val="20"/>
        </w:rPr>
        <w:t xml:space="preserve">feladata </w:t>
      </w:r>
      <w:r w:rsidRPr="00B6108D">
        <w:rPr>
          <w:sz w:val="20"/>
          <w:szCs w:val="20"/>
        </w:rPr>
        <w:t xml:space="preserve">az önkormányzati vagyon értékbecslésének és társasági üzleti részesedés értékelésének elkészítése. </w:t>
      </w:r>
      <w:r w:rsidR="003777F5" w:rsidRPr="003777F5">
        <w:rPr>
          <w:sz w:val="20"/>
          <w:szCs w:val="20"/>
        </w:rPr>
        <w:t xml:space="preserve">A forgalmi értékeket az MNV Zrt. által felkért független szakértő, az A.N.Z.S.Ó. 2001 Szolgáltató és Kereskedelmi Kft., valamint </w:t>
      </w:r>
      <w:r w:rsidR="00030979">
        <w:rPr>
          <w:sz w:val="20"/>
          <w:szCs w:val="20"/>
        </w:rPr>
        <w:t>a BFVK Zrt.</w:t>
      </w:r>
      <w:r w:rsidR="003777F5" w:rsidRPr="003777F5">
        <w:rPr>
          <w:sz w:val="20"/>
          <w:szCs w:val="20"/>
        </w:rPr>
        <w:t xml:space="preserve"> egymástól függetlenül határozta meg.</w:t>
      </w:r>
      <w:r w:rsidR="00C72652">
        <w:rPr>
          <w:sz w:val="20"/>
          <w:szCs w:val="20"/>
        </w:rPr>
        <w:t xml:space="preserve"> </w:t>
      </w:r>
    </w:p>
    <w:p w14:paraId="51840897" w14:textId="2307506D" w:rsidR="00C72652" w:rsidRPr="00285073" w:rsidRDefault="00C72652" w:rsidP="00B451D7">
      <w:pPr>
        <w:pStyle w:val="BPszvegtest"/>
        <w:spacing w:before="240" w:line="360" w:lineRule="auto"/>
        <w:rPr>
          <w:sz w:val="20"/>
          <w:szCs w:val="20"/>
        </w:rPr>
      </w:pPr>
      <w:r>
        <w:rPr>
          <w:sz w:val="20"/>
          <w:szCs w:val="20"/>
        </w:rPr>
        <w:t xml:space="preserve">A szakértői vélemények terjedelmi okokból nem kerülnek csatolásra, azok a Vagyongazdálkodási Főosztályon </w:t>
      </w:r>
      <w:r w:rsidRPr="00285073">
        <w:rPr>
          <w:sz w:val="20"/>
          <w:szCs w:val="20"/>
        </w:rPr>
        <w:t>(FPH058/1300/2020. aktában) megtekinthetők</w:t>
      </w:r>
      <w:r w:rsidR="009E163F" w:rsidRPr="00285073">
        <w:rPr>
          <w:sz w:val="20"/>
          <w:szCs w:val="20"/>
        </w:rPr>
        <w:t>, k</w:t>
      </w:r>
      <w:r w:rsidRPr="00285073">
        <w:rPr>
          <w:sz w:val="20"/>
          <w:szCs w:val="20"/>
        </w:rPr>
        <w:t>ivonatolt tartalmukat az alábbi táblázat foglalja össze.</w:t>
      </w:r>
    </w:p>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6"/>
        <w:gridCol w:w="2704"/>
        <w:gridCol w:w="1380"/>
        <w:gridCol w:w="1267"/>
        <w:gridCol w:w="1407"/>
        <w:gridCol w:w="1408"/>
      </w:tblGrid>
      <w:tr w:rsidR="009E163F" w:rsidRPr="00285073" w14:paraId="42FAC9C1" w14:textId="77777777" w:rsidTr="009E163F">
        <w:trPr>
          <w:trHeight w:val="407"/>
        </w:trPr>
        <w:tc>
          <w:tcPr>
            <w:tcW w:w="1156" w:type="dxa"/>
            <w:tcMar>
              <w:top w:w="0" w:type="dxa"/>
              <w:left w:w="70" w:type="dxa"/>
              <w:bottom w:w="0" w:type="dxa"/>
              <w:right w:w="70" w:type="dxa"/>
            </w:tcMar>
          </w:tcPr>
          <w:p w14:paraId="0500E612" w14:textId="77777777" w:rsidR="007C720A" w:rsidRPr="00F45BE0" w:rsidRDefault="007C720A">
            <w:pPr>
              <w:autoSpaceDE w:val="0"/>
              <w:autoSpaceDN w:val="0"/>
              <w:jc w:val="right"/>
              <w:rPr>
                <w:rFonts w:cs="Arial"/>
                <w:color w:val="000000"/>
                <w:sz w:val="18"/>
                <w:szCs w:val="18"/>
                <w:lang w:eastAsia="hu-HU"/>
              </w:rPr>
            </w:pPr>
          </w:p>
        </w:tc>
        <w:tc>
          <w:tcPr>
            <w:tcW w:w="2704" w:type="dxa"/>
            <w:tcMar>
              <w:top w:w="0" w:type="dxa"/>
              <w:left w:w="70" w:type="dxa"/>
              <w:bottom w:w="0" w:type="dxa"/>
              <w:right w:w="70" w:type="dxa"/>
            </w:tcMar>
            <w:hideMark/>
          </w:tcPr>
          <w:p w14:paraId="0E86FD4F" w14:textId="6B0360F2" w:rsidR="007C720A" w:rsidRPr="00F45BE0" w:rsidRDefault="007C720A">
            <w:pPr>
              <w:autoSpaceDE w:val="0"/>
              <w:autoSpaceDN w:val="0"/>
              <w:jc w:val="center"/>
              <w:rPr>
                <w:rFonts w:cs="Arial"/>
                <w:b/>
                <w:bCs/>
                <w:color w:val="000000"/>
                <w:sz w:val="18"/>
                <w:szCs w:val="18"/>
              </w:rPr>
            </w:pPr>
            <w:r w:rsidRPr="00F45BE0">
              <w:rPr>
                <w:rFonts w:cs="Arial"/>
                <w:b/>
                <w:bCs/>
                <w:color w:val="000000"/>
                <w:sz w:val="18"/>
                <w:szCs w:val="18"/>
              </w:rPr>
              <w:t>Thália Színház ingatlanok</w:t>
            </w:r>
          </w:p>
        </w:tc>
        <w:tc>
          <w:tcPr>
            <w:tcW w:w="1380" w:type="dxa"/>
            <w:tcMar>
              <w:top w:w="0" w:type="dxa"/>
              <w:left w:w="70" w:type="dxa"/>
              <w:bottom w:w="0" w:type="dxa"/>
              <w:right w:w="70" w:type="dxa"/>
            </w:tcMar>
            <w:hideMark/>
          </w:tcPr>
          <w:p w14:paraId="6BB07F16" w14:textId="6753E373" w:rsidR="007C720A" w:rsidRPr="00F45BE0" w:rsidRDefault="007C720A">
            <w:pPr>
              <w:autoSpaceDE w:val="0"/>
              <w:autoSpaceDN w:val="0"/>
              <w:jc w:val="center"/>
              <w:rPr>
                <w:rFonts w:cs="Arial"/>
                <w:b/>
                <w:bCs/>
                <w:color w:val="000000"/>
                <w:sz w:val="18"/>
                <w:szCs w:val="18"/>
              </w:rPr>
            </w:pPr>
            <w:r w:rsidRPr="00F45BE0">
              <w:rPr>
                <w:rFonts w:cs="Arial"/>
                <w:b/>
                <w:bCs/>
                <w:color w:val="000000"/>
                <w:sz w:val="18"/>
                <w:szCs w:val="18"/>
              </w:rPr>
              <w:t>Korm.hat-ban szereplő hrsz.</w:t>
            </w:r>
          </w:p>
        </w:tc>
        <w:tc>
          <w:tcPr>
            <w:tcW w:w="1267" w:type="dxa"/>
            <w:tcMar>
              <w:top w:w="0" w:type="dxa"/>
              <w:left w:w="70" w:type="dxa"/>
              <w:bottom w:w="0" w:type="dxa"/>
              <w:right w:w="70" w:type="dxa"/>
            </w:tcMar>
            <w:hideMark/>
          </w:tcPr>
          <w:p w14:paraId="6D086274" w14:textId="09D8D510" w:rsidR="007C720A" w:rsidRPr="00F45BE0" w:rsidRDefault="007C720A">
            <w:pPr>
              <w:autoSpaceDE w:val="0"/>
              <w:autoSpaceDN w:val="0"/>
              <w:jc w:val="center"/>
              <w:rPr>
                <w:rFonts w:cs="Arial"/>
                <w:b/>
                <w:bCs/>
                <w:color w:val="000000"/>
                <w:sz w:val="18"/>
                <w:szCs w:val="18"/>
              </w:rPr>
            </w:pPr>
            <w:r w:rsidRPr="00F45BE0">
              <w:rPr>
                <w:rFonts w:cs="Arial"/>
                <w:b/>
                <w:bCs/>
                <w:color w:val="000000"/>
                <w:sz w:val="18"/>
                <w:szCs w:val="18"/>
              </w:rPr>
              <w:t>Ing-nyilv. szerinti hrsz.</w:t>
            </w:r>
          </w:p>
        </w:tc>
        <w:tc>
          <w:tcPr>
            <w:tcW w:w="1407" w:type="dxa"/>
            <w:tcMar>
              <w:top w:w="0" w:type="dxa"/>
              <w:left w:w="70" w:type="dxa"/>
              <w:bottom w:w="0" w:type="dxa"/>
              <w:right w:w="70" w:type="dxa"/>
            </w:tcMar>
            <w:hideMark/>
          </w:tcPr>
          <w:p w14:paraId="75B5F8E5" w14:textId="77777777" w:rsidR="007C720A" w:rsidRPr="00F45BE0" w:rsidRDefault="007C720A">
            <w:pPr>
              <w:autoSpaceDE w:val="0"/>
              <w:autoSpaceDN w:val="0"/>
              <w:jc w:val="center"/>
              <w:rPr>
                <w:rFonts w:cs="Arial"/>
                <w:b/>
                <w:bCs/>
                <w:color w:val="000000"/>
                <w:sz w:val="18"/>
                <w:szCs w:val="18"/>
              </w:rPr>
            </w:pPr>
            <w:r w:rsidRPr="00F45BE0">
              <w:rPr>
                <w:rFonts w:cs="Arial"/>
                <w:b/>
                <w:bCs/>
                <w:color w:val="000000"/>
                <w:sz w:val="18"/>
                <w:szCs w:val="18"/>
              </w:rPr>
              <w:t>BFVK értékelés</w:t>
            </w:r>
          </w:p>
        </w:tc>
        <w:tc>
          <w:tcPr>
            <w:tcW w:w="1408" w:type="dxa"/>
            <w:tcMar>
              <w:top w:w="0" w:type="dxa"/>
              <w:left w:w="70" w:type="dxa"/>
              <w:bottom w:w="0" w:type="dxa"/>
              <w:right w:w="70" w:type="dxa"/>
            </w:tcMar>
            <w:hideMark/>
          </w:tcPr>
          <w:p w14:paraId="611A53AA" w14:textId="77777777" w:rsidR="007C720A" w:rsidRPr="00F45BE0" w:rsidRDefault="007C720A">
            <w:pPr>
              <w:autoSpaceDE w:val="0"/>
              <w:autoSpaceDN w:val="0"/>
              <w:jc w:val="center"/>
              <w:rPr>
                <w:rFonts w:cs="Arial"/>
                <w:b/>
                <w:bCs/>
                <w:color w:val="000000"/>
                <w:sz w:val="18"/>
                <w:szCs w:val="18"/>
              </w:rPr>
            </w:pPr>
            <w:r w:rsidRPr="00F45BE0">
              <w:rPr>
                <w:rFonts w:cs="Arial"/>
                <w:b/>
                <w:bCs/>
                <w:color w:val="000000"/>
                <w:sz w:val="18"/>
                <w:szCs w:val="18"/>
              </w:rPr>
              <w:t>MNV értékelés</w:t>
            </w:r>
          </w:p>
        </w:tc>
      </w:tr>
      <w:tr w:rsidR="009E163F" w:rsidRPr="00285073" w14:paraId="452C5CF5" w14:textId="77777777" w:rsidTr="009E163F">
        <w:trPr>
          <w:trHeight w:val="407"/>
        </w:trPr>
        <w:tc>
          <w:tcPr>
            <w:tcW w:w="1156" w:type="dxa"/>
            <w:tcMar>
              <w:top w:w="0" w:type="dxa"/>
              <w:left w:w="70" w:type="dxa"/>
              <w:bottom w:w="0" w:type="dxa"/>
              <w:right w:w="70" w:type="dxa"/>
            </w:tcMar>
            <w:hideMark/>
          </w:tcPr>
          <w:p w14:paraId="2A1AC1AA"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I.</w:t>
            </w:r>
          </w:p>
        </w:tc>
        <w:tc>
          <w:tcPr>
            <w:tcW w:w="2704" w:type="dxa"/>
            <w:tcMar>
              <w:top w:w="0" w:type="dxa"/>
              <w:left w:w="70" w:type="dxa"/>
              <w:bottom w:w="0" w:type="dxa"/>
              <w:right w:w="70" w:type="dxa"/>
            </w:tcMar>
            <w:hideMark/>
          </w:tcPr>
          <w:p w14:paraId="5F845459"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Hajós u. 7. Művészbejáró, porta</w:t>
            </w:r>
          </w:p>
        </w:tc>
        <w:tc>
          <w:tcPr>
            <w:tcW w:w="1380" w:type="dxa"/>
            <w:tcMar>
              <w:top w:w="0" w:type="dxa"/>
              <w:left w:w="70" w:type="dxa"/>
              <w:bottom w:w="0" w:type="dxa"/>
              <w:right w:w="70" w:type="dxa"/>
            </w:tcMar>
            <w:hideMark/>
          </w:tcPr>
          <w:p w14:paraId="72A4C002"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29080/0/A/9</w:t>
            </w:r>
          </w:p>
        </w:tc>
        <w:tc>
          <w:tcPr>
            <w:tcW w:w="1267" w:type="dxa"/>
            <w:tcMar>
              <w:top w:w="0" w:type="dxa"/>
              <w:left w:w="70" w:type="dxa"/>
              <w:bottom w:w="0" w:type="dxa"/>
              <w:right w:w="70" w:type="dxa"/>
            </w:tcMar>
          </w:tcPr>
          <w:p w14:paraId="3566F939"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4A73DA25"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15 700 000</w:t>
            </w:r>
          </w:p>
        </w:tc>
        <w:tc>
          <w:tcPr>
            <w:tcW w:w="1408" w:type="dxa"/>
            <w:tcMar>
              <w:top w:w="0" w:type="dxa"/>
              <w:left w:w="70" w:type="dxa"/>
              <w:bottom w:w="0" w:type="dxa"/>
              <w:right w:w="70" w:type="dxa"/>
            </w:tcMar>
            <w:hideMark/>
          </w:tcPr>
          <w:p w14:paraId="5984A07F"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17 000 000   </w:t>
            </w:r>
          </w:p>
        </w:tc>
      </w:tr>
      <w:tr w:rsidR="009E163F" w:rsidRPr="00285073" w14:paraId="44D9DE21" w14:textId="77777777" w:rsidTr="009E163F">
        <w:trPr>
          <w:trHeight w:val="407"/>
        </w:trPr>
        <w:tc>
          <w:tcPr>
            <w:tcW w:w="1156" w:type="dxa"/>
            <w:tcMar>
              <w:top w:w="0" w:type="dxa"/>
              <w:left w:w="70" w:type="dxa"/>
              <w:bottom w:w="0" w:type="dxa"/>
              <w:right w:w="70" w:type="dxa"/>
            </w:tcMar>
            <w:hideMark/>
          </w:tcPr>
          <w:p w14:paraId="51F6F8F2"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II.</w:t>
            </w:r>
          </w:p>
        </w:tc>
        <w:tc>
          <w:tcPr>
            <w:tcW w:w="2704" w:type="dxa"/>
            <w:tcMar>
              <w:top w:w="0" w:type="dxa"/>
              <w:left w:w="70" w:type="dxa"/>
              <w:bottom w:w="0" w:type="dxa"/>
              <w:right w:w="70" w:type="dxa"/>
            </w:tcMar>
            <w:hideMark/>
          </w:tcPr>
          <w:p w14:paraId="0AB942DE"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Hajós u. 9. fszt. 4. Kávézó</w:t>
            </w:r>
          </w:p>
        </w:tc>
        <w:tc>
          <w:tcPr>
            <w:tcW w:w="1380" w:type="dxa"/>
            <w:tcMar>
              <w:top w:w="0" w:type="dxa"/>
              <w:left w:w="70" w:type="dxa"/>
              <w:bottom w:w="0" w:type="dxa"/>
              <w:right w:w="70" w:type="dxa"/>
            </w:tcMar>
            <w:hideMark/>
          </w:tcPr>
          <w:p w14:paraId="00470828"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29081/0/A/2</w:t>
            </w:r>
          </w:p>
        </w:tc>
        <w:tc>
          <w:tcPr>
            <w:tcW w:w="1267" w:type="dxa"/>
            <w:tcMar>
              <w:top w:w="0" w:type="dxa"/>
              <w:left w:w="70" w:type="dxa"/>
              <w:bottom w:w="0" w:type="dxa"/>
              <w:right w:w="70" w:type="dxa"/>
            </w:tcMar>
          </w:tcPr>
          <w:p w14:paraId="4010A146"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5907E3DB"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42 000 000</w:t>
            </w:r>
          </w:p>
        </w:tc>
        <w:tc>
          <w:tcPr>
            <w:tcW w:w="1408" w:type="dxa"/>
            <w:tcMar>
              <w:top w:w="0" w:type="dxa"/>
              <w:left w:w="70" w:type="dxa"/>
              <w:bottom w:w="0" w:type="dxa"/>
              <w:right w:w="70" w:type="dxa"/>
            </w:tcMar>
            <w:hideMark/>
          </w:tcPr>
          <w:p w14:paraId="1EBD203A"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44 900 000   </w:t>
            </w:r>
          </w:p>
        </w:tc>
      </w:tr>
      <w:tr w:rsidR="009E163F" w:rsidRPr="00285073" w14:paraId="7668A961" w14:textId="77777777" w:rsidTr="009E163F">
        <w:trPr>
          <w:trHeight w:val="407"/>
        </w:trPr>
        <w:tc>
          <w:tcPr>
            <w:tcW w:w="1156" w:type="dxa"/>
            <w:tcMar>
              <w:top w:w="0" w:type="dxa"/>
              <w:left w:w="70" w:type="dxa"/>
              <w:bottom w:w="0" w:type="dxa"/>
              <w:right w:w="70" w:type="dxa"/>
            </w:tcMar>
            <w:hideMark/>
          </w:tcPr>
          <w:p w14:paraId="752B81B6"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III.</w:t>
            </w:r>
          </w:p>
        </w:tc>
        <w:tc>
          <w:tcPr>
            <w:tcW w:w="2704" w:type="dxa"/>
            <w:tcMar>
              <w:top w:w="0" w:type="dxa"/>
              <w:left w:w="70" w:type="dxa"/>
              <w:bottom w:w="0" w:type="dxa"/>
              <w:right w:w="70" w:type="dxa"/>
            </w:tcMar>
            <w:hideMark/>
          </w:tcPr>
          <w:p w14:paraId="211C0846" w14:textId="77777777" w:rsidR="007C720A" w:rsidRPr="00F45BE0" w:rsidRDefault="007C720A">
            <w:pPr>
              <w:autoSpaceDE w:val="0"/>
              <w:autoSpaceDN w:val="0"/>
              <w:rPr>
                <w:rFonts w:cs="Arial"/>
                <w:sz w:val="18"/>
                <w:szCs w:val="18"/>
              </w:rPr>
            </w:pPr>
            <w:r w:rsidRPr="00F45BE0">
              <w:rPr>
                <w:rFonts w:cs="Arial"/>
                <w:sz w:val="18"/>
                <w:szCs w:val="18"/>
              </w:rPr>
              <w:t>Nagymező u. 22-24. Télikert</w:t>
            </w:r>
          </w:p>
        </w:tc>
        <w:tc>
          <w:tcPr>
            <w:tcW w:w="1380" w:type="dxa"/>
            <w:tcMar>
              <w:top w:w="0" w:type="dxa"/>
              <w:left w:w="70" w:type="dxa"/>
              <w:bottom w:w="0" w:type="dxa"/>
              <w:right w:w="70" w:type="dxa"/>
            </w:tcMar>
            <w:hideMark/>
          </w:tcPr>
          <w:p w14:paraId="4B76214C" w14:textId="77777777" w:rsidR="007C720A" w:rsidRPr="00F45BE0" w:rsidRDefault="007C720A">
            <w:pPr>
              <w:autoSpaceDE w:val="0"/>
              <w:autoSpaceDN w:val="0"/>
              <w:jc w:val="center"/>
              <w:rPr>
                <w:rFonts w:cs="Arial"/>
                <w:sz w:val="18"/>
                <w:szCs w:val="18"/>
              </w:rPr>
            </w:pPr>
            <w:r w:rsidRPr="00F45BE0">
              <w:rPr>
                <w:rFonts w:cs="Arial"/>
                <w:sz w:val="18"/>
                <w:szCs w:val="18"/>
              </w:rPr>
              <w:t>29086/0/A/1</w:t>
            </w:r>
          </w:p>
        </w:tc>
        <w:tc>
          <w:tcPr>
            <w:tcW w:w="1267" w:type="dxa"/>
            <w:tcMar>
              <w:top w:w="0" w:type="dxa"/>
              <w:left w:w="70" w:type="dxa"/>
              <w:bottom w:w="0" w:type="dxa"/>
              <w:right w:w="70" w:type="dxa"/>
            </w:tcMar>
          </w:tcPr>
          <w:p w14:paraId="0DE83F79" w14:textId="77777777" w:rsidR="007C720A" w:rsidRPr="00F45BE0" w:rsidRDefault="007C720A">
            <w:pPr>
              <w:autoSpaceDE w:val="0"/>
              <w:autoSpaceDN w:val="0"/>
              <w:jc w:val="center"/>
              <w:rPr>
                <w:rFonts w:cs="Arial"/>
                <w:sz w:val="18"/>
                <w:szCs w:val="18"/>
              </w:rPr>
            </w:pPr>
          </w:p>
        </w:tc>
        <w:tc>
          <w:tcPr>
            <w:tcW w:w="1407" w:type="dxa"/>
            <w:tcMar>
              <w:top w:w="0" w:type="dxa"/>
              <w:left w:w="70" w:type="dxa"/>
              <w:bottom w:w="0" w:type="dxa"/>
              <w:right w:w="70" w:type="dxa"/>
            </w:tcMar>
            <w:hideMark/>
          </w:tcPr>
          <w:p w14:paraId="21D7B6C9" w14:textId="77777777" w:rsidR="007C720A" w:rsidRPr="00F45BE0" w:rsidRDefault="007C720A">
            <w:pPr>
              <w:autoSpaceDE w:val="0"/>
              <w:autoSpaceDN w:val="0"/>
              <w:jc w:val="right"/>
              <w:rPr>
                <w:rFonts w:cs="Arial"/>
                <w:sz w:val="18"/>
                <w:szCs w:val="18"/>
              </w:rPr>
            </w:pPr>
            <w:r w:rsidRPr="00F45BE0">
              <w:rPr>
                <w:rFonts w:cs="Arial"/>
                <w:sz w:val="18"/>
                <w:szCs w:val="18"/>
              </w:rPr>
              <w:t>920 100 000</w:t>
            </w:r>
          </w:p>
        </w:tc>
        <w:tc>
          <w:tcPr>
            <w:tcW w:w="1408" w:type="dxa"/>
            <w:tcMar>
              <w:top w:w="0" w:type="dxa"/>
              <w:left w:w="70" w:type="dxa"/>
              <w:bottom w:w="0" w:type="dxa"/>
              <w:right w:w="70" w:type="dxa"/>
            </w:tcMar>
            <w:hideMark/>
          </w:tcPr>
          <w:p w14:paraId="6B8C0ED7" w14:textId="77777777" w:rsidR="007C720A" w:rsidRPr="00F45BE0" w:rsidRDefault="007C720A">
            <w:pPr>
              <w:autoSpaceDE w:val="0"/>
              <w:autoSpaceDN w:val="0"/>
              <w:jc w:val="right"/>
              <w:rPr>
                <w:rFonts w:cs="Arial"/>
                <w:sz w:val="18"/>
                <w:szCs w:val="18"/>
              </w:rPr>
            </w:pPr>
            <w:r w:rsidRPr="00F45BE0">
              <w:rPr>
                <w:rFonts w:cs="Arial"/>
                <w:sz w:val="18"/>
                <w:szCs w:val="18"/>
              </w:rPr>
              <w:t xml:space="preserve">744 000 000   </w:t>
            </w:r>
          </w:p>
        </w:tc>
      </w:tr>
      <w:tr w:rsidR="009E163F" w:rsidRPr="00285073" w14:paraId="45769E70" w14:textId="77777777" w:rsidTr="009E163F">
        <w:trPr>
          <w:trHeight w:val="407"/>
        </w:trPr>
        <w:tc>
          <w:tcPr>
            <w:tcW w:w="1156" w:type="dxa"/>
            <w:tcMar>
              <w:top w:w="0" w:type="dxa"/>
              <w:left w:w="70" w:type="dxa"/>
              <w:bottom w:w="0" w:type="dxa"/>
              <w:right w:w="70" w:type="dxa"/>
            </w:tcMar>
            <w:hideMark/>
          </w:tcPr>
          <w:p w14:paraId="2836E826"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IV.</w:t>
            </w:r>
          </w:p>
        </w:tc>
        <w:tc>
          <w:tcPr>
            <w:tcW w:w="2704" w:type="dxa"/>
            <w:tcMar>
              <w:top w:w="0" w:type="dxa"/>
              <w:left w:w="70" w:type="dxa"/>
              <w:bottom w:w="0" w:type="dxa"/>
              <w:right w:w="70" w:type="dxa"/>
            </w:tcMar>
            <w:hideMark/>
          </w:tcPr>
          <w:p w14:paraId="5D74C1A9" w14:textId="77777777" w:rsidR="007C720A" w:rsidRPr="00F45BE0" w:rsidRDefault="007C720A">
            <w:pPr>
              <w:autoSpaceDE w:val="0"/>
              <w:autoSpaceDN w:val="0"/>
              <w:rPr>
                <w:rFonts w:cs="Arial"/>
                <w:sz w:val="18"/>
                <w:szCs w:val="18"/>
              </w:rPr>
            </w:pPr>
            <w:r w:rsidRPr="00F45BE0">
              <w:rPr>
                <w:rFonts w:cs="Arial"/>
                <w:sz w:val="18"/>
                <w:szCs w:val="18"/>
              </w:rPr>
              <w:t>Nagymező u. 22-24. Nagyszínpad, nézőtér</w:t>
            </w:r>
          </w:p>
        </w:tc>
        <w:tc>
          <w:tcPr>
            <w:tcW w:w="1380" w:type="dxa"/>
            <w:tcMar>
              <w:top w:w="0" w:type="dxa"/>
              <w:left w:w="70" w:type="dxa"/>
              <w:bottom w:w="0" w:type="dxa"/>
              <w:right w:w="70" w:type="dxa"/>
            </w:tcMar>
            <w:hideMark/>
          </w:tcPr>
          <w:p w14:paraId="633651A6" w14:textId="77777777" w:rsidR="007C720A" w:rsidRPr="00F45BE0" w:rsidRDefault="007C720A">
            <w:pPr>
              <w:autoSpaceDE w:val="0"/>
              <w:autoSpaceDN w:val="0"/>
              <w:jc w:val="center"/>
              <w:rPr>
                <w:rFonts w:cs="Arial"/>
                <w:sz w:val="18"/>
                <w:szCs w:val="18"/>
              </w:rPr>
            </w:pPr>
            <w:r w:rsidRPr="00F45BE0">
              <w:rPr>
                <w:rFonts w:cs="Arial"/>
                <w:sz w:val="18"/>
                <w:szCs w:val="18"/>
              </w:rPr>
              <w:t>29086/0/A/2</w:t>
            </w:r>
          </w:p>
        </w:tc>
        <w:tc>
          <w:tcPr>
            <w:tcW w:w="1267" w:type="dxa"/>
            <w:tcMar>
              <w:top w:w="0" w:type="dxa"/>
              <w:left w:w="70" w:type="dxa"/>
              <w:bottom w:w="0" w:type="dxa"/>
              <w:right w:w="70" w:type="dxa"/>
            </w:tcMar>
          </w:tcPr>
          <w:p w14:paraId="35E744AB" w14:textId="77777777" w:rsidR="007C720A" w:rsidRPr="00F45BE0" w:rsidRDefault="007C720A">
            <w:pPr>
              <w:autoSpaceDE w:val="0"/>
              <w:autoSpaceDN w:val="0"/>
              <w:jc w:val="center"/>
              <w:rPr>
                <w:rFonts w:cs="Arial"/>
                <w:sz w:val="18"/>
                <w:szCs w:val="18"/>
              </w:rPr>
            </w:pPr>
          </w:p>
        </w:tc>
        <w:tc>
          <w:tcPr>
            <w:tcW w:w="1407" w:type="dxa"/>
            <w:tcMar>
              <w:top w:w="0" w:type="dxa"/>
              <w:left w:w="70" w:type="dxa"/>
              <w:bottom w:w="0" w:type="dxa"/>
              <w:right w:w="70" w:type="dxa"/>
            </w:tcMar>
            <w:hideMark/>
          </w:tcPr>
          <w:p w14:paraId="0442152A" w14:textId="77777777" w:rsidR="007C720A" w:rsidRPr="00F45BE0" w:rsidRDefault="007C720A">
            <w:pPr>
              <w:autoSpaceDE w:val="0"/>
              <w:autoSpaceDN w:val="0"/>
              <w:jc w:val="right"/>
              <w:rPr>
                <w:rFonts w:cs="Arial"/>
                <w:sz w:val="18"/>
                <w:szCs w:val="18"/>
              </w:rPr>
            </w:pPr>
            <w:r w:rsidRPr="00F45BE0">
              <w:rPr>
                <w:rFonts w:cs="Arial"/>
                <w:sz w:val="18"/>
                <w:szCs w:val="18"/>
              </w:rPr>
              <w:t>2 262 900 000</w:t>
            </w:r>
          </w:p>
        </w:tc>
        <w:tc>
          <w:tcPr>
            <w:tcW w:w="1408" w:type="dxa"/>
            <w:tcMar>
              <w:top w:w="0" w:type="dxa"/>
              <w:left w:w="70" w:type="dxa"/>
              <w:bottom w:w="0" w:type="dxa"/>
              <w:right w:w="70" w:type="dxa"/>
            </w:tcMar>
            <w:hideMark/>
          </w:tcPr>
          <w:p w14:paraId="763292D8" w14:textId="77777777" w:rsidR="007C720A" w:rsidRPr="00F45BE0" w:rsidRDefault="007C720A">
            <w:pPr>
              <w:autoSpaceDE w:val="0"/>
              <w:autoSpaceDN w:val="0"/>
              <w:jc w:val="right"/>
              <w:rPr>
                <w:rFonts w:cs="Arial"/>
                <w:sz w:val="18"/>
                <w:szCs w:val="18"/>
              </w:rPr>
            </w:pPr>
            <w:r w:rsidRPr="00F45BE0">
              <w:rPr>
                <w:rFonts w:cs="Arial"/>
                <w:sz w:val="18"/>
                <w:szCs w:val="18"/>
              </w:rPr>
              <w:t xml:space="preserve">2 085 000 000   </w:t>
            </w:r>
          </w:p>
        </w:tc>
      </w:tr>
      <w:tr w:rsidR="009E163F" w:rsidRPr="00285073" w14:paraId="44FE509B" w14:textId="77777777" w:rsidTr="009E163F">
        <w:trPr>
          <w:trHeight w:val="407"/>
        </w:trPr>
        <w:tc>
          <w:tcPr>
            <w:tcW w:w="1156" w:type="dxa"/>
            <w:tcMar>
              <w:top w:w="0" w:type="dxa"/>
              <w:left w:w="70" w:type="dxa"/>
              <w:bottom w:w="0" w:type="dxa"/>
              <w:right w:w="70" w:type="dxa"/>
            </w:tcMar>
            <w:hideMark/>
          </w:tcPr>
          <w:p w14:paraId="72A91723"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V.</w:t>
            </w:r>
          </w:p>
        </w:tc>
        <w:tc>
          <w:tcPr>
            <w:tcW w:w="2704" w:type="dxa"/>
            <w:tcMar>
              <w:top w:w="0" w:type="dxa"/>
              <w:left w:w="70" w:type="dxa"/>
              <w:bottom w:w="0" w:type="dxa"/>
              <w:right w:w="70" w:type="dxa"/>
            </w:tcMar>
            <w:hideMark/>
          </w:tcPr>
          <w:p w14:paraId="5BE97B7F"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Nagymező u. 26. Stúdió Színpad</w:t>
            </w:r>
          </w:p>
        </w:tc>
        <w:tc>
          <w:tcPr>
            <w:tcW w:w="1380" w:type="dxa"/>
            <w:tcMar>
              <w:top w:w="0" w:type="dxa"/>
              <w:left w:w="70" w:type="dxa"/>
              <w:bottom w:w="0" w:type="dxa"/>
              <w:right w:w="70" w:type="dxa"/>
            </w:tcMar>
            <w:hideMark/>
          </w:tcPr>
          <w:p w14:paraId="273392A0"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29087/0/A/1</w:t>
            </w:r>
          </w:p>
        </w:tc>
        <w:tc>
          <w:tcPr>
            <w:tcW w:w="1267" w:type="dxa"/>
            <w:tcMar>
              <w:top w:w="0" w:type="dxa"/>
              <w:left w:w="70" w:type="dxa"/>
              <w:bottom w:w="0" w:type="dxa"/>
              <w:right w:w="70" w:type="dxa"/>
            </w:tcMar>
          </w:tcPr>
          <w:p w14:paraId="008CD5A7"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35ED0CC2"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413 400 000</w:t>
            </w:r>
          </w:p>
        </w:tc>
        <w:tc>
          <w:tcPr>
            <w:tcW w:w="1408" w:type="dxa"/>
            <w:tcMar>
              <w:top w:w="0" w:type="dxa"/>
              <w:left w:w="70" w:type="dxa"/>
              <w:bottom w:w="0" w:type="dxa"/>
              <w:right w:w="70" w:type="dxa"/>
            </w:tcMar>
            <w:hideMark/>
          </w:tcPr>
          <w:p w14:paraId="620F44F1"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295 000 000   </w:t>
            </w:r>
          </w:p>
        </w:tc>
      </w:tr>
      <w:tr w:rsidR="009E163F" w:rsidRPr="00285073" w14:paraId="2638BE99" w14:textId="77777777" w:rsidTr="009E163F">
        <w:trPr>
          <w:trHeight w:val="407"/>
        </w:trPr>
        <w:tc>
          <w:tcPr>
            <w:tcW w:w="1156" w:type="dxa"/>
            <w:tcMar>
              <w:top w:w="0" w:type="dxa"/>
              <w:left w:w="70" w:type="dxa"/>
              <w:bottom w:w="0" w:type="dxa"/>
              <w:right w:w="70" w:type="dxa"/>
            </w:tcMar>
            <w:hideMark/>
          </w:tcPr>
          <w:p w14:paraId="6B671D67"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VI.</w:t>
            </w:r>
          </w:p>
        </w:tc>
        <w:tc>
          <w:tcPr>
            <w:tcW w:w="2704" w:type="dxa"/>
            <w:tcMar>
              <w:top w:w="0" w:type="dxa"/>
              <w:left w:w="70" w:type="dxa"/>
              <w:bottom w:w="0" w:type="dxa"/>
              <w:right w:w="70" w:type="dxa"/>
            </w:tcMar>
            <w:hideMark/>
          </w:tcPr>
          <w:p w14:paraId="6DDFE31D"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Nagymező utca 8. fszt. 7. Lakás</w:t>
            </w:r>
          </w:p>
        </w:tc>
        <w:tc>
          <w:tcPr>
            <w:tcW w:w="1380" w:type="dxa"/>
            <w:tcMar>
              <w:top w:w="0" w:type="dxa"/>
              <w:left w:w="70" w:type="dxa"/>
              <w:bottom w:w="0" w:type="dxa"/>
              <w:right w:w="70" w:type="dxa"/>
            </w:tcMar>
            <w:hideMark/>
          </w:tcPr>
          <w:p w14:paraId="4118C28D"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29356/0/A/12</w:t>
            </w:r>
          </w:p>
        </w:tc>
        <w:tc>
          <w:tcPr>
            <w:tcW w:w="1267" w:type="dxa"/>
            <w:tcMar>
              <w:top w:w="0" w:type="dxa"/>
              <w:left w:w="70" w:type="dxa"/>
              <w:bottom w:w="0" w:type="dxa"/>
              <w:right w:w="70" w:type="dxa"/>
            </w:tcMar>
          </w:tcPr>
          <w:p w14:paraId="6DEC6E2A"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224B4462"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30 100 000</w:t>
            </w:r>
          </w:p>
        </w:tc>
        <w:tc>
          <w:tcPr>
            <w:tcW w:w="1408" w:type="dxa"/>
            <w:tcMar>
              <w:top w:w="0" w:type="dxa"/>
              <w:left w:w="70" w:type="dxa"/>
              <w:bottom w:w="0" w:type="dxa"/>
              <w:right w:w="70" w:type="dxa"/>
            </w:tcMar>
            <w:hideMark/>
          </w:tcPr>
          <w:p w14:paraId="3C8B38A5"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26 600 000   </w:t>
            </w:r>
          </w:p>
        </w:tc>
      </w:tr>
      <w:tr w:rsidR="009E163F" w:rsidRPr="00285073" w14:paraId="525380F1" w14:textId="77777777" w:rsidTr="009E163F">
        <w:trPr>
          <w:trHeight w:val="407"/>
        </w:trPr>
        <w:tc>
          <w:tcPr>
            <w:tcW w:w="1156" w:type="dxa"/>
            <w:tcMar>
              <w:top w:w="0" w:type="dxa"/>
              <w:left w:w="70" w:type="dxa"/>
              <w:bottom w:w="0" w:type="dxa"/>
              <w:right w:w="70" w:type="dxa"/>
            </w:tcMar>
            <w:hideMark/>
          </w:tcPr>
          <w:p w14:paraId="69F4A9D4"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VII.</w:t>
            </w:r>
          </w:p>
        </w:tc>
        <w:tc>
          <w:tcPr>
            <w:tcW w:w="2704" w:type="dxa"/>
            <w:tcMar>
              <w:top w:w="0" w:type="dxa"/>
              <w:left w:w="70" w:type="dxa"/>
              <w:bottom w:w="0" w:type="dxa"/>
              <w:right w:w="70" w:type="dxa"/>
            </w:tcMar>
            <w:hideMark/>
          </w:tcPr>
          <w:p w14:paraId="6A241755"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Zichy Jenő u. 42. 4. ajtó Műhely (lakás)</w:t>
            </w:r>
          </w:p>
        </w:tc>
        <w:tc>
          <w:tcPr>
            <w:tcW w:w="1380" w:type="dxa"/>
            <w:tcMar>
              <w:top w:w="0" w:type="dxa"/>
              <w:left w:w="70" w:type="dxa"/>
              <w:bottom w:w="0" w:type="dxa"/>
              <w:right w:w="70" w:type="dxa"/>
            </w:tcMar>
            <w:hideMark/>
          </w:tcPr>
          <w:p w14:paraId="05A0189C"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29013/0/A/4</w:t>
            </w:r>
          </w:p>
        </w:tc>
        <w:tc>
          <w:tcPr>
            <w:tcW w:w="1267" w:type="dxa"/>
            <w:tcMar>
              <w:top w:w="0" w:type="dxa"/>
              <w:left w:w="70" w:type="dxa"/>
              <w:bottom w:w="0" w:type="dxa"/>
              <w:right w:w="70" w:type="dxa"/>
            </w:tcMar>
          </w:tcPr>
          <w:p w14:paraId="69DCCE65"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56E6DB98"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13 000 000</w:t>
            </w:r>
          </w:p>
        </w:tc>
        <w:tc>
          <w:tcPr>
            <w:tcW w:w="1408" w:type="dxa"/>
            <w:tcMar>
              <w:top w:w="0" w:type="dxa"/>
              <w:left w:w="70" w:type="dxa"/>
              <w:bottom w:w="0" w:type="dxa"/>
              <w:right w:w="70" w:type="dxa"/>
            </w:tcMar>
            <w:hideMark/>
          </w:tcPr>
          <w:p w14:paraId="71834D6D"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15 900 000   </w:t>
            </w:r>
          </w:p>
        </w:tc>
      </w:tr>
      <w:tr w:rsidR="009E163F" w:rsidRPr="00285073" w14:paraId="6B5253FD" w14:textId="77777777" w:rsidTr="009E163F">
        <w:trPr>
          <w:trHeight w:val="407"/>
        </w:trPr>
        <w:tc>
          <w:tcPr>
            <w:tcW w:w="1156" w:type="dxa"/>
            <w:tcMar>
              <w:top w:w="0" w:type="dxa"/>
              <w:left w:w="70" w:type="dxa"/>
              <w:bottom w:w="0" w:type="dxa"/>
              <w:right w:w="70" w:type="dxa"/>
            </w:tcMar>
            <w:hideMark/>
          </w:tcPr>
          <w:p w14:paraId="6886731E"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Ingatlan VIII.</w:t>
            </w:r>
          </w:p>
        </w:tc>
        <w:tc>
          <w:tcPr>
            <w:tcW w:w="2704" w:type="dxa"/>
            <w:tcMar>
              <w:top w:w="0" w:type="dxa"/>
              <w:left w:w="70" w:type="dxa"/>
              <w:bottom w:w="0" w:type="dxa"/>
              <w:right w:w="70" w:type="dxa"/>
            </w:tcMar>
            <w:hideMark/>
          </w:tcPr>
          <w:p w14:paraId="08FB3060" w14:textId="77777777" w:rsidR="007C720A" w:rsidRPr="00F45BE0" w:rsidRDefault="007C720A">
            <w:pPr>
              <w:autoSpaceDE w:val="0"/>
              <w:autoSpaceDN w:val="0"/>
              <w:rPr>
                <w:rFonts w:cs="Arial"/>
                <w:color w:val="000000"/>
                <w:sz w:val="18"/>
                <w:szCs w:val="18"/>
              </w:rPr>
            </w:pPr>
            <w:r w:rsidRPr="00F45BE0">
              <w:rPr>
                <w:rFonts w:cs="Arial"/>
                <w:color w:val="000000"/>
                <w:sz w:val="18"/>
                <w:szCs w:val="18"/>
              </w:rPr>
              <w:t>Mozsár u.1. - Nagymező u.19. fszt. 8. Jegyiroda</w:t>
            </w:r>
          </w:p>
        </w:tc>
        <w:tc>
          <w:tcPr>
            <w:tcW w:w="1380" w:type="dxa"/>
            <w:tcMar>
              <w:top w:w="0" w:type="dxa"/>
              <w:left w:w="70" w:type="dxa"/>
              <w:bottom w:w="0" w:type="dxa"/>
              <w:right w:w="70" w:type="dxa"/>
            </w:tcMar>
            <w:hideMark/>
          </w:tcPr>
          <w:p w14:paraId="277B8AA0" w14:textId="77777777" w:rsidR="007C720A" w:rsidRPr="00F45BE0" w:rsidRDefault="007C720A">
            <w:pPr>
              <w:autoSpaceDE w:val="0"/>
              <w:autoSpaceDN w:val="0"/>
              <w:jc w:val="center"/>
              <w:rPr>
                <w:rFonts w:cs="Arial"/>
                <w:color w:val="000000"/>
                <w:sz w:val="18"/>
                <w:szCs w:val="18"/>
              </w:rPr>
            </w:pPr>
            <w:r w:rsidRPr="00F45BE0">
              <w:rPr>
                <w:rFonts w:cs="Arial"/>
                <w:color w:val="000000"/>
                <w:sz w:val="18"/>
                <w:szCs w:val="18"/>
              </w:rPr>
              <w:t>29064/0/A/7</w:t>
            </w:r>
          </w:p>
        </w:tc>
        <w:tc>
          <w:tcPr>
            <w:tcW w:w="1267" w:type="dxa"/>
            <w:tcMar>
              <w:top w:w="0" w:type="dxa"/>
              <w:left w:w="70" w:type="dxa"/>
              <w:bottom w:w="0" w:type="dxa"/>
              <w:right w:w="70" w:type="dxa"/>
            </w:tcMar>
          </w:tcPr>
          <w:p w14:paraId="4981D4FF" w14:textId="77777777" w:rsidR="007C720A" w:rsidRPr="00F45BE0" w:rsidRDefault="007C720A">
            <w:pPr>
              <w:autoSpaceDE w:val="0"/>
              <w:autoSpaceDN w:val="0"/>
              <w:jc w:val="center"/>
              <w:rPr>
                <w:rFonts w:cs="Arial"/>
                <w:color w:val="000000"/>
                <w:sz w:val="18"/>
                <w:szCs w:val="18"/>
              </w:rPr>
            </w:pPr>
          </w:p>
        </w:tc>
        <w:tc>
          <w:tcPr>
            <w:tcW w:w="1407" w:type="dxa"/>
            <w:tcMar>
              <w:top w:w="0" w:type="dxa"/>
              <w:left w:w="70" w:type="dxa"/>
              <w:bottom w:w="0" w:type="dxa"/>
              <w:right w:w="70" w:type="dxa"/>
            </w:tcMar>
            <w:hideMark/>
          </w:tcPr>
          <w:p w14:paraId="14D50F4F"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32 000 000</w:t>
            </w:r>
          </w:p>
        </w:tc>
        <w:tc>
          <w:tcPr>
            <w:tcW w:w="1408" w:type="dxa"/>
            <w:tcMar>
              <w:top w:w="0" w:type="dxa"/>
              <w:left w:w="70" w:type="dxa"/>
              <w:bottom w:w="0" w:type="dxa"/>
              <w:right w:w="70" w:type="dxa"/>
            </w:tcMar>
            <w:hideMark/>
          </w:tcPr>
          <w:p w14:paraId="4CB906EA" w14:textId="77777777" w:rsidR="007C720A" w:rsidRPr="00F45BE0" w:rsidRDefault="007C720A">
            <w:pPr>
              <w:autoSpaceDE w:val="0"/>
              <w:autoSpaceDN w:val="0"/>
              <w:jc w:val="right"/>
              <w:rPr>
                <w:rFonts w:cs="Arial"/>
                <w:color w:val="000000"/>
                <w:sz w:val="18"/>
                <w:szCs w:val="18"/>
              </w:rPr>
            </w:pPr>
            <w:r w:rsidRPr="00F45BE0">
              <w:rPr>
                <w:rFonts w:cs="Arial"/>
                <w:color w:val="000000"/>
                <w:sz w:val="18"/>
                <w:szCs w:val="18"/>
              </w:rPr>
              <w:t xml:space="preserve">31 700 000   </w:t>
            </w:r>
          </w:p>
        </w:tc>
      </w:tr>
      <w:tr w:rsidR="009E163F" w:rsidRPr="00285073" w14:paraId="0D48A77F" w14:textId="77777777" w:rsidTr="009E163F">
        <w:trPr>
          <w:trHeight w:val="407"/>
        </w:trPr>
        <w:tc>
          <w:tcPr>
            <w:tcW w:w="1156" w:type="dxa"/>
            <w:tcMar>
              <w:top w:w="0" w:type="dxa"/>
              <w:left w:w="70" w:type="dxa"/>
              <w:bottom w:w="0" w:type="dxa"/>
              <w:right w:w="70" w:type="dxa"/>
            </w:tcMar>
            <w:hideMark/>
          </w:tcPr>
          <w:p w14:paraId="506D0FEA" w14:textId="77777777" w:rsidR="009E163F" w:rsidRPr="00F45BE0" w:rsidRDefault="009E163F">
            <w:pPr>
              <w:autoSpaceDE w:val="0"/>
              <w:autoSpaceDN w:val="0"/>
              <w:rPr>
                <w:rFonts w:cs="Arial"/>
                <w:color w:val="000000"/>
                <w:sz w:val="18"/>
                <w:szCs w:val="18"/>
              </w:rPr>
            </w:pPr>
            <w:r w:rsidRPr="00F45BE0">
              <w:rPr>
                <w:rFonts w:cs="Arial"/>
                <w:color w:val="000000"/>
                <w:sz w:val="18"/>
                <w:szCs w:val="18"/>
              </w:rPr>
              <w:t>Ingatlan IX.</w:t>
            </w:r>
          </w:p>
        </w:tc>
        <w:tc>
          <w:tcPr>
            <w:tcW w:w="2704" w:type="dxa"/>
            <w:vMerge w:val="restart"/>
            <w:tcMar>
              <w:top w:w="0" w:type="dxa"/>
              <w:left w:w="70" w:type="dxa"/>
              <w:bottom w:w="0" w:type="dxa"/>
              <w:right w:w="70" w:type="dxa"/>
            </w:tcMar>
            <w:hideMark/>
          </w:tcPr>
          <w:p w14:paraId="3D1333FB" w14:textId="77777777" w:rsidR="009E163F" w:rsidRPr="00F45BE0" w:rsidRDefault="009E163F">
            <w:pPr>
              <w:autoSpaceDE w:val="0"/>
              <w:autoSpaceDN w:val="0"/>
              <w:rPr>
                <w:rFonts w:cs="Arial"/>
                <w:color w:val="000000"/>
                <w:sz w:val="18"/>
                <w:szCs w:val="18"/>
              </w:rPr>
            </w:pPr>
          </w:p>
          <w:p w14:paraId="0308595B" w14:textId="1A07ECC6" w:rsidR="009E163F" w:rsidRPr="00F45BE0" w:rsidRDefault="009E163F">
            <w:pPr>
              <w:autoSpaceDE w:val="0"/>
              <w:autoSpaceDN w:val="0"/>
              <w:rPr>
                <w:rFonts w:cs="Arial"/>
                <w:color w:val="000000"/>
                <w:sz w:val="18"/>
                <w:szCs w:val="18"/>
              </w:rPr>
            </w:pPr>
            <w:r w:rsidRPr="00F45BE0">
              <w:rPr>
                <w:rFonts w:cs="Arial"/>
                <w:color w:val="000000"/>
                <w:sz w:val="18"/>
                <w:szCs w:val="18"/>
              </w:rPr>
              <w:t>Nagymező u. 20.  Arizona Színpad</w:t>
            </w:r>
          </w:p>
        </w:tc>
        <w:tc>
          <w:tcPr>
            <w:tcW w:w="1380" w:type="dxa"/>
            <w:vMerge w:val="restart"/>
            <w:tcMar>
              <w:top w:w="0" w:type="dxa"/>
              <w:left w:w="70" w:type="dxa"/>
              <w:bottom w:w="0" w:type="dxa"/>
              <w:right w:w="70" w:type="dxa"/>
            </w:tcMar>
            <w:hideMark/>
          </w:tcPr>
          <w:p w14:paraId="29E085AB" w14:textId="77777777" w:rsidR="009E163F" w:rsidRPr="00F45BE0" w:rsidRDefault="009E163F">
            <w:pPr>
              <w:autoSpaceDE w:val="0"/>
              <w:autoSpaceDN w:val="0"/>
              <w:jc w:val="center"/>
              <w:rPr>
                <w:rFonts w:cs="Arial"/>
                <w:color w:val="000000"/>
                <w:sz w:val="18"/>
                <w:szCs w:val="18"/>
              </w:rPr>
            </w:pPr>
          </w:p>
          <w:p w14:paraId="7258A743" w14:textId="24BE0C09" w:rsidR="009E163F" w:rsidRPr="00F45BE0" w:rsidRDefault="009E163F">
            <w:pPr>
              <w:autoSpaceDE w:val="0"/>
              <w:autoSpaceDN w:val="0"/>
              <w:jc w:val="center"/>
              <w:rPr>
                <w:rFonts w:cs="Arial"/>
                <w:color w:val="000000"/>
                <w:sz w:val="18"/>
                <w:szCs w:val="18"/>
              </w:rPr>
            </w:pPr>
            <w:r w:rsidRPr="00F45BE0">
              <w:rPr>
                <w:rFonts w:cs="Arial"/>
                <w:color w:val="000000"/>
                <w:sz w:val="18"/>
                <w:szCs w:val="18"/>
              </w:rPr>
              <w:t>29076/0/A/3</w:t>
            </w:r>
          </w:p>
        </w:tc>
        <w:tc>
          <w:tcPr>
            <w:tcW w:w="1267" w:type="dxa"/>
            <w:tcMar>
              <w:top w:w="0" w:type="dxa"/>
              <w:left w:w="70" w:type="dxa"/>
              <w:bottom w:w="0" w:type="dxa"/>
              <w:right w:w="70" w:type="dxa"/>
            </w:tcMar>
            <w:hideMark/>
          </w:tcPr>
          <w:p w14:paraId="4E159FD1" w14:textId="77777777" w:rsidR="009E163F" w:rsidRPr="00F45BE0" w:rsidRDefault="009E163F">
            <w:pPr>
              <w:autoSpaceDE w:val="0"/>
              <w:autoSpaceDN w:val="0"/>
              <w:jc w:val="center"/>
              <w:rPr>
                <w:rFonts w:cs="Arial"/>
                <w:color w:val="000000"/>
                <w:sz w:val="18"/>
                <w:szCs w:val="18"/>
              </w:rPr>
            </w:pPr>
            <w:r w:rsidRPr="00F45BE0">
              <w:rPr>
                <w:rFonts w:cs="Arial"/>
                <w:color w:val="000000"/>
                <w:sz w:val="18"/>
                <w:szCs w:val="18"/>
              </w:rPr>
              <w:t>29076/0/B/1</w:t>
            </w:r>
          </w:p>
        </w:tc>
        <w:tc>
          <w:tcPr>
            <w:tcW w:w="1407" w:type="dxa"/>
            <w:tcMar>
              <w:top w:w="0" w:type="dxa"/>
              <w:left w:w="70" w:type="dxa"/>
              <w:bottom w:w="0" w:type="dxa"/>
              <w:right w:w="70" w:type="dxa"/>
            </w:tcMar>
            <w:hideMark/>
          </w:tcPr>
          <w:p w14:paraId="2EA0E3AD" w14:textId="77777777" w:rsidR="009E163F" w:rsidRPr="00F45BE0" w:rsidRDefault="009E163F">
            <w:pPr>
              <w:autoSpaceDE w:val="0"/>
              <w:autoSpaceDN w:val="0"/>
              <w:jc w:val="right"/>
              <w:rPr>
                <w:rFonts w:cs="Arial"/>
                <w:color w:val="000000"/>
                <w:sz w:val="18"/>
                <w:szCs w:val="18"/>
              </w:rPr>
            </w:pPr>
            <w:r w:rsidRPr="00F45BE0">
              <w:rPr>
                <w:rFonts w:cs="Arial"/>
                <w:color w:val="000000"/>
                <w:sz w:val="18"/>
                <w:szCs w:val="18"/>
              </w:rPr>
              <w:t>264 500 000</w:t>
            </w:r>
          </w:p>
        </w:tc>
        <w:tc>
          <w:tcPr>
            <w:tcW w:w="1408" w:type="dxa"/>
            <w:tcMar>
              <w:top w:w="0" w:type="dxa"/>
              <w:left w:w="70" w:type="dxa"/>
              <w:bottom w:w="0" w:type="dxa"/>
              <w:right w:w="70" w:type="dxa"/>
            </w:tcMar>
            <w:hideMark/>
          </w:tcPr>
          <w:p w14:paraId="6D4B3A03" w14:textId="77777777" w:rsidR="009E163F" w:rsidRPr="00F45BE0" w:rsidRDefault="009E163F">
            <w:pPr>
              <w:autoSpaceDE w:val="0"/>
              <w:autoSpaceDN w:val="0"/>
              <w:jc w:val="right"/>
              <w:rPr>
                <w:rFonts w:cs="Arial"/>
                <w:color w:val="000000"/>
                <w:sz w:val="18"/>
                <w:szCs w:val="18"/>
              </w:rPr>
            </w:pPr>
            <w:r w:rsidRPr="00F45BE0">
              <w:rPr>
                <w:rFonts w:cs="Arial"/>
                <w:color w:val="000000"/>
                <w:sz w:val="18"/>
                <w:szCs w:val="18"/>
              </w:rPr>
              <w:t xml:space="preserve">200 000 000   </w:t>
            </w:r>
          </w:p>
        </w:tc>
      </w:tr>
      <w:tr w:rsidR="009E163F" w:rsidRPr="00285073" w14:paraId="573B91B6" w14:textId="77777777" w:rsidTr="009E163F">
        <w:trPr>
          <w:trHeight w:val="407"/>
        </w:trPr>
        <w:tc>
          <w:tcPr>
            <w:tcW w:w="1156" w:type="dxa"/>
            <w:tcMar>
              <w:top w:w="0" w:type="dxa"/>
              <w:left w:w="70" w:type="dxa"/>
              <w:bottom w:w="0" w:type="dxa"/>
              <w:right w:w="70" w:type="dxa"/>
            </w:tcMar>
            <w:hideMark/>
          </w:tcPr>
          <w:p w14:paraId="374E760C" w14:textId="77777777" w:rsidR="009E163F" w:rsidRPr="00F45BE0" w:rsidRDefault="009E163F">
            <w:pPr>
              <w:autoSpaceDE w:val="0"/>
              <w:autoSpaceDN w:val="0"/>
              <w:rPr>
                <w:rFonts w:cs="Arial"/>
                <w:color w:val="000000"/>
                <w:sz w:val="18"/>
                <w:szCs w:val="18"/>
              </w:rPr>
            </w:pPr>
            <w:r w:rsidRPr="00F45BE0">
              <w:rPr>
                <w:rFonts w:cs="Arial"/>
                <w:color w:val="000000"/>
                <w:sz w:val="18"/>
                <w:szCs w:val="18"/>
              </w:rPr>
              <w:t>Ingatlan X.</w:t>
            </w:r>
          </w:p>
        </w:tc>
        <w:tc>
          <w:tcPr>
            <w:tcW w:w="2704" w:type="dxa"/>
            <w:vMerge/>
            <w:tcMar>
              <w:top w:w="0" w:type="dxa"/>
              <w:left w:w="70" w:type="dxa"/>
              <w:bottom w:w="0" w:type="dxa"/>
              <w:right w:w="70" w:type="dxa"/>
            </w:tcMar>
          </w:tcPr>
          <w:p w14:paraId="58138C11" w14:textId="77777777" w:rsidR="009E163F" w:rsidRPr="00F45BE0" w:rsidRDefault="009E163F">
            <w:pPr>
              <w:autoSpaceDE w:val="0"/>
              <w:autoSpaceDN w:val="0"/>
              <w:jc w:val="right"/>
              <w:rPr>
                <w:rFonts w:cs="Arial"/>
                <w:color w:val="000000"/>
                <w:sz w:val="18"/>
                <w:szCs w:val="18"/>
              </w:rPr>
            </w:pPr>
          </w:p>
        </w:tc>
        <w:tc>
          <w:tcPr>
            <w:tcW w:w="1380" w:type="dxa"/>
            <w:vMerge/>
            <w:tcMar>
              <w:top w:w="0" w:type="dxa"/>
              <w:left w:w="70" w:type="dxa"/>
              <w:bottom w:w="0" w:type="dxa"/>
              <w:right w:w="70" w:type="dxa"/>
            </w:tcMar>
          </w:tcPr>
          <w:p w14:paraId="00F13CA0" w14:textId="77777777" w:rsidR="009E163F" w:rsidRPr="00F45BE0" w:rsidRDefault="009E163F">
            <w:pPr>
              <w:autoSpaceDE w:val="0"/>
              <w:autoSpaceDN w:val="0"/>
              <w:jc w:val="center"/>
              <w:rPr>
                <w:rFonts w:cs="Arial"/>
                <w:color w:val="000000"/>
                <w:sz w:val="18"/>
                <w:szCs w:val="18"/>
              </w:rPr>
            </w:pPr>
          </w:p>
        </w:tc>
        <w:tc>
          <w:tcPr>
            <w:tcW w:w="1267" w:type="dxa"/>
            <w:tcMar>
              <w:top w:w="0" w:type="dxa"/>
              <w:left w:w="70" w:type="dxa"/>
              <w:bottom w:w="0" w:type="dxa"/>
              <w:right w:w="70" w:type="dxa"/>
            </w:tcMar>
            <w:hideMark/>
          </w:tcPr>
          <w:p w14:paraId="41AF6E70" w14:textId="77777777" w:rsidR="009E163F" w:rsidRPr="00F45BE0" w:rsidRDefault="009E163F">
            <w:pPr>
              <w:autoSpaceDE w:val="0"/>
              <w:autoSpaceDN w:val="0"/>
              <w:jc w:val="center"/>
              <w:rPr>
                <w:rFonts w:cs="Arial"/>
                <w:color w:val="000000"/>
                <w:sz w:val="18"/>
                <w:szCs w:val="18"/>
              </w:rPr>
            </w:pPr>
            <w:r w:rsidRPr="00F45BE0">
              <w:rPr>
                <w:rFonts w:cs="Arial"/>
                <w:color w:val="000000"/>
                <w:sz w:val="18"/>
                <w:szCs w:val="18"/>
              </w:rPr>
              <w:t>29076/0/B/5</w:t>
            </w:r>
          </w:p>
        </w:tc>
        <w:tc>
          <w:tcPr>
            <w:tcW w:w="1407" w:type="dxa"/>
            <w:tcMar>
              <w:top w:w="0" w:type="dxa"/>
              <w:left w:w="70" w:type="dxa"/>
              <w:bottom w:w="0" w:type="dxa"/>
              <w:right w:w="70" w:type="dxa"/>
            </w:tcMar>
          </w:tcPr>
          <w:p w14:paraId="022C8DE4" w14:textId="77777777" w:rsidR="009E163F" w:rsidRPr="00F45BE0" w:rsidRDefault="009E163F">
            <w:pPr>
              <w:autoSpaceDE w:val="0"/>
              <w:autoSpaceDN w:val="0"/>
              <w:jc w:val="right"/>
              <w:rPr>
                <w:rFonts w:cs="Arial"/>
                <w:color w:val="000000"/>
                <w:sz w:val="18"/>
                <w:szCs w:val="18"/>
              </w:rPr>
            </w:pPr>
          </w:p>
        </w:tc>
        <w:tc>
          <w:tcPr>
            <w:tcW w:w="1408" w:type="dxa"/>
            <w:tcMar>
              <w:top w:w="0" w:type="dxa"/>
              <w:left w:w="70" w:type="dxa"/>
              <w:bottom w:w="0" w:type="dxa"/>
              <w:right w:w="70" w:type="dxa"/>
            </w:tcMar>
          </w:tcPr>
          <w:p w14:paraId="024C228C" w14:textId="77777777" w:rsidR="009E163F" w:rsidRPr="00F45BE0" w:rsidRDefault="009E163F">
            <w:pPr>
              <w:autoSpaceDE w:val="0"/>
              <w:autoSpaceDN w:val="0"/>
              <w:jc w:val="right"/>
              <w:rPr>
                <w:rFonts w:cs="Arial"/>
                <w:color w:val="000000"/>
                <w:sz w:val="18"/>
                <w:szCs w:val="18"/>
              </w:rPr>
            </w:pPr>
          </w:p>
        </w:tc>
      </w:tr>
      <w:tr w:rsidR="009E163F" w:rsidRPr="00285073" w14:paraId="482CDFE6" w14:textId="77777777" w:rsidTr="009E163F">
        <w:trPr>
          <w:trHeight w:val="407"/>
        </w:trPr>
        <w:tc>
          <w:tcPr>
            <w:tcW w:w="1156" w:type="dxa"/>
            <w:tcMar>
              <w:top w:w="0" w:type="dxa"/>
              <w:left w:w="70" w:type="dxa"/>
              <w:bottom w:w="0" w:type="dxa"/>
              <w:right w:w="70" w:type="dxa"/>
            </w:tcMar>
          </w:tcPr>
          <w:p w14:paraId="2351E8D5" w14:textId="77777777" w:rsidR="007C720A" w:rsidRPr="00F45BE0" w:rsidRDefault="007C720A">
            <w:pPr>
              <w:autoSpaceDE w:val="0"/>
              <w:autoSpaceDN w:val="0"/>
              <w:jc w:val="right"/>
              <w:rPr>
                <w:rFonts w:cs="Arial"/>
                <w:color w:val="000000"/>
                <w:sz w:val="18"/>
                <w:szCs w:val="18"/>
              </w:rPr>
            </w:pPr>
          </w:p>
        </w:tc>
        <w:tc>
          <w:tcPr>
            <w:tcW w:w="2704" w:type="dxa"/>
            <w:tcMar>
              <w:top w:w="0" w:type="dxa"/>
              <w:left w:w="70" w:type="dxa"/>
              <w:bottom w:w="0" w:type="dxa"/>
              <w:right w:w="70" w:type="dxa"/>
            </w:tcMar>
            <w:hideMark/>
          </w:tcPr>
          <w:p w14:paraId="185DF492" w14:textId="77777777" w:rsidR="007C720A" w:rsidRPr="00F45BE0" w:rsidRDefault="007C720A">
            <w:pPr>
              <w:autoSpaceDE w:val="0"/>
              <w:autoSpaceDN w:val="0"/>
              <w:rPr>
                <w:rFonts w:cs="Arial"/>
                <w:b/>
                <w:bCs/>
                <w:color w:val="000000"/>
                <w:sz w:val="18"/>
                <w:szCs w:val="18"/>
              </w:rPr>
            </w:pPr>
            <w:r w:rsidRPr="00F45BE0">
              <w:rPr>
                <w:rFonts w:cs="Arial"/>
                <w:b/>
                <w:bCs/>
                <w:color w:val="000000"/>
                <w:sz w:val="18"/>
                <w:szCs w:val="18"/>
              </w:rPr>
              <w:t xml:space="preserve">Összesen: </w:t>
            </w:r>
          </w:p>
        </w:tc>
        <w:tc>
          <w:tcPr>
            <w:tcW w:w="1380" w:type="dxa"/>
            <w:tcMar>
              <w:top w:w="0" w:type="dxa"/>
              <w:left w:w="70" w:type="dxa"/>
              <w:bottom w:w="0" w:type="dxa"/>
              <w:right w:w="70" w:type="dxa"/>
            </w:tcMar>
          </w:tcPr>
          <w:p w14:paraId="677C3990" w14:textId="77777777" w:rsidR="007C720A" w:rsidRPr="00F45BE0" w:rsidRDefault="007C720A">
            <w:pPr>
              <w:autoSpaceDE w:val="0"/>
              <w:autoSpaceDN w:val="0"/>
              <w:jc w:val="right"/>
              <w:rPr>
                <w:rFonts w:cs="Arial"/>
                <w:color w:val="000000"/>
                <w:sz w:val="18"/>
                <w:szCs w:val="18"/>
              </w:rPr>
            </w:pPr>
          </w:p>
        </w:tc>
        <w:tc>
          <w:tcPr>
            <w:tcW w:w="1267" w:type="dxa"/>
            <w:tcMar>
              <w:top w:w="0" w:type="dxa"/>
              <w:left w:w="70" w:type="dxa"/>
              <w:bottom w:w="0" w:type="dxa"/>
              <w:right w:w="70" w:type="dxa"/>
            </w:tcMar>
          </w:tcPr>
          <w:p w14:paraId="23B92FD1" w14:textId="77777777" w:rsidR="007C720A" w:rsidRPr="00F45BE0" w:rsidRDefault="007C720A">
            <w:pPr>
              <w:autoSpaceDE w:val="0"/>
              <w:autoSpaceDN w:val="0"/>
              <w:jc w:val="right"/>
              <w:rPr>
                <w:rFonts w:cs="Arial"/>
                <w:color w:val="000000"/>
                <w:sz w:val="18"/>
                <w:szCs w:val="18"/>
              </w:rPr>
            </w:pPr>
          </w:p>
        </w:tc>
        <w:tc>
          <w:tcPr>
            <w:tcW w:w="1407" w:type="dxa"/>
            <w:tcMar>
              <w:top w:w="0" w:type="dxa"/>
              <w:left w:w="70" w:type="dxa"/>
              <w:bottom w:w="0" w:type="dxa"/>
              <w:right w:w="70" w:type="dxa"/>
            </w:tcMar>
            <w:hideMark/>
          </w:tcPr>
          <w:p w14:paraId="126C2AFD" w14:textId="77777777" w:rsidR="007C720A" w:rsidRPr="00F45BE0" w:rsidRDefault="007C720A">
            <w:pPr>
              <w:autoSpaceDE w:val="0"/>
              <w:autoSpaceDN w:val="0"/>
              <w:jc w:val="right"/>
              <w:rPr>
                <w:rFonts w:cs="Arial"/>
                <w:b/>
                <w:bCs/>
                <w:color w:val="000000"/>
                <w:sz w:val="18"/>
                <w:szCs w:val="18"/>
              </w:rPr>
            </w:pPr>
            <w:r w:rsidRPr="00F45BE0">
              <w:rPr>
                <w:rFonts w:cs="Arial"/>
                <w:b/>
                <w:bCs/>
                <w:color w:val="000000"/>
                <w:sz w:val="18"/>
                <w:szCs w:val="18"/>
              </w:rPr>
              <w:t xml:space="preserve">3 993 700 000   </w:t>
            </w:r>
          </w:p>
        </w:tc>
        <w:tc>
          <w:tcPr>
            <w:tcW w:w="1408" w:type="dxa"/>
            <w:tcMar>
              <w:top w:w="0" w:type="dxa"/>
              <w:left w:w="70" w:type="dxa"/>
              <w:bottom w:w="0" w:type="dxa"/>
              <w:right w:w="70" w:type="dxa"/>
            </w:tcMar>
            <w:hideMark/>
          </w:tcPr>
          <w:p w14:paraId="5AB9D904" w14:textId="77777777" w:rsidR="007C720A" w:rsidRPr="00F45BE0" w:rsidRDefault="007C720A">
            <w:pPr>
              <w:autoSpaceDE w:val="0"/>
              <w:autoSpaceDN w:val="0"/>
              <w:jc w:val="right"/>
              <w:rPr>
                <w:rFonts w:cs="Arial"/>
                <w:b/>
                <w:bCs/>
                <w:color w:val="000000"/>
                <w:sz w:val="18"/>
                <w:szCs w:val="18"/>
              </w:rPr>
            </w:pPr>
            <w:r w:rsidRPr="00F45BE0">
              <w:rPr>
                <w:rFonts w:cs="Arial"/>
                <w:b/>
                <w:bCs/>
                <w:color w:val="000000"/>
                <w:sz w:val="18"/>
                <w:szCs w:val="18"/>
              </w:rPr>
              <w:t xml:space="preserve">3 460 100 000   </w:t>
            </w:r>
          </w:p>
        </w:tc>
      </w:tr>
      <w:tr w:rsidR="009E163F" w:rsidRPr="00285073" w14:paraId="7672DBBB" w14:textId="77777777" w:rsidTr="009E163F">
        <w:trPr>
          <w:trHeight w:val="407"/>
        </w:trPr>
        <w:tc>
          <w:tcPr>
            <w:tcW w:w="1156" w:type="dxa"/>
            <w:tcMar>
              <w:top w:w="0" w:type="dxa"/>
              <w:left w:w="70" w:type="dxa"/>
              <w:bottom w:w="0" w:type="dxa"/>
              <w:right w:w="70" w:type="dxa"/>
            </w:tcMar>
          </w:tcPr>
          <w:p w14:paraId="7C964F4C" w14:textId="77777777" w:rsidR="007C720A" w:rsidRPr="00F45BE0" w:rsidRDefault="007C720A">
            <w:pPr>
              <w:autoSpaceDE w:val="0"/>
              <w:autoSpaceDN w:val="0"/>
              <w:jc w:val="right"/>
              <w:rPr>
                <w:rFonts w:cs="Arial"/>
                <w:color w:val="000000"/>
                <w:sz w:val="18"/>
                <w:szCs w:val="18"/>
              </w:rPr>
            </w:pPr>
          </w:p>
        </w:tc>
        <w:tc>
          <w:tcPr>
            <w:tcW w:w="2704" w:type="dxa"/>
            <w:tcMar>
              <w:top w:w="0" w:type="dxa"/>
              <w:left w:w="70" w:type="dxa"/>
              <w:bottom w:w="0" w:type="dxa"/>
              <w:right w:w="70" w:type="dxa"/>
            </w:tcMar>
            <w:hideMark/>
          </w:tcPr>
          <w:p w14:paraId="2D6D0129" w14:textId="62EFC28C" w:rsidR="007C720A" w:rsidRPr="00F45BE0" w:rsidRDefault="007C720A">
            <w:pPr>
              <w:autoSpaceDE w:val="0"/>
              <w:autoSpaceDN w:val="0"/>
              <w:rPr>
                <w:rFonts w:cs="Arial"/>
                <w:b/>
                <w:bCs/>
                <w:color w:val="000000"/>
                <w:sz w:val="18"/>
                <w:szCs w:val="18"/>
              </w:rPr>
            </w:pPr>
            <w:r w:rsidRPr="00F45BE0">
              <w:rPr>
                <w:rFonts w:cs="Arial"/>
                <w:b/>
                <w:bCs/>
                <w:color w:val="000000"/>
                <w:sz w:val="18"/>
                <w:szCs w:val="18"/>
              </w:rPr>
              <w:t xml:space="preserve">Thália </w:t>
            </w:r>
            <w:r w:rsidR="009E163F" w:rsidRPr="00F45BE0">
              <w:rPr>
                <w:rFonts w:cs="Arial"/>
                <w:b/>
                <w:bCs/>
                <w:color w:val="000000"/>
                <w:sz w:val="18"/>
                <w:szCs w:val="18"/>
              </w:rPr>
              <w:t xml:space="preserve">Színház </w:t>
            </w:r>
            <w:r w:rsidRPr="00F45BE0">
              <w:rPr>
                <w:rFonts w:cs="Arial"/>
                <w:b/>
                <w:bCs/>
                <w:color w:val="000000"/>
                <w:sz w:val="18"/>
                <w:szCs w:val="18"/>
              </w:rPr>
              <w:t>NKft. üzletrész</w:t>
            </w:r>
          </w:p>
        </w:tc>
        <w:tc>
          <w:tcPr>
            <w:tcW w:w="1380" w:type="dxa"/>
            <w:tcMar>
              <w:top w:w="0" w:type="dxa"/>
              <w:left w:w="70" w:type="dxa"/>
              <w:bottom w:w="0" w:type="dxa"/>
              <w:right w:w="70" w:type="dxa"/>
            </w:tcMar>
          </w:tcPr>
          <w:p w14:paraId="49D240C2" w14:textId="77777777" w:rsidR="007C720A" w:rsidRPr="00F45BE0" w:rsidRDefault="007C720A">
            <w:pPr>
              <w:autoSpaceDE w:val="0"/>
              <w:autoSpaceDN w:val="0"/>
              <w:jc w:val="right"/>
              <w:rPr>
                <w:rFonts w:cs="Arial"/>
                <w:b/>
                <w:bCs/>
                <w:color w:val="000000"/>
                <w:sz w:val="18"/>
                <w:szCs w:val="18"/>
              </w:rPr>
            </w:pPr>
          </w:p>
        </w:tc>
        <w:tc>
          <w:tcPr>
            <w:tcW w:w="1267" w:type="dxa"/>
            <w:tcMar>
              <w:top w:w="0" w:type="dxa"/>
              <w:left w:w="70" w:type="dxa"/>
              <w:bottom w:w="0" w:type="dxa"/>
              <w:right w:w="70" w:type="dxa"/>
            </w:tcMar>
          </w:tcPr>
          <w:p w14:paraId="220B3B87" w14:textId="77777777" w:rsidR="007C720A" w:rsidRPr="00F45BE0" w:rsidRDefault="007C720A">
            <w:pPr>
              <w:autoSpaceDE w:val="0"/>
              <w:autoSpaceDN w:val="0"/>
              <w:jc w:val="right"/>
              <w:rPr>
                <w:rFonts w:cs="Arial"/>
                <w:b/>
                <w:bCs/>
                <w:color w:val="000000"/>
                <w:sz w:val="18"/>
                <w:szCs w:val="18"/>
              </w:rPr>
            </w:pPr>
          </w:p>
        </w:tc>
        <w:tc>
          <w:tcPr>
            <w:tcW w:w="1407" w:type="dxa"/>
            <w:tcMar>
              <w:top w:w="0" w:type="dxa"/>
              <w:left w:w="70" w:type="dxa"/>
              <w:bottom w:w="0" w:type="dxa"/>
              <w:right w:w="70" w:type="dxa"/>
            </w:tcMar>
            <w:hideMark/>
          </w:tcPr>
          <w:p w14:paraId="23F776D9" w14:textId="77777777" w:rsidR="007C720A" w:rsidRPr="00F45BE0" w:rsidRDefault="007C720A">
            <w:pPr>
              <w:autoSpaceDE w:val="0"/>
              <w:autoSpaceDN w:val="0"/>
              <w:jc w:val="right"/>
              <w:rPr>
                <w:rFonts w:cs="Arial"/>
                <w:b/>
                <w:bCs/>
                <w:color w:val="000000"/>
                <w:sz w:val="18"/>
                <w:szCs w:val="18"/>
              </w:rPr>
            </w:pPr>
            <w:r w:rsidRPr="00F45BE0">
              <w:rPr>
                <w:rFonts w:cs="Arial"/>
                <w:b/>
                <w:bCs/>
                <w:color w:val="000000"/>
                <w:sz w:val="18"/>
                <w:szCs w:val="18"/>
              </w:rPr>
              <w:t>1 372 973 000</w:t>
            </w:r>
          </w:p>
        </w:tc>
        <w:tc>
          <w:tcPr>
            <w:tcW w:w="1408" w:type="dxa"/>
            <w:tcMar>
              <w:top w:w="0" w:type="dxa"/>
              <w:left w:w="70" w:type="dxa"/>
              <w:bottom w:w="0" w:type="dxa"/>
              <w:right w:w="70" w:type="dxa"/>
            </w:tcMar>
            <w:hideMark/>
          </w:tcPr>
          <w:p w14:paraId="67971D46" w14:textId="77777777" w:rsidR="007C720A" w:rsidRPr="00F45BE0" w:rsidRDefault="007C720A">
            <w:pPr>
              <w:autoSpaceDE w:val="0"/>
              <w:autoSpaceDN w:val="0"/>
              <w:jc w:val="right"/>
              <w:rPr>
                <w:rFonts w:cs="Arial"/>
                <w:b/>
                <w:bCs/>
                <w:color w:val="000000"/>
                <w:sz w:val="18"/>
                <w:szCs w:val="18"/>
              </w:rPr>
            </w:pPr>
            <w:r w:rsidRPr="00F45BE0">
              <w:rPr>
                <w:rFonts w:cs="Arial"/>
                <w:b/>
                <w:bCs/>
                <w:color w:val="000000"/>
                <w:sz w:val="18"/>
                <w:szCs w:val="18"/>
              </w:rPr>
              <w:t xml:space="preserve">2 444 934 000   </w:t>
            </w:r>
          </w:p>
        </w:tc>
      </w:tr>
    </w:tbl>
    <w:p w14:paraId="43C3DDD7" w14:textId="5A5A6EDA" w:rsidR="00254A1C" w:rsidRDefault="003520F8" w:rsidP="00254A1C">
      <w:pPr>
        <w:pStyle w:val="BPszvegtest"/>
        <w:spacing w:before="240" w:line="360" w:lineRule="auto"/>
        <w:rPr>
          <w:sz w:val="20"/>
          <w:szCs w:val="20"/>
        </w:rPr>
      </w:pPr>
      <w:r w:rsidRPr="005A6E04">
        <w:rPr>
          <w:sz w:val="20"/>
          <w:szCs w:val="20"/>
        </w:rPr>
        <w:t xml:space="preserve">A Thália Színház szakmai megújítását támogató fejlesztési program keretében, a </w:t>
      </w:r>
      <w:r w:rsidR="00254A1C" w:rsidRPr="005A6E04">
        <w:rPr>
          <w:sz w:val="20"/>
          <w:szCs w:val="20"/>
        </w:rPr>
        <w:t>2018. augusztus 24-i dátumú Támogatási Szerződés</w:t>
      </w:r>
      <w:r w:rsidRPr="005A6E04">
        <w:rPr>
          <w:sz w:val="20"/>
          <w:szCs w:val="20"/>
        </w:rPr>
        <w:t xml:space="preserve">sel, </w:t>
      </w:r>
      <w:r w:rsidR="00254A1C" w:rsidRPr="005A6E04">
        <w:rPr>
          <w:sz w:val="20"/>
          <w:szCs w:val="20"/>
        </w:rPr>
        <w:t>az elnyert 985</w:t>
      </w:r>
      <w:r w:rsidRPr="005A6E04">
        <w:rPr>
          <w:sz w:val="20"/>
          <w:szCs w:val="20"/>
        </w:rPr>
        <w:t>.000.000.-</w:t>
      </w:r>
      <w:r w:rsidR="00254A1C" w:rsidRPr="005A6E04">
        <w:rPr>
          <w:sz w:val="20"/>
          <w:szCs w:val="20"/>
        </w:rPr>
        <w:t>Ft a Thália Színházat és a Mikroszkóp színpadot befogadó Nagymező utca 22-24. szám alatt</w:t>
      </w:r>
      <w:r w:rsidRPr="005A6E04">
        <w:rPr>
          <w:sz w:val="20"/>
          <w:szCs w:val="20"/>
        </w:rPr>
        <w:t>i</w:t>
      </w:r>
      <w:r w:rsidR="00254A1C" w:rsidRPr="005A6E04">
        <w:rPr>
          <w:sz w:val="20"/>
          <w:szCs w:val="20"/>
        </w:rPr>
        <w:t xml:space="preserve"> ingatlanok felújításának, valamint a szükséges színháztechnikai és üzemeltetési beszerzéseknek, fejlesztéseknek a megvalósítás</w:t>
      </w:r>
      <w:r w:rsidRPr="005A6E04">
        <w:rPr>
          <w:sz w:val="20"/>
          <w:szCs w:val="20"/>
        </w:rPr>
        <w:t xml:space="preserve">át szolgálta. </w:t>
      </w:r>
      <w:r w:rsidR="00254A1C" w:rsidRPr="005A6E04">
        <w:rPr>
          <w:sz w:val="20"/>
          <w:szCs w:val="20"/>
        </w:rPr>
        <w:t>A Thália Színház Nonprofit Kft. a fenti támogatáson túl 2019. november folyamán további 127</w:t>
      </w:r>
      <w:r w:rsidRPr="005A6E04">
        <w:rPr>
          <w:sz w:val="20"/>
          <w:szCs w:val="20"/>
        </w:rPr>
        <w:t xml:space="preserve">.000.000.- </w:t>
      </w:r>
      <w:r w:rsidR="00254A1C" w:rsidRPr="005A6E04">
        <w:rPr>
          <w:sz w:val="20"/>
          <w:szCs w:val="20"/>
        </w:rPr>
        <w:t xml:space="preserve">Ft többlettámogatási kérelmet nyújtott be Előadó-művészeti többlettámogatás címen, amelyet szintén elnyert. A Támogató </w:t>
      </w:r>
      <w:r w:rsidRPr="005A6E04">
        <w:rPr>
          <w:sz w:val="20"/>
          <w:szCs w:val="20"/>
        </w:rPr>
        <w:t>mindkét esetben</w:t>
      </w:r>
      <w:r w:rsidR="00254A1C" w:rsidRPr="005A6E04">
        <w:rPr>
          <w:sz w:val="20"/>
          <w:szCs w:val="20"/>
        </w:rPr>
        <w:t xml:space="preserve"> az Emberi Erőforrások Minisztériuma</w:t>
      </w:r>
      <w:r w:rsidRPr="005A6E04">
        <w:rPr>
          <w:sz w:val="20"/>
          <w:szCs w:val="20"/>
        </w:rPr>
        <w:t xml:space="preserve"> volt.</w:t>
      </w:r>
    </w:p>
    <w:p w14:paraId="3507F7BD" w14:textId="188602ED" w:rsidR="00B861BC" w:rsidRPr="005A6E04" w:rsidRDefault="00B861BC" w:rsidP="00B861BC">
      <w:pPr>
        <w:pStyle w:val="BPszvegtest"/>
        <w:spacing w:before="240" w:line="360" w:lineRule="auto"/>
        <w:rPr>
          <w:sz w:val="20"/>
          <w:szCs w:val="20"/>
        </w:rPr>
      </w:pPr>
      <w:r w:rsidRPr="005A6E04">
        <w:rPr>
          <w:sz w:val="20"/>
          <w:szCs w:val="20"/>
        </w:rPr>
        <w:t>A két beruházás (ingatlan és ingóságok együttesen) összesen 1.230.026.360.- Ft volt, a beruházás során a támogatáson (985 mFt + 127 mFt) felüli összeget (118.026.</w:t>
      </w:r>
      <w:r w:rsidR="005C3F91">
        <w:rPr>
          <w:sz w:val="20"/>
          <w:szCs w:val="20"/>
        </w:rPr>
        <w:t>360</w:t>
      </w:r>
      <w:bookmarkStart w:id="1" w:name="_GoBack"/>
      <w:bookmarkEnd w:id="1"/>
      <w:r w:rsidRPr="005A6E04">
        <w:rPr>
          <w:sz w:val="20"/>
          <w:szCs w:val="20"/>
        </w:rPr>
        <w:t xml:space="preserve">.- Ft) a Társaság saját forrásból teremtette elő. </w:t>
      </w:r>
    </w:p>
    <w:p w14:paraId="0DB7D884" w14:textId="77777777" w:rsidR="00B861BC" w:rsidRDefault="00B861BC" w:rsidP="00B861BC">
      <w:pPr>
        <w:pStyle w:val="BPszvegtest"/>
        <w:spacing w:before="240" w:line="360" w:lineRule="auto"/>
        <w:rPr>
          <w:sz w:val="20"/>
          <w:szCs w:val="20"/>
        </w:rPr>
      </w:pPr>
      <w:r w:rsidRPr="005A6E04">
        <w:rPr>
          <w:sz w:val="20"/>
          <w:szCs w:val="20"/>
        </w:rPr>
        <w:t>A beruházás aktiválása kettő ingatlanra került elszámolásra a könyvekben (29086/0/A/1 és 26086/0/A/2 hrsz.), melyet az MNV Zrt. által megbízott szakértő az ingatlanok együttes funkcionálására tekintettel területi alapon osztott fel</w:t>
      </w:r>
      <w:r>
        <w:rPr>
          <w:sz w:val="20"/>
          <w:szCs w:val="20"/>
        </w:rPr>
        <w:t>, az alábbiak szerint:</w:t>
      </w:r>
    </w:p>
    <w:tbl>
      <w:tblPr>
        <w:tblW w:w="0" w:type="auto"/>
        <w:jc w:val="center"/>
        <w:tblLayout w:type="fixed"/>
        <w:tblCellMar>
          <w:left w:w="10" w:type="dxa"/>
          <w:right w:w="10" w:type="dxa"/>
        </w:tblCellMar>
        <w:tblLook w:val="04A0" w:firstRow="1" w:lastRow="0" w:firstColumn="1" w:lastColumn="0" w:noHBand="0" w:noVBand="1"/>
      </w:tblPr>
      <w:tblGrid>
        <w:gridCol w:w="1507"/>
        <w:gridCol w:w="2054"/>
        <w:gridCol w:w="2054"/>
        <w:gridCol w:w="2707"/>
      </w:tblGrid>
      <w:tr w:rsidR="00B861BC" w:rsidRPr="00285073" w14:paraId="59AA0A95" w14:textId="77777777" w:rsidTr="00314DEC">
        <w:trPr>
          <w:trHeight w:hRule="exact" w:val="619"/>
          <w:jc w:val="center"/>
        </w:trPr>
        <w:tc>
          <w:tcPr>
            <w:tcW w:w="1507" w:type="dxa"/>
            <w:tcBorders>
              <w:top w:val="single" w:sz="4" w:space="0" w:color="auto"/>
              <w:left w:val="single" w:sz="4" w:space="0" w:color="auto"/>
            </w:tcBorders>
            <w:shd w:val="clear" w:color="auto" w:fill="FFFFFF"/>
            <w:vAlign w:val="center"/>
          </w:tcPr>
          <w:p w14:paraId="60FA0509" w14:textId="77777777" w:rsidR="00B861BC" w:rsidRPr="00F45BE0" w:rsidRDefault="00B861BC" w:rsidP="00314DEC">
            <w:pPr>
              <w:pStyle w:val="Szvegtrzs20"/>
              <w:shd w:val="clear" w:color="auto" w:fill="auto"/>
              <w:spacing w:before="0" w:line="220" w:lineRule="exact"/>
              <w:ind w:firstLine="0"/>
              <w:rPr>
                <w:rStyle w:val="Szvegtrzs211pt"/>
                <w:rFonts w:ascii="Arial" w:hAnsi="Arial" w:cs="Arial"/>
                <w:b/>
                <w:bCs/>
                <w:sz w:val="20"/>
                <w:szCs w:val="20"/>
              </w:rPr>
            </w:pPr>
            <w:r w:rsidRPr="00F45BE0">
              <w:rPr>
                <w:rStyle w:val="Szvegtrzs211pt"/>
                <w:rFonts w:ascii="Arial" w:hAnsi="Arial" w:cs="Arial"/>
                <w:b/>
                <w:bCs/>
                <w:sz w:val="20"/>
                <w:szCs w:val="20"/>
              </w:rPr>
              <w:t xml:space="preserve">Ingatlan </w:t>
            </w:r>
          </w:p>
          <w:p w14:paraId="72A0163D" w14:textId="77777777" w:rsidR="00B861BC" w:rsidRPr="00F45BE0" w:rsidRDefault="00B861BC" w:rsidP="00314DEC">
            <w:pPr>
              <w:pStyle w:val="Szvegtrzs20"/>
              <w:shd w:val="clear" w:color="auto" w:fill="auto"/>
              <w:spacing w:before="0" w:line="220" w:lineRule="exact"/>
              <w:ind w:firstLine="0"/>
              <w:rPr>
                <w:rFonts w:ascii="Arial" w:hAnsi="Arial" w:cs="Arial"/>
                <w:b/>
                <w:bCs/>
              </w:rPr>
            </w:pPr>
            <w:r w:rsidRPr="00F45BE0">
              <w:rPr>
                <w:rStyle w:val="Szvegtrzs211pt"/>
                <w:rFonts w:ascii="Arial" w:hAnsi="Arial" w:cs="Arial"/>
                <w:b/>
                <w:bCs/>
                <w:sz w:val="20"/>
                <w:szCs w:val="20"/>
              </w:rPr>
              <w:t>hrsz.</w:t>
            </w:r>
          </w:p>
        </w:tc>
        <w:tc>
          <w:tcPr>
            <w:tcW w:w="2054" w:type="dxa"/>
            <w:tcBorders>
              <w:top w:val="single" w:sz="4" w:space="0" w:color="auto"/>
              <w:left w:val="single" w:sz="4" w:space="0" w:color="auto"/>
            </w:tcBorders>
            <w:shd w:val="clear" w:color="auto" w:fill="FFFFFF"/>
          </w:tcPr>
          <w:p w14:paraId="0282188D" w14:textId="77777777" w:rsidR="00B861BC" w:rsidRPr="00F45BE0" w:rsidRDefault="00B861BC" w:rsidP="00314DEC">
            <w:pPr>
              <w:pStyle w:val="Szvegtrzs20"/>
              <w:shd w:val="clear" w:color="auto" w:fill="auto"/>
              <w:spacing w:before="0" w:line="254" w:lineRule="exact"/>
              <w:ind w:firstLine="0"/>
              <w:rPr>
                <w:rStyle w:val="Szvegtrzs211pt"/>
                <w:rFonts w:ascii="Arial" w:hAnsi="Arial" w:cs="Arial"/>
                <w:b/>
                <w:bCs/>
                <w:sz w:val="20"/>
                <w:szCs w:val="20"/>
              </w:rPr>
            </w:pPr>
            <w:r w:rsidRPr="00F45BE0">
              <w:rPr>
                <w:rStyle w:val="Szvegtrzs211pt"/>
                <w:rFonts w:ascii="Arial" w:hAnsi="Arial" w:cs="Arial"/>
                <w:b/>
                <w:bCs/>
                <w:sz w:val="20"/>
                <w:szCs w:val="20"/>
              </w:rPr>
              <w:t xml:space="preserve">Tényleges terület </w:t>
            </w:r>
          </w:p>
          <w:p w14:paraId="53F48C66" w14:textId="77777777" w:rsidR="00B861BC" w:rsidRPr="00F45BE0" w:rsidRDefault="00B861BC" w:rsidP="00314DEC">
            <w:pPr>
              <w:pStyle w:val="Szvegtrzs20"/>
              <w:shd w:val="clear" w:color="auto" w:fill="auto"/>
              <w:spacing w:before="0" w:line="254" w:lineRule="exact"/>
              <w:ind w:firstLine="0"/>
              <w:rPr>
                <w:rFonts w:ascii="Arial" w:hAnsi="Arial" w:cs="Arial"/>
                <w:b/>
                <w:bCs/>
              </w:rPr>
            </w:pPr>
            <w:r w:rsidRPr="00F45BE0">
              <w:rPr>
                <w:rStyle w:val="Szvegtrzs211pt"/>
                <w:rFonts w:ascii="Arial" w:hAnsi="Arial" w:cs="Arial"/>
                <w:b/>
                <w:bCs/>
                <w:sz w:val="20"/>
                <w:szCs w:val="20"/>
              </w:rPr>
              <w:t>m</w:t>
            </w:r>
            <w:r w:rsidRPr="00F45BE0">
              <w:rPr>
                <w:rStyle w:val="Szvegtrzs211pt"/>
                <w:rFonts w:ascii="Arial" w:hAnsi="Arial" w:cs="Arial"/>
                <w:b/>
                <w:bCs/>
                <w:sz w:val="20"/>
                <w:szCs w:val="20"/>
                <w:vertAlign w:val="superscript"/>
              </w:rPr>
              <w:t>2</w:t>
            </w:r>
          </w:p>
        </w:tc>
        <w:tc>
          <w:tcPr>
            <w:tcW w:w="2054" w:type="dxa"/>
            <w:tcBorders>
              <w:top w:val="single" w:sz="4" w:space="0" w:color="auto"/>
              <w:left w:val="single" w:sz="4" w:space="0" w:color="auto"/>
            </w:tcBorders>
            <w:shd w:val="clear" w:color="auto" w:fill="FFFFFF"/>
          </w:tcPr>
          <w:p w14:paraId="67BB0137" w14:textId="77777777" w:rsidR="00B861BC" w:rsidRPr="00F45BE0" w:rsidRDefault="00B861BC" w:rsidP="00314DEC">
            <w:pPr>
              <w:pStyle w:val="Szvegtrzs20"/>
              <w:shd w:val="clear" w:color="auto" w:fill="auto"/>
              <w:spacing w:before="0" w:line="259" w:lineRule="exact"/>
              <w:ind w:firstLine="0"/>
              <w:rPr>
                <w:rFonts w:ascii="Arial" w:hAnsi="Arial" w:cs="Arial"/>
                <w:b/>
                <w:bCs/>
              </w:rPr>
            </w:pPr>
            <w:r w:rsidRPr="00F45BE0">
              <w:rPr>
                <w:rStyle w:val="Szvegtrzs211pt"/>
                <w:rFonts w:ascii="Arial" w:hAnsi="Arial" w:cs="Arial"/>
                <w:b/>
                <w:bCs/>
                <w:sz w:val="20"/>
                <w:szCs w:val="20"/>
              </w:rPr>
              <w:t>Aktuális piaci érték Ft</w:t>
            </w:r>
          </w:p>
        </w:tc>
        <w:tc>
          <w:tcPr>
            <w:tcW w:w="2707" w:type="dxa"/>
            <w:tcBorders>
              <w:top w:val="single" w:sz="4" w:space="0" w:color="auto"/>
              <w:left w:val="single" w:sz="4" w:space="0" w:color="auto"/>
              <w:right w:val="single" w:sz="4" w:space="0" w:color="auto"/>
            </w:tcBorders>
            <w:shd w:val="clear" w:color="auto" w:fill="FFFFFF"/>
          </w:tcPr>
          <w:p w14:paraId="0C2A9BDC" w14:textId="77777777" w:rsidR="00B861BC" w:rsidRPr="00F45BE0" w:rsidRDefault="00B861BC" w:rsidP="00314DEC">
            <w:pPr>
              <w:pStyle w:val="Szvegtrzs20"/>
              <w:shd w:val="clear" w:color="auto" w:fill="auto"/>
              <w:spacing w:before="0" w:line="259" w:lineRule="exact"/>
              <w:ind w:firstLine="0"/>
              <w:rPr>
                <w:rFonts w:ascii="Arial" w:hAnsi="Arial" w:cs="Arial"/>
                <w:b/>
                <w:bCs/>
              </w:rPr>
            </w:pPr>
            <w:r w:rsidRPr="00F45BE0">
              <w:rPr>
                <w:rStyle w:val="Szvegtrzs211pt"/>
                <w:rFonts w:ascii="Arial" w:hAnsi="Arial" w:cs="Arial"/>
                <w:b/>
                <w:bCs/>
                <w:sz w:val="20"/>
                <w:szCs w:val="20"/>
              </w:rPr>
              <w:t>Ebből idegen ingatlanon végzett beruházás Ft</w:t>
            </w:r>
          </w:p>
        </w:tc>
      </w:tr>
      <w:tr w:rsidR="00B861BC" w:rsidRPr="00285073" w14:paraId="4F7E8B1E" w14:textId="77777777" w:rsidTr="00314DEC">
        <w:trPr>
          <w:trHeight w:hRule="exact" w:val="317"/>
          <w:jc w:val="center"/>
        </w:trPr>
        <w:tc>
          <w:tcPr>
            <w:tcW w:w="1507" w:type="dxa"/>
            <w:tcBorders>
              <w:top w:val="single" w:sz="4" w:space="0" w:color="auto"/>
              <w:left w:val="single" w:sz="4" w:space="0" w:color="auto"/>
            </w:tcBorders>
            <w:shd w:val="clear" w:color="auto" w:fill="FFFFFF"/>
            <w:vAlign w:val="bottom"/>
          </w:tcPr>
          <w:p w14:paraId="6B64D0CA" w14:textId="77777777" w:rsidR="00B861BC" w:rsidRPr="00F45BE0" w:rsidRDefault="00B861BC" w:rsidP="00314DEC">
            <w:pPr>
              <w:pStyle w:val="Szvegtrzs20"/>
              <w:shd w:val="clear" w:color="auto" w:fill="auto"/>
              <w:spacing w:before="0" w:line="220" w:lineRule="exact"/>
              <w:ind w:left="240" w:firstLine="0"/>
              <w:jc w:val="left"/>
              <w:rPr>
                <w:rFonts w:ascii="Arial" w:hAnsi="Arial" w:cs="Arial"/>
              </w:rPr>
            </w:pPr>
            <w:r w:rsidRPr="00F45BE0">
              <w:rPr>
                <w:rStyle w:val="Szvegtrzs211pt"/>
                <w:rFonts w:ascii="Arial" w:hAnsi="Arial" w:cs="Arial"/>
                <w:sz w:val="20"/>
                <w:szCs w:val="20"/>
              </w:rPr>
              <w:t>29086/0/A/1</w:t>
            </w:r>
          </w:p>
        </w:tc>
        <w:tc>
          <w:tcPr>
            <w:tcW w:w="2054" w:type="dxa"/>
            <w:tcBorders>
              <w:top w:val="single" w:sz="4" w:space="0" w:color="auto"/>
              <w:left w:val="single" w:sz="4" w:space="0" w:color="auto"/>
            </w:tcBorders>
            <w:shd w:val="clear" w:color="auto" w:fill="FFFFFF"/>
            <w:vAlign w:val="bottom"/>
          </w:tcPr>
          <w:p w14:paraId="15AACD59"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1 082</w:t>
            </w:r>
          </w:p>
        </w:tc>
        <w:tc>
          <w:tcPr>
            <w:tcW w:w="2054" w:type="dxa"/>
            <w:tcBorders>
              <w:top w:val="single" w:sz="4" w:space="0" w:color="auto"/>
              <w:left w:val="single" w:sz="4" w:space="0" w:color="auto"/>
            </w:tcBorders>
            <w:shd w:val="clear" w:color="auto" w:fill="FFFFFF"/>
            <w:vAlign w:val="bottom"/>
          </w:tcPr>
          <w:p w14:paraId="54947B77"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744 000 000</w:t>
            </w:r>
          </w:p>
        </w:tc>
        <w:tc>
          <w:tcPr>
            <w:tcW w:w="2707" w:type="dxa"/>
            <w:tcBorders>
              <w:top w:val="single" w:sz="4" w:space="0" w:color="auto"/>
              <w:left w:val="single" w:sz="4" w:space="0" w:color="auto"/>
              <w:right w:val="single" w:sz="4" w:space="0" w:color="auto"/>
            </w:tcBorders>
            <w:shd w:val="clear" w:color="auto" w:fill="FFFFFF"/>
            <w:vAlign w:val="bottom"/>
          </w:tcPr>
          <w:p w14:paraId="5F515D8B"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274 609 784</w:t>
            </w:r>
          </w:p>
        </w:tc>
      </w:tr>
      <w:tr w:rsidR="00B861BC" w:rsidRPr="00285073" w14:paraId="70FC96FF" w14:textId="77777777" w:rsidTr="00314DEC">
        <w:trPr>
          <w:trHeight w:hRule="exact" w:val="336"/>
          <w:jc w:val="center"/>
        </w:trPr>
        <w:tc>
          <w:tcPr>
            <w:tcW w:w="1507" w:type="dxa"/>
            <w:tcBorders>
              <w:top w:val="single" w:sz="4" w:space="0" w:color="auto"/>
              <w:left w:val="single" w:sz="4" w:space="0" w:color="auto"/>
            </w:tcBorders>
            <w:shd w:val="clear" w:color="auto" w:fill="FFFFFF"/>
          </w:tcPr>
          <w:p w14:paraId="44ABCDC6" w14:textId="77777777" w:rsidR="00B861BC" w:rsidRPr="00F45BE0" w:rsidRDefault="00B861BC" w:rsidP="00314DEC">
            <w:pPr>
              <w:pStyle w:val="Szvegtrzs20"/>
              <w:shd w:val="clear" w:color="auto" w:fill="auto"/>
              <w:spacing w:before="0" w:line="220" w:lineRule="exact"/>
              <w:ind w:left="240" w:firstLine="0"/>
              <w:jc w:val="left"/>
              <w:rPr>
                <w:rFonts w:ascii="Arial" w:hAnsi="Arial" w:cs="Arial"/>
              </w:rPr>
            </w:pPr>
            <w:r w:rsidRPr="00F45BE0">
              <w:rPr>
                <w:rStyle w:val="Szvegtrzs211pt"/>
                <w:rFonts w:ascii="Arial" w:hAnsi="Arial" w:cs="Arial"/>
                <w:sz w:val="20"/>
                <w:szCs w:val="20"/>
              </w:rPr>
              <w:t>29086/0/A/2</w:t>
            </w:r>
          </w:p>
        </w:tc>
        <w:tc>
          <w:tcPr>
            <w:tcW w:w="2054" w:type="dxa"/>
            <w:tcBorders>
              <w:top w:val="single" w:sz="4" w:space="0" w:color="auto"/>
              <w:left w:val="single" w:sz="4" w:space="0" w:color="auto"/>
            </w:tcBorders>
            <w:shd w:val="clear" w:color="auto" w:fill="FFFFFF"/>
          </w:tcPr>
          <w:p w14:paraId="0E01F089"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3 032</w:t>
            </w:r>
          </w:p>
        </w:tc>
        <w:tc>
          <w:tcPr>
            <w:tcW w:w="2054" w:type="dxa"/>
            <w:tcBorders>
              <w:top w:val="single" w:sz="4" w:space="0" w:color="auto"/>
              <w:left w:val="single" w:sz="4" w:space="0" w:color="auto"/>
            </w:tcBorders>
            <w:shd w:val="clear" w:color="auto" w:fill="FFFFFF"/>
          </w:tcPr>
          <w:p w14:paraId="7B7575CF"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2 085 000 000</w:t>
            </w:r>
          </w:p>
        </w:tc>
        <w:tc>
          <w:tcPr>
            <w:tcW w:w="2707" w:type="dxa"/>
            <w:tcBorders>
              <w:top w:val="single" w:sz="4" w:space="0" w:color="auto"/>
              <w:left w:val="single" w:sz="4" w:space="0" w:color="auto"/>
              <w:right w:val="single" w:sz="4" w:space="0" w:color="auto"/>
            </w:tcBorders>
            <w:shd w:val="clear" w:color="auto" w:fill="FFFFFF"/>
          </w:tcPr>
          <w:p w14:paraId="64356F52" w14:textId="77777777" w:rsidR="00B861BC" w:rsidRPr="00F45BE0" w:rsidRDefault="00B861BC" w:rsidP="00314DEC">
            <w:pPr>
              <w:pStyle w:val="Szvegtrzs20"/>
              <w:shd w:val="clear" w:color="auto" w:fill="auto"/>
              <w:spacing w:before="0" w:line="220" w:lineRule="exact"/>
              <w:ind w:firstLine="0"/>
              <w:rPr>
                <w:rFonts w:ascii="Arial" w:hAnsi="Arial" w:cs="Arial"/>
              </w:rPr>
            </w:pPr>
            <w:r w:rsidRPr="00F45BE0">
              <w:rPr>
                <w:rStyle w:val="Szvegtrzs211pt"/>
                <w:rFonts w:ascii="Arial" w:hAnsi="Arial" w:cs="Arial"/>
                <w:sz w:val="20"/>
                <w:szCs w:val="20"/>
              </w:rPr>
              <w:t>769 516 511</w:t>
            </w:r>
          </w:p>
        </w:tc>
      </w:tr>
      <w:tr w:rsidR="00B861BC" w:rsidRPr="00285073" w14:paraId="2D943F34" w14:textId="77777777" w:rsidTr="00314DEC">
        <w:trPr>
          <w:trHeight w:hRule="exact" w:val="346"/>
          <w:jc w:val="center"/>
        </w:trPr>
        <w:tc>
          <w:tcPr>
            <w:tcW w:w="8322" w:type="dxa"/>
            <w:gridSpan w:val="4"/>
            <w:tcBorders>
              <w:top w:val="single" w:sz="4" w:space="0" w:color="auto"/>
              <w:left w:val="single" w:sz="4" w:space="0" w:color="auto"/>
              <w:bottom w:val="single" w:sz="4" w:space="0" w:color="auto"/>
              <w:right w:val="single" w:sz="4" w:space="0" w:color="auto"/>
            </w:tcBorders>
            <w:shd w:val="clear" w:color="auto" w:fill="FFFFFF"/>
          </w:tcPr>
          <w:p w14:paraId="2539984B" w14:textId="77777777" w:rsidR="00B861BC" w:rsidRPr="00F45BE0" w:rsidRDefault="00B861BC" w:rsidP="00314DEC">
            <w:pPr>
              <w:pStyle w:val="Szvegtrzs20"/>
              <w:shd w:val="clear" w:color="auto" w:fill="auto"/>
              <w:spacing w:before="0" w:line="220" w:lineRule="exact"/>
              <w:ind w:firstLine="0"/>
              <w:jc w:val="left"/>
              <w:rPr>
                <w:rFonts w:ascii="Arial" w:hAnsi="Arial" w:cs="Arial"/>
              </w:rPr>
            </w:pPr>
            <w:r w:rsidRPr="00F45BE0">
              <w:rPr>
                <w:rStyle w:val="Szvegtrzs211pt"/>
                <w:rFonts w:ascii="Arial" w:hAnsi="Arial" w:cs="Arial"/>
                <w:sz w:val="20"/>
                <w:szCs w:val="20"/>
              </w:rPr>
              <w:t xml:space="preserve">Összesen: </w:t>
            </w:r>
            <w:r w:rsidRPr="00F45BE0">
              <w:rPr>
                <w:rStyle w:val="Szvegtrzs211ptFlkvr"/>
                <w:rFonts w:ascii="Arial" w:hAnsi="Arial" w:cs="Arial"/>
                <w:sz w:val="20"/>
                <w:szCs w:val="20"/>
              </w:rPr>
              <w:t>1 044 126 295</w:t>
            </w:r>
          </w:p>
        </w:tc>
      </w:tr>
    </w:tbl>
    <w:p w14:paraId="3523BCB8" w14:textId="218FBD1D" w:rsidR="00B861BC" w:rsidRDefault="009C6699" w:rsidP="00B861BC">
      <w:pPr>
        <w:pStyle w:val="BPszvegtest"/>
        <w:spacing w:before="240" w:line="360" w:lineRule="auto"/>
        <w:rPr>
          <w:sz w:val="20"/>
          <w:szCs w:val="20"/>
        </w:rPr>
      </w:pPr>
      <w:r>
        <w:rPr>
          <w:sz w:val="20"/>
          <w:szCs w:val="20"/>
        </w:rPr>
        <w:t xml:space="preserve">Ezen beruházás értékéből </w:t>
      </w:r>
      <w:r w:rsidRPr="009C6699">
        <w:rPr>
          <w:sz w:val="20"/>
          <w:szCs w:val="20"/>
        </w:rPr>
        <w:t xml:space="preserve">943.937.800,- Ft értékű </w:t>
      </w:r>
      <w:r>
        <w:rPr>
          <w:sz w:val="20"/>
          <w:szCs w:val="20"/>
        </w:rPr>
        <w:t xml:space="preserve">volt az állami támogatás, és </w:t>
      </w:r>
      <w:r w:rsidRPr="009C6699">
        <w:rPr>
          <w:sz w:val="20"/>
          <w:szCs w:val="20"/>
        </w:rPr>
        <w:t xml:space="preserve">100.188.501,-Ft összegű </w:t>
      </w:r>
      <w:r>
        <w:rPr>
          <w:sz w:val="20"/>
          <w:szCs w:val="20"/>
        </w:rPr>
        <w:t xml:space="preserve">volt </w:t>
      </w:r>
      <w:r w:rsidRPr="009C6699">
        <w:rPr>
          <w:sz w:val="20"/>
          <w:szCs w:val="20"/>
        </w:rPr>
        <w:t xml:space="preserve">a Thália Színház Nonprofit Kft. saját forrása </w:t>
      </w:r>
      <w:r>
        <w:rPr>
          <w:sz w:val="20"/>
          <w:szCs w:val="20"/>
        </w:rPr>
        <w:t xml:space="preserve">(önrész). </w:t>
      </w:r>
    </w:p>
    <w:p w14:paraId="1FF7F069" w14:textId="33A9FD4B" w:rsidR="00B861BC" w:rsidRDefault="00B861BC" w:rsidP="00B861BC">
      <w:pPr>
        <w:pStyle w:val="BPszvegtest"/>
        <w:spacing w:before="240" w:line="360" w:lineRule="auto"/>
        <w:rPr>
          <w:sz w:val="20"/>
          <w:szCs w:val="20"/>
        </w:rPr>
      </w:pPr>
      <w:r>
        <w:rPr>
          <w:sz w:val="20"/>
          <w:szCs w:val="20"/>
        </w:rPr>
        <w:t>Az üzletrész értékben a két értékelés közötti különbséget az okozza, hogy az MNV Zrt. által felkért szakértő az ingatlanokra fordított állami támogatás összegét mind az ingatlan érték</w:t>
      </w:r>
      <w:r w:rsidR="005069E0">
        <w:rPr>
          <w:sz w:val="20"/>
          <w:szCs w:val="20"/>
        </w:rPr>
        <w:t>ben</w:t>
      </w:r>
      <w:r>
        <w:rPr>
          <w:sz w:val="20"/>
          <w:szCs w:val="20"/>
        </w:rPr>
        <w:t xml:space="preserve">, mind pedig az üzletrész </w:t>
      </w:r>
      <w:r>
        <w:rPr>
          <w:sz w:val="20"/>
          <w:szCs w:val="20"/>
        </w:rPr>
        <w:lastRenderedPageBreak/>
        <w:t>értékelés során (tehát duplá</w:t>
      </w:r>
      <w:r w:rsidR="005069E0">
        <w:rPr>
          <w:sz w:val="20"/>
          <w:szCs w:val="20"/>
        </w:rPr>
        <w:t>n</w:t>
      </w:r>
      <w:r>
        <w:rPr>
          <w:sz w:val="20"/>
          <w:szCs w:val="20"/>
        </w:rPr>
        <w:t xml:space="preserve">) figyelembe vette, míg a BFVK Zrt. csak az ingatlanok </w:t>
      </w:r>
      <w:r w:rsidR="005069E0">
        <w:rPr>
          <w:sz w:val="20"/>
          <w:szCs w:val="20"/>
        </w:rPr>
        <w:t>értékében. Ennek okán az MNV Zrt. jelezte, hogy az állami támogatás összegét az ingatlanok ért</w:t>
      </w:r>
      <w:r w:rsidR="00F83616">
        <w:rPr>
          <w:sz w:val="20"/>
          <w:szCs w:val="20"/>
        </w:rPr>
        <w:t>é</w:t>
      </w:r>
      <w:r w:rsidR="005069E0">
        <w:rPr>
          <w:sz w:val="20"/>
          <w:szCs w:val="20"/>
        </w:rPr>
        <w:t>kéből le kívánja vonni</w:t>
      </w:r>
      <w:r w:rsidR="00F83616">
        <w:rPr>
          <w:sz w:val="20"/>
          <w:szCs w:val="20"/>
        </w:rPr>
        <w:t xml:space="preserve">. Ezt követően a magyar állam képviselői jelezték, hogy </w:t>
      </w:r>
      <w:r w:rsidR="00EB7FDA">
        <w:rPr>
          <w:sz w:val="20"/>
          <w:szCs w:val="20"/>
        </w:rPr>
        <w:t>az állami vagyonról szóló törvény módosításra kerül, és sem az ingatlanok, sem pedig az üzletrész értékében nem lesz figyelembe vehető a kapott állami támogatás összege.</w:t>
      </w:r>
    </w:p>
    <w:p w14:paraId="6F113740" w14:textId="33FFF128" w:rsidR="00F83616" w:rsidRPr="00F83616" w:rsidRDefault="00EB7FDA" w:rsidP="00F83616">
      <w:pPr>
        <w:pStyle w:val="BPszvegtest"/>
        <w:spacing w:before="240" w:line="360" w:lineRule="auto"/>
        <w:rPr>
          <w:sz w:val="20"/>
          <w:szCs w:val="20"/>
        </w:rPr>
      </w:pPr>
      <w:r>
        <w:rPr>
          <w:sz w:val="20"/>
          <w:szCs w:val="20"/>
        </w:rPr>
        <w:t>A jelzett törvény-módosítás a</w:t>
      </w:r>
      <w:r w:rsidR="00F83616" w:rsidRPr="00F83616">
        <w:rPr>
          <w:sz w:val="20"/>
          <w:szCs w:val="20"/>
        </w:rPr>
        <w:t xml:space="preserve"> Magyar Közlöny dec</w:t>
      </w:r>
      <w:r>
        <w:rPr>
          <w:sz w:val="20"/>
          <w:szCs w:val="20"/>
        </w:rPr>
        <w:t>ember</w:t>
      </w:r>
      <w:r w:rsidR="00F83616" w:rsidRPr="00F83616">
        <w:rPr>
          <w:sz w:val="20"/>
          <w:szCs w:val="20"/>
        </w:rPr>
        <w:t xml:space="preserve"> 19-</w:t>
      </w:r>
      <w:r>
        <w:rPr>
          <w:sz w:val="20"/>
          <w:szCs w:val="20"/>
        </w:rPr>
        <w:t xml:space="preserve">i számában kihirdetésre is került, és </w:t>
      </w:r>
      <w:r w:rsidR="00F83616" w:rsidRPr="00F83616">
        <w:rPr>
          <w:sz w:val="20"/>
          <w:szCs w:val="20"/>
        </w:rPr>
        <w:t>dec</w:t>
      </w:r>
      <w:r>
        <w:rPr>
          <w:sz w:val="20"/>
          <w:szCs w:val="20"/>
        </w:rPr>
        <w:t>ember</w:t>
      </w:r>
      <w:r w:rsidR="00F83616" w:rsidRPr="00F83616">
        <w:rPr>
          <w:sz w:val="20"/>
          <w:szCs w:val="20"/>
        </w:rPr>
        <w:t xml:space="preserve"> 20-án hatályba lépett</w:t>
      </w:r>
      <w:r>
        <w:rPr>
          <w:sz w:val="20"/>
          <w:szCs w:val="20"/>
        </w:rPr>
        <w:t>. A törvény-módosítás szövege:</w:t>
      </w:r>
    </w:p>
    <w:p w14:paraId="3FCAFEAA" w14:textId="6D3B4250" w:rsidR="00F83616" w:rsidRPr="00F83616" w:rsidRDefault="00EB7FDA" w:rsidP="00F83616">
      <w:pPr>
        <w:pStyle w:val="BPszvegtest"/>
        <w:spacing w:before="240" w:line="360" w:lineRule="auto"/>
        <w:rPr>
          <w:sz w:val="20"/>
          <w:szCs w:val="20"/>
        </w:rPr>
      </w:pPr>
      <w:r>
        <w:rPr>
          <w:sz w:val="20"/>
          <w:szCs w:val="20"/>
        </w:rPr>
        <w:t>A</w:t>
      </w:r>
      <w:r w:rsidR="00F83616" w:rsidRPr="00F83616">
        <w:rPr>
          <w:sz w:val="20"/>
          <w:szCs w:val="20"/>
        </w:rPr>
        <w:t xml:space="preserve">z állami vagyonról szóló 2007. évi CVI. törvény 66. §-a a következő (3)–(5) bekezdéssel egészül ki: </w:t>
      </w:r>
    </w:p>
    <w:p w14:paraId="1D38578C" w14:textId="77777777" w:rsidR="00F83616" w:rsidRPr="009E55B6" w:rsidRDefault="00F83616" w:rsidP="00F83616">
      <w:pPr>
        <w:pStyle w:val="BPszvegtest"/>
        <w:spacing w:before="240" w:line="360" w:lineRule="auto"/>
        <w:rPr>
          <w:b/>
          <w:bCs/>
          <w:i/>
          <w:iCs/>
          <w:sz w:val="20"/>
          <w:szCs w:val="20"/>
        </w:rPr>
      </w:pPr>
      <w:r w:rsidRPr="009E55B6">
        <w:rPr>
          <w:b/>
          <w:bCs/>
          <w:i/>
          <w:iCs/>
          <w:sz w:val="20"/>
          <w:szCs w:val="20"/>
        </w:rPr>
        <w:t xml:space="preserve">„(3) Amennyiben az állam valamely vagyonelemet ellenérték fejében szerez meg és a vagyonelem létrehozásához, értéknövelő felújításához, fejlesztéséhez – annak állam általi megszerzését megelőzően – központi költségvetési forrás került felhasználásra, akkor a  vagyonelem vételárának megállapításakor a  vételárat csökkenteni kell a  felhasznált központi költségvetési forrás összegével akként, hogy a  vételár meghatározásának alapjául szolgáló becsült forgalmi értékből értéknövelő beruházás, felújítás esetén az értékelés fordulónapján fennálló könyv szerinti értékére jutó felhasznált központi költségvetési forrás összegét le kell vonni. </w:t>
      </w:r>
    </w:p>
    <w:p w14:paraId="158347B1" w14:textId="77777777" w:rsidR="00F83616" w:rsidRPr="009E55B6" w:rsidRDefault="00F83616" w:rsidP="00F83616">
      <w:pPr>
        <w:pStyle w:val="BPszvegtest"/>
        <w:spacing w:before="240" w:line="360" w:lineRule="auto"/>
        <w:rPr>
          <w:b/>
          <w:bCs/>
          <w:i/>
          <w:iCs/>
          <w:sz w:val="20"/>
          <w:szCs w:val="20"/>
        </w:rPr>
      </w:pPr>
      <w:r w:rsidRPr="009E55B6">
        <w:rPr>
          <w:b/>
          <w:bCs/>
          <w:i/>
          <w:iCs/>
          <w:sz w:val="20"/>
          <w:szCs w:val="20"/>
        </w:rPr>
        <w:t xml:space="preserve">(4) Társasági részesedés állam által történő megszerzése esetén, ha a  gazdasági társaság, amelyben a  részesedés fennáll – a  társasági részesedés állam általi megszerzését megelőzően – központi költségvetésből származó fejlesztési támogatásban részesült, akkor a  társasági részesedés vételárát csökkenteni kell a  felhasznált központi költségvetési forrás összegével akként, hogy a vételár meghatározásának alapjául szolgáló becsült forgalmi értékből a gazdasági társaság értékelésének fordulónapján a számviteli nyilvántartásában szereplő központi költségvetésből származó fejlesztési támogatás elhatárolt összegét le kell vonni. </w:t>
      </w:r>
    </w:p>
    <w:p w14:paraId="1000D56C" w14:textId="682FB98B" w:rsidR="00F83616" w:rsidRPr="009E55B6" w:rsidRDefault="009C6699" w:rsidP="00B861BC">
      <w:pPr>
        <w:pStyle w:val="BPszvegtest"/>
        <w:spacing w:before="240" w:line="360" w:lineRule="auto"/>
        <w:rPr>
          <w:i/>
          <w:iCs/>
          <w:sz w:val="20"/>
          <w:szCs w:val="20"/>
        </w:rPr>
      </w:pPr>
      <w:r w:rsidRPr="009E55B6">
        <w:rPr>
          <w:i/>
          <w:iCs/>
          <w:sz w:val="20"/>
          <w:szCs w:val="20"/>
        </w:rPr>
        <w:t>(5) A vételár megállapítására vonatkozó (3) bekezdés szerinti rendelkezést az Nvtv. 14. § (2) bekezdésében foglaltak szerinti elővásárlási jog gyakorlása során is alkalmazni kell.”</w:t>
      </w:r>
    </w:p>
    <w:p w14:paraId="05CEA46B" w14:textId="51E5F208" w:rsidR="00B861BC" w:rsidRPr="005A6E04" w:rsidRDefault="00EB7FDA" w:rsidP="00B861BC">
      <w:pPr>
        <w:pStyle w:val="BPszvegtest"/>
        <w:spacing w:before="240" w:line="360" w:lineRule="auto"/>
        <w:rPr>
          <w:sz w:val="20"/>
          <w:szCs w:val="20"/>
        </w:rPr>
      </w:pPr>
      <w:r>
        <w:rPr>
          <w:sz w:val="20"/>
          <w:szCs w:val="20"/>
        </w:rPr>
        <w:t>Ezen túlmenően a</w:t>
      </w:r>
      <w:r w:rsidR="00B861BC">
        <w:rPr>
          <w:sz w:val="20"/>
          <w:szCs w:val="20"/>
        </w:rPr>
        <w:t xml:space="preserve">z ingatlan értékekben </w:t>
      </w:r>
      <w:r w:rsidR="005069E0">
        <w:rPr>
          <w:sz w:val="20"/>
          <w:szCs w:val="20"/>
        </w:rPr>
        <w:t xml:space="preserve">a </w:t>
      </w:r>
      <w:r w:rsidR="00B861BC" w:rsidRPr="00285073">
        <w:rPr>
          <w:sz w:val="20"/>
          <w:szCs w:val="20"/>
        </w:rPr>
        <w:t xml:space="preserve">szakértői vélemények eltéréseinek </w:t>
      </w:r>
      <w:r w:rsidR="00B861BC">
        <w:rPr>
          <w:sz w:val="20"/>
          <w:szCs w:val="20"/>
        </w:rPr>
        <w:t>az</w:t>
      </w:r>
      <w:r w:rsidR="00B861BC" w:rsidRPr="00285073">
        <w:rPr>
          <w:sz w:val="20"/>
          <w:szCs w:val="20"/>
        </w:rPr>
        <w:t xml:space="preserve"> oka </w:t>
      </w:r>
      <w:r w:rsidR="00B861BC">
        <w:rPr>
          <w:sz w:val="20"/>
          <w:szCs w:val="20"/>
        </w:rPr>
        <w:t xml:space="preserve">nagyrészt </w:t>
      </w:r>
      <w:r w:rsidR="00B861BC" w:rsidRPr="00285073">
        <w:rPr>
          <w:sz w:val="20"/>
          <w:szCs w:val="20"/>
        </w:rPr>
        <w:t>az értékmegállapítás módszer</w:t>
      </w:r>
      <w:r w:rsidR="00B861BC">
        <w:rPr>
          <w:sz w:val="20"/>
          <w:szCs w:val="20"/>
        </w:rPr>
        <w:t>ében van</w:t>
      </w:r>
      <w:r w:rsidR="00B861BC" w:rsidRPr="005A6E04">
        <w:rPr>
          <w:sz w:val="20"/>
          <w:szCs w:val="20"/>
        </w:rPr>
        <w:t>.</w:t>
      </w:r>
    </w:p>
    <w:p w14:paraId="52EEF463" w14:textId="31E41595" w:rsidR="00B451D7" w:rsidRDefault="003777F5" w:rsidP="00B451D7">
      <w:pPr>
        <w:pStyle w:val="BPszvegtest"/>
        <w:spacing w:before="240" w:line="360" w:lineRule="auto"/>
        <w:rPr>
          <w:sz w:val="20"/>
          <w:szCs w:val="20"/>
        </w:rPr>
      </w:pPr>
      <w:r w:rsidRPr="003777F5">
        <w:rPr>
          <w:sz w:val="20"/>
          <w:szCs w:val="20"/>
        </w:rPr>
        <w:t>A szakértői véleményekben lévő eltérés</w:t>
      </w:r>
      <w:r w:rsidR="00254A1C">
        <w:rPr>
          <w:sz w:val="20"/>
          <w:szCs w:val="20"/>
        </w:rPr>
        <w:t>ek</w:t>
      </w:r>
      <w:r w:rsidRPr="003777F5">
        <w:rPr>
          <w:sz w:val="20"/>
          <w:szCs w:val="20"/>
        </w:rPr>
        <w:t xml:space="preserve"> okán szakértői, majd vezetői szintű egyeztető tárgyalások történtek a vételár tekintetében</w:t>
      </w:r>
      <w:r w:rsidR="00586352">
        <w:rPr>
          <w:sz w:val="20"/>
          <w:szCs w:val="20"/>
        </w:rPr>
        <w:t>.</w:t>
      </w:r>
      <w:r w:rsidR="001C1E3B">
        <w:rPr>
          <w:sz w:val="20"/>
          <w:szCs w:val="20"/>
        </w:rPr>
        <w:t xml:space="preserve"> Tekintettel arra, hogy a Thália Színház </w:t>
      </w:r>
      <w:r w:rsidR="001C1E3B" w:rsidRPr="00510EF5">
        <w:rPr>
          <w:sz w:val="20"/>
          <w:szCs w:val="20"/>
        </w:rPr>
        <w:t xml:space="preserve">olyan közös működtetésű színház, amelynek éves működése pénzügyi feltételeit </w:t>
      </w:r>
      <w:r w:rsidR="009B7215" w:rsidRPr="009B7215">
        <w:rPr>
          <w:sz w:val="20"/>
          <w:szCs w:val="20"/>
        </w:rPr>
        <w:t xml:space="preserve">Közös Működtetési Megállapodás </w:t>
      </w:r>
      <w:r w:rsidR="009B7215">
        <w:rPr>
          <w:sz w:val="20"/>
          <w:szCs w:val="20"/>
        </w:rPr>
        <w:t xml:space="preserve">alapján </w:t>
      </w:r>
      <w:r w:rsidR="001C1E3B" w:rsidRPr="00510EF5">
        <w:rPr>
          <w:sz w:val="20"/>
          <w:szCs w:val="20"/>
        </w:rPr>
        <w:t>teljes egészében az Emberi Erőforrások Minisztériuma biztosítja</w:t>
      </w:r>
      <w:r w:rsidR="001C1E3B">
        <w:rPr>
          <w:sz w:val="20"/>
          <w:szCs w:val="20"/>
        </w:rPr>
        <w:t xml:space="preserve">, </w:t>
      </w:r>
      <w:r w:rsidR="002400C6">
        <w:rPr>
          <w:sz w:val="20"/>
          <w:szCs w:val="20"/>
        </w:rPr>
        <w:t>az</w:t>
      </w:r>
      <w:r w:rsidR="001C1E3B">
        <w:rPr>
          <w:sz w:val="20"/>
          <w:szCs w:val="20"/>
        </w:rPr>
        <w:t xml:space="preserve"> állami tulajdonba kerülést követően </w:t>
      </w:r>
      <w:r w:rsidR="009B7215">
        <w:rPr>
          <w:sz w:val="20"/>
          <w:szCs w:val="20"/>
        </w:rPr>
        <w:t>a</w:t>
      </w:r>
      <w:r w:rsidR="009B7215" w:rsidRPr="004A33CF">
        <w:rPr>
          <w:sz w:val="20"/>
          <w:szCs w:val="20"/>
        </w:rPr>
        <w:t xml:space="preserve"> színházi gazdasági társaságokkal az előadó-művészeti szervezet támogatásról és sajátos foglalkoztatási szabályairól szóló 2008. évi. XCIX. törvény </w:t>
      </w:r>
      <w:r w:rsidR="002400C6">
        <w:rPr>
          <w:sz w:val="20"/>
          <w:szCs w:val="20"/>
        </w:rPr>
        <w:t xml:space="preserve">(továbbiakban: Emtv.) </w:t>
      </w:r>
      <w:r w:rsidR="009B7215">
        <w:rPr>
          <w:sz w:val="20"/>
          <w:szCs w:val="20"/>
        </w:rPr>
        <w:t xml:space="preserve">16. § (2) bekezdése szerint állam által fenntartott színházként </w:t>
      </w:r>
      <w:r w:rsidR="001C1E3B">
        <w:rPr>
          <w:sz w:val="20"/>
          <w:szCs w:val="20"/>
        </w:rPr>
        <w:t>szakadatlanul folytatódó közfeladatellátás valósul meg,</w:t>
      </w:r>
      <w:r w:rsidRPr="003777F5">
        <w:rPr>
          <w:sz w:val="20"/>
          <w:szCs w:val="20"/>
        </w:rPr>
        <w:t xml:space="preserve"> </w:t>
      </w:r>
      <w:r w:rsidR="002400C6">
        <w:rPr>
          <w:sz w:val="20"/>
          <w:szCs w:val="20"/>
        </w:rPr>
        <w:t xml:space="preserve">ezért </w:t>
      </w:r>
      <w:r w:rsidRPr="003777F5">
        <w:rPr>
          <w:sz w:val="20"/>
          <w:szCs w:val="20"/>
        </w:rPr>
        <w:t>a tranzakcióra kölcsönösen kialkudott</w:t>
      </w:r>
      <w:r w:rsidR="00285073">
        <w:rPr>
          <w:sz w:val="20"/>
          <w:szCs w:val="20"/>
        </w:rPr>
        <w:t xml:space="preserve"> (megegyezett),</w:t>
      </w:r>
      <w:r w:rsidR="004101DD">
        <w:rPr>
          <w:sz w:val="20"/>
          <w:szCs w:val="20"/>
        </w:rPr>
        <w:t xml:space="preserve"> kedvezményes</w:t>
      </w:r>
      <w:r w:rsidRPr="003777F5">
        <w:rPr>
          <w:sz w:val="20"/>
          <w:szCs w:val="20"/>
        </w:rPr>
        <w:t xml:space="preserve"> vételáron kerülne sor</w:t>
      </w:r>
      <w:r w:rsidR="00E74BB0">
        <w:rPr>
          <w:sz w:val="20"/>
          <w:szCs w:val="20"/>
        </w:rPr>
        <w:t xml:space="preserve">. Az </w:t>
      </w:r>
      <w:r w:rsidR="00E74BB0" w:rsidRPr="00E74BB0">
        <w:rPr>
          <w:sz w:val="20"/>
          <w:szCs w:val="20"/>
        </w:rPr>
        <w:t>állami tulajdonba kerülést követően szakadatlanul folytatódó közfeladatellátás</w:t>
      </w:r>
      <w:r w:rsidR="00E74BB0">
        <w:rPr>
          <w:sz w:val="20"/>
          <w:szCs w:val="20"/>
        </w:rPr>
        <w:t xml:space="preserve"> azt </w:t>
      </w:r>
      <w:r w:rsidR="0097039D">
        <w:rPr>
          <w:sz w:val="20"/>
          <w:szCs w:val="20"/>
        </w:rPr>
        <w:t xml:space="preserve">is </w:t>
      </w:r>
      <w:r w:rsidR="00E74BB0">
        <w:rPr>
          <w:sz w:val="20"/>
          <w:szCs w:val="20"/>
        </w:rPr>
        <w:t xml:space="preserve">jelenti, hogy a színház </w:t>
      </w:r>
      <w:r w:rsidR="0097039D">
        <w:rPr>
          <w:sz w:val="20"/>
          <w:szCs w:val="20"/>
        </w:rPr>
        <w:t xml:space="preserve">Budapest Főváros kulturális életének továbbra is szerves része, illetve az átvevő tulajdonos, fenntartói feladatkörben jelentős összegeket fog fordítani a </w:t>
      </w:r>
      <w:r w:rsidR="00285073">
        <w:rPr>
          <w:sz w:val="20"/>
          <w:szCs w:val="20"/>
        </w:rPr>
        <w:t xml:space="preserve">megvásárolt </w:t>
      </w:r>
      <w:r w:rsidR="0097039D">
        <w:rPr>
          <w:sz w:val="20"/>
          <w:szCs w:val="20"/>
        </w:rPr>
        <w:t>színház működtetésére.</w:t>
      </w:r>
    </w:p>
    <w:p w14:paraId="54C64908" w14:textId="77777777" w:rsidR="00BC5FB3" w:rsidRDefault="00BC5FB3" w:rsidP="00BC5FB3">
      <w:pPr>
        <w:pStyle w:val="BPszvegtest"/>
        <w:spacing w:after="0" w:line="360" w:lineRule="auto"/>
        <w:rPr>
          <w:sz w:val="20"/>
          <w:szCs w:val="20"/>
        </w:rPr>
      </w:pPr>
      <w:r w:rsidRPr="003777F5">
        <w:rPr>
          <w:sz w:val="20"/>
          <w:szCs w:val="20"/>
        </w:rPr>
        <w:lastRenderedPageBreak/>
        <w:t xml:space="preserve">Az Ingatlanok együttes vételára mindezekre tekintettel </w:t>
      </w:r>
      <w:r>
        <w:rPr>
          <w:sz w:val="20"/>
          <w:szCs w:val="20"/>
        </w:rPr>
        <w:t xml:space="preserve">az MNV Zrt. által készíttetett szakértői vélemények és az MNV Zrt. ajánlata alapján </w:t>
      </w:r>
      <w:r w:rsidRPr="003777F5">
        <w:rPr>
          <w:sz w:val="20"/>
          <w:szCs w:val="20"/>
        </w:rPr>
        <w:t>nettó 2 415 974 000.- Ft, míg az üzletrész teljes ellenértéke 1 184 026 000.- Ft</w:t>
      </w:r>
      <w:r>
        <w:rPr>
          <w:sz w:val="20"/>
          <w:szCs w:val="20"/>
        </w:rPr>
        <w:t xml:space="preserve"> összegben került kölcsönösen elfogadásra.</w:t>
      </w:r>
      <w:r w:rsidRPr="00671B96">
        <w:rPr>
          <w:sz w:val="20"/>
          <w:szCs w:val="20"/>
        </w:rPr>
        <w:t xml:space="preserve">  </w:t>
      </w:r>
      <w:r>
        <w:rPr>
          <w:sz w:val="20"/>
          <w:szCs w:val="20"/>
        </w:rPr>
        <w:t xml:space="preserve">A Kormány az egyes fővárosi kulturális színterek és ingatlanok magyar állam általi megvásárlásához szükséges forrás biztosításáról, valamint az egyes fővárosi kulturális színterek és ingatlanok magyar állam általi megvásárlásához szükséges kormányzati intézkedésekről szóló 1901/2020.(XII.14.) Korm. határozatával biztosította a mindösszesen 3 600 000 000.- Ft vételár fedezetét. (Az ebben jóváhagyott 3 709 000 000.- Ft fedezetből 109 000 000.- Ft a </w:t>
      </w:r>
      <w:r w:rsidRPr="0097039D">
        <w:rPr>
          <w:sz w:val="20"/>
          <w:szCs w:val="20"/>
        </w:rPr>
        <w:t>Budapest Főváros VI. Kerület Terézváros</w:t>
      </w:r>
      <w:r w:rsidRPr="0097039D" w:rsidDel="0097039D">
        <w:rPr>
          <w:sz w:val="20"/>
          <w:szCs w:val="20"/>
        </w:rPr>
        <w:t xml:space="preserve"> </w:t>
      </w:r>
      <w:r>
        <w:rPr>
          <w:sz w:val="20"/>
          <w:szCs w:val="20"/>
        </w:rPr>
        <w:t xml:space="preserve">Önkormányzata tulajdonában álló </w:t>
      </w:r>
      <w:r w:rsidRPr="00F478C1">
        <w:rPr>
          <w:sz w:val="20"/>
          <w:szCs w:val="20"/>
        </w:rPr>
        <w:t>Nagymező u. 22-24. I.em. (29086/0/A/5 hrsz</w:t>
      </w:r>
      <w:r>
        <w:rPr>
          <w:sz w:val="20"/>
          <w:szCs w:val="20"/>
        </w:rPr>
        <w:t>.) ingatlan vételár fedezeteként szolgál.)</w:t>
      </w:r>
    </w:p>
    <w:p w14:paraId="01150D9C" w14:textId="2BDFAFC5" w:rsidR="004101DD" w:rsidRDefault="00BC5FB3" w:rsidP="005E497F">
      <w:pPr>
        <w:pStyle w:val="BPszvegtest"/>
        <w:spacing w:after="0" w:line="360" w:lineRule="auto"/>
        <w:rPr>
          <w:sz w:val="20"/>
          <w:szCs w:val="20"/>
        </w:rPr>
      </w:pPr>
      <w:r>
        <w:rPr>
          <w:sz w:val="20"/>
          <w:szCs w:val="20"/>
        </w:rPr>
        <w:t>A</w:t>
      </w:r>
      <w:r w:rsidR="004101DD" w:rsidRPr="004101DD">
        <w:rPr>
          <w:sz w:val="20"/>
          <w:szCs w:val="20"/>
        </w:rPr>
        <w:t>z Üzletrész Adásvételi Megállapodás (</w:t>
      </w:r>
      <w:r w:rsidR="0011622B">
        <w:rPr>
          <w:sz w:val="20"/>
          <w:szCs w:val="20"/>
        </w:rPr>
        <w:t xml:space="preserve">a továbbiakban: </w:t>
      </w:r>
      <w:r w:rsidR="0011622B" w:rsidRPr="0011622B">
        <w:rPr>
          <w:b/>
          <w:bCs/>
          <w:sz w:val="20"/>
          <w:szCs w:val="20"/>
        </w:rPr>
        <w:t>ÜA</w:t>
      </w:r>
      <w:r w:rsidR="0011622B">
        <w:rPr>
          <w:b/>
          <w:bCs/>
          <w:sz w:val="20"/>
          <w:szCs w:val="20"/>
        </w:rPr>
        <w:t>M -</w:t>
      </w:r>
      <w:r w:rsidR="0011622B">
        <w:rPr>
          <w:sz w:val="20"/>
          <w:szCs w:val="20"/>
        </w:rPr>
        <w:t xml:space="preserve"> </w:t>
      </w:r>
      <w:r w:rsidR="00130951" w:rsidRPr="00130951">
        <w:rPr>
          <w:b/>
          <w:bCs/>
          <w:sz w:val="20"/>
          <w:szCs w:val="20"/>
        </w:rPr>
        <w:t>5</w:t>
      </w:r>
      <w:r w:rsidR="004101DD" w:rsidRPr="004101DD">
        <w:rPr>
          <w:b/>
          <w:bCs/>
          <w:sz w:val="20"/>
          <w:szCs w:val="20"/>
        </w:rPr>
        <w:t>.sz. melléklet</w:t>
      </w:r>
      <w:r w:rsidR="004101DD" w:rsidRPr="004101DD">
        <w:rPr>
          <w:sz w:val="20"/>
          <w:szCs w:val="20"/>
        </w:rPr>
        <w:t>)</w:t>
      </w:r>
      <w:r>
        <w:rPr>
          <w:sz w:val="20"/>
          <w:szCs w:val="20"/>
        </w:rPr>
        <w:t xml:space="preserve"> Zárási</w:t>
      </w:r>
      <w:r w:rsidR="004101DD" w:rsidRPr="004101DD">
        <w:rPr>
          <w:sz w:val="20"/>
          <w:szCs w:val="20"/>
        </w:rPr>
        <w:t>, az Ingatlan Adásvételi Szerződés</w:t>
      </w:r>
      <w:r>
        <w:rPr>
          <w:sz w:val="20"/>
          <w:szCs w:val="20"/>
        </w:rPr>
        <w:t>nek pedig érvényességi</w:t>
      </w:r>
      <w:r w:rsidR="004101DD" w:rsidRPr="004101DD">
        <w:rPr>
          <w:sz w:val="20"/>
          <w:szCs w:val="20"/>
        </w:rPr>
        <w:t xml:space="preserve"> (</w:t>
      </w:r>
      <w:r w:rsidR="0011622B">
        <w:rPr>
          <w:sz w:val="20"/>
          <w:szCs w:val="20"/>
        </w:rPr>
        <w:t xml:space="preserve">a továbbiakban: </w:t>
      </w:r>
      <w:r w:rsidR="0011622B" w:rsidRPr="0011622B">
        <w:rPr>
          <w:b/>
          <w:bCs/>
          <w:sz w:val="20"/>
          <w:szCs w:val="20"/>
        </w:rPr>
        <w:t>IAS</w:t>
      </w:r>
      <w:r w:rsidR="0011622B">
        <w:rPr>
          <w:b/>
          <w:bCs/>
          <w:sz w:val="20"/>
          <w:szCs w:val="20"/>
        </w:rPr>
        <w:t>Z</w:t>
      </w:r>
      <w:r w:rsidR="0011622B">
        <w:rPr>
          <w:sz w:val="20"/>
          <w:szCs w:val="20"/>
        </w:rPr>
        <w:t xml:space="preserve"> </w:t>
      </w:r>
      <w:r w:rsidR="00130951">
        <w:rPr>
          <w:sz w:val="20"/>
          <w:szCs w:val="20"/>
        </w:rPr>
        <w:t>–</w:t>
      </w:r>
      <w:r w:rsidR="0011622B">
        <w:rPr>
          <w:sz w:val="20"/>
          <w:szCs w:val="20"/>
        </w:rPr>
        <w:t xml:space="preserve"> </w:t>
      </w:r>
      <w:r w:rsidR="00130951">
        <w:rPr>
          <w:b/>
          <w:bCs/>
          <w:sz w:val="20"/>
          <w:szCs w:val="20"/>
        </w:rPr>
        <w:t xml:space="preserve">6 </w:t>
      </w:r>
      <w:r w:rsidR="004101DD" w:rsidRPr="004101DD">
        <w:rPr>
          <w:b/>
          <w:bCs/>
          <w:sz w:val="20"/>
          <w:szCs w:val="20"/>
        </w:rPr>
        <w:t>.sz. melléklet</w:t>
      </w:r>
      <w:r w:rsidR="004101DD" w:rsidRPr="004101DD">
        <w:rPr>
          <w:sz w:val="20"/>
          <w:szCs w:val="20"/>
        </w:rPr>
        <w:t xml:space="preserve">) </w:t>
      </w:r>
      <w:r>
        <w:rPr>
          <w:sz w:val="20"/>
          <w:szCs w:val="20"/>
        </w:rPr>
        <w:t xml:space="preserve"> </w:t>
      </w:r>
      <w:r w:rsidR="003705E1">
        <w:rPr>
          <w:sz w:val="20"/>
          <w:szCs w:val="20"/>
        </w:rPr>
        <w:t>feltétele</w:t>
      </w:r>
      <w:r w:rsidR="001C1E3B">
        <w:rPr>
          <w:sz w:val="20"/>
          <w:szCs w:val="20"/>
        </w:rPr>
        <w:t xml:space="preserve"> az Ingatlan Adásvételi Szerződés</w:t>
      </w:r>
      <w:r w:rsidR="003705E1">
        <w:rPr>
          <w:sz w:val="20"/>
          <w:szCs w:val="20"/>
        </w:rPr>
        <w:t>ben foglaltak szerint a Nagymező u. 20. szám alatti, közismert néven Magyar Fotográfusok Háza – Mai Manó Ház két albetétjére (29076/0/B/1 és 29076/B/0/5 hrsz.) vonatkozóan a</w:t>
      </w:r>
      <w:r w:rsidR="003705E1" w:rsidRPr="003705E1">
        <w:rPr>
          <w:sz w:val="20"/>
          <w:szCs w:val="20"/>
        </w:rPr>
        <w:t xml:space="preserve"> kulturális örökség védelméről szóló 2001. évi LXIV. törvény (a továb</w:t>
      </w:r>
      <w:r w:rsidR="003705E1">
        <w:rPr>
          <w:sz w:val="20"/>
          <w:szCs w:val="20"/>
        </w:rPr>
        <w:t>b</w:t>
      </w:r>
      <w:r w:rsidR="003705E1" w:rsidRPr="003705E1">
        <w:rPr>
          <w:sz w:val="20"/>
          <w:szCs w:val="20"/>
        </w:rPr>
        <w:t xml:space="preserve">iakban: </w:t>
      </w:r>
      <w:r w:rsidR="003705E1" w:rsidRPr="003705E1">
        <w:rPr>
          <w:b/>
          <w:bCs/>
          <w:sz w:val="20"/>
          <w:szCs w:val="20"/>
        </w:rPr>
        <w:t>Kötv</w:t>
      </w:r>
      <w:r w:rsidR="003705E1" w:rsidRPr="003705E1">
        <w:rPr>
          <w:sz w:val="20"/>
          <w:szCs w:val="20"/>
        </w:rPr>
        <w:t xml:space="preserve">.) </w:t>
      </w:r>
      <w:r w:rsidR="003705E1">
        <w:rPr>
          <w:sz w:val="20"/>
          <w:szCs w:val="20"/>
        </w:rPr>
        <w:t xml:space="preserve">44.§ (1) a) pontban előírt miniszteri jóváhagyás, </w:t>
      </w:r>
      <w:r w:rsidR="0011622B">
        <w:rPr>
          <w:sz w:val="20"/>
          <w:szCs w:val="20"/>
        </w:rPr>
        <w:t>mivel</w:t>
      </w:r>
      <w:r w:rsidR="003705E1">
        <w:rPr>
          <w:sz w:val="20"/>
          <w:szCs w:val="20"/>
        </w:rPr>
        <w:t xml:space="preserve"> </w:t>
      </w:r>
      <w:r w:rsidR="0011622B">
        <w:rPr>
          <w:sz w:val="20"/>
          <w:szCs w:val="20"/>
        </w:rPr>
        <w:t>az olyan jogügylethez, amely alapján a nemzeti vagyon körébe tartozó műemlék - 15975 (761) törzsszámon és egyedi azonosító számon nyilvántartott, lakóházként védett műemlék - tulajdonjoga kerül átruházásra</w:t>
      </w:r>
      <w:r w:rsidR="003705E1">
        <w:rPr>
          <w:sz w:val="20"/>
          <w:szCs w:val="20"/>
        </w:rPr>
        <w:t xml:space="preserve">, </w:t>
      </w:r>
      <w:r w:rsidR="0011622B">
        <w:rPr>
          <w:sz w:val="20"/>
          <w:szCs w:val="20"/>
        </w:rPr>
        <w:t>a miniszteri nyilatkozat beszerzése szükséges. A nyilatkozat a ténylegesen létrejött szerződéses akarat szerinti ellenjegyzett jogügyletre, a megkötött adásvételi szerződés másolatának megküldésével kérhető meg.</w:t>
      </w:r>
      <w:r w:rsidR="003705E1">
        <w:rPr>
          <w:sz w:val="20"/>
          <w:szCs w:val="20"/>
        </w:rPr>
        <w:t xml:space="preserve">  </w:t>
      </w:r>
    </w:p>
    <w:p w14:paraId="38DF4846" w14:textId="77777777" w:rsidR="0011622B" w:rsidRDefault="0011622B" w:rsidP="00F478C1">
      <w:pPr>
        <w:pStyle w:val="BPszvegtest"/>
        <w:spacing w:after="0" w:line="360" w:lineRule="auto"/>
        <w:rPr>
          <w:sz w:val="20"/>
          <w:szCs w:val="20"/>
        </w:rPr>
      </w:pPr>
    </w:p>
    <w:p w14:paraId="2F98901E" w14:textId="13357EF7" w:rsidR="00510EF5" w:rsidRDefault="00510EF5" w:rsidP="00B6108D">
      <w:pPr>
        <w:pStyle w:val="BPszvegtest"/>
        <w:spacing w:line="360" w:lineRule="auto"/>
        <w:rPr>
          <w:sz w:val="20"/>
          <w:szCs w:val="20"/>
        </w:rPr>
      </w:pPr>
      <w:r w:rsidRPr="00040CD1">
        <w:rPr>
          <w:sz w:val="20"/>
          <w:szCs w:val="20"/>
        </w:rPr>
        <w:t>A</w:t>
      </w:r>
      <w:r>
        <w:rPr>
          <w:sz w:val="20"/>
          <w:szCs w:val="20"/>
        </w:rPr>
        <w:t xml:space="preserve"> </w:t>
      </w:r>
      <w:r w:rsidRPr="00040CD1">
        <w:rPr>
          <w:sz w:val="20"/>
          <w:szCs w:val="20"/>
        </w:rPr>
        <w:t xml:space="preserve">Magyarország helyi önkormányzatairól szóló 2011. évi CLXXXIX. törvény (Mötv.) 108/A. § (1) bekezdése b) pontja alapján „a nemzeti vagyonról szóló 2011. évi CXCVI. törvény (a továbbiakban: Nvtv.) 13. § (1) bekezdése szerinti </w:t>
      </w:r>
      <w:r w:rsidRPr="00F45BE0">
        <w:rPr>
          <w:sz w:val="20"/>
          <w:szCs w:val="20"/>
          <w:u w:val="single"/>
        </w:rPr>
        <w:t>versenyeztetés mellőzhető</w:t>
      </w:r>
      <w:r w:rsidRPr="00040CD1">
        <w:rPr>
          <w:sz w:val="20"/>
          <w:szCs w:val="20"/>
        </w:rPr>
        <w:t xml:space="preserve">: (…) b) a helyi önkormányzat tulajdonában lévő </w:t>
      </w:r>
      <w:r w:rsidRPr="00F45BE0">
        <w:rPr>
          <w:sz w:val="20"/>
          <w:szCs w:val="20"/>
          <w:u w:val="single"/>
        </w:rPr>
        <w:t>nemzeti vagyon állam részére történő értékesítése</w:t>
      </w:r>
      <w:r w:rsidRPr="00040CD1">
        <w:rPr>
          <w:sz w:val="20"/>
          <w:szCs w:val="20"/>
        </w:rPr>
        <w:t xml:space="preserve"> vagy állammal kötött csereügylet esetén (…).” </w:t>
      </w:r>
    </w:p>
    <w:p w14:paraId="20C50840" w14:textId="7AF45D95" w:rsidR="00B6108D" w:rsidRDefault="00B6108D" w:rsidP="00B6108D">
      <w:pPr>
        <w:pStyle w:val="BPszvegtest"/>
        <w:spacing w:line="360" w:lineRule="auto"/>
        <w:rPr>
          <w:sz w:val="20"/>
          <w:szCs w:val="20"/>
        </w:rPr>
      </w:pPr>
      <w:r w:rsidRPr="00040CD1">
        <w:rPr>
          <w:sz w:val="20"/>
          <w:szCs w:val="20"/>
        </w:rPr>
        <w:t xml:space="preserve">A Fővárosi Önkormányzat </w:t>
      </w:r>
      <w:r>
        <w:rPr>
          <w:sz w:val="20"/>
          <w:szCs w:val="20"/>
        </w:rPr>
        <w:t>Thália Színház Nonprofit Kft-ben fennálló 100%-os részesedést megtestesítő 4.000.000.- Ft törzsbetét névértékű üzletrésze, valamint a feladatellátását szolgáló, használatában álló ingatlanok, mint intézményi vagyon</w:t>
      </w:r>
      <w:r w:rsidRPr="00030979">
        <w:rPr>
          <w:sz w:val="20"/>
          <w:szCs w:val="20"/>
        </w:rPr>
        <w:t xml:space="preserve">, </w:t>
      </w:r>
      <w:r w:rsidRPr="0011622B">
        <w:rPr>
          <w:i/>
          <w:iCs/>
          <w:sz w:val="20"/>
          <w:szCs w:val="20"/>
        </w:rPr>
        <w:t>korlátozottan forgalomképes törzsvagyonnak</w:t>
      </w:r>
      <w:r>
        <w:rPr>
          <w:sz w:val="20"/>
          <w:szCs w:val="20"/>
        </w:rPr>
        <w:t xml:space="preserve"> minősülnek.</w:t>
      </w:r>
    </w:p>
    <w:p w14:paraId="469BCE2F" w14:textId="77777777" w:rsidR="00030979" w:rsidRPr="0011622B" w:rsidRDefault="00030979" w:rsidP="0011622B">
      <w:pPr>
        <w:spacing w:after="120" w:line="360" w:lineRule="auto"/>
        <w:jc w:val="both"/>
        <w:rPr>
          <w:rFonts w:cs="Arial"/>
          <w:b/>
          <w:szCs w:val="20"/>
        </w:rPr>
      </w:pPr>
      <w:r w:rsidRPr="0011622B">
        <w:rPr>
          <w:rFonts w:cs="Arial"/>
          <w:b/>
          <w:szCs w:val="20"/>
        </w:rPr>
        <w:t xml:space="preserve">Zárási cselekmények </w:t>
      </w:r>
    </w:p>
    <w:p w14:paraId="6241C57A" w14:textId="6E25F518" w:rsidR="00030979" w:rsidRPr="0011622B" w:rsidRDefault="00030979" w:rsidP="0011622B">
      <w:pPr>
        <w:pStyle w:val="BPszvegtest"/>
        <w:spacing w:line="360" w:lineRule="auto"/>
        <w:rPr>
          <w:sz w:val="20"/>
          <w:szCs w:val="20"/>
        </w:rPr>
      </w:pPr>
      <w:r w:rsidRPr="0011622B">
        <w:rPr>
          <w:sz w:val="20"/>
          <w:szCs w:val="20"/>
        </w:rPr>
        <w:t>Az ÜAM, valamint az IASZ vonatkozó rendelkezései értelmében az Üzletrész és az Ingatlanok értékesítése jogilag oszthatatlan, azok adás-vételére kizárólag együttesen kerül sor. Az Üzletrész és az Ingatlan</w:t>
      </w:r>
      <w:r w:rsidR="0011622B">
        <w:rPr>
          <w:sz w:val="20"/>
          <w:szCs w:val="20"/>
        </w:rPr>
        <w:t>ok</w:t>
      </w:r>
      <w:r w:rsidRPr="0011622B">
        <w:rPr>
          <w:sz w:val="20"/>
          <w:szCs w:val="20"/>
        </w:rPr>
        <w:t xml:space="preserve"> adásvétel</w:t>
      </w:r>
      <w:r w:rsidR="0011622B">
        <w:rPr>
          <w:sz w:val="20"/>
          <w:szCs w:val="20"/>
        </w:rPr>
        <w:t>i eljárása</w:t>
      </w:r>
      <w:r w:rsidRPr="0011622B">
        <w:rPr>
          <w:sz w:val="20"/>
          <w:szCs w:val="20"/>
        </w:rPr>
        <w:t xml:space="preserve"> (a továbbiakban együttesen: </w:t>
      </w:r>
      <w:r w:rsidRPr="0011622B">
        <w:rPr>
          <w:b/>
          <w:bCs/>
          <w:sz w:val="20"/>
          <w:szCs w:val="20"/>
        </w:rPr>
        <w:t>Akvizíció</w:t>
      </w:r>
      <w:r w:rsidRPr="0011622B">
        <w:rPr>
          <w:sz w:val="20"/>
          <w:szCs w:val="20"/>
        </w:rPr>
        <w:t>) zárásának feltétele, hogy mind az ÜAM-ban, mind pedig az IASZ-ban foglalt valamennyi feltétel a Zárás Napjáig teljesüljön.</w:t>
      </w:r>
    </w:p>
    <w:p w14:paraId="1041C273" w14:textId="77777777" w:rsidR="00030979" w:rsidRPr="00300C9F" w:rsidRDefault="00030979" w:rsidP="0011622B">
      <w:pPr>
        <w:pStyle w:val="BPszvegtest"/>
        <w:spacing w:line="360" w:lineRule="auto"/>
        <w:rPr>
          <w:sz w:val="20"/>
          <w:szCs w:val="20"/>
        </w:rPr>
      </w:pPr>
      <w:r w:rsidRPr="00300C9F">
        <w:rPr>
          <w:sz w:val="20"/>
          <w:szCs w:val="20"/>
        </w:rPr>
        <w:t>Az IASZ értelmében az MNV Zrt. az Ingatanok vételárát az Akvizíció zárási feltételeinek maradéktalan teljesülése esetén az Üzletrész vételárával együtt, egy összegben köteles teljesíteni a Fővárosi Önkormányzat részére az ÜAM által definiált Zárás Napján.</w:t>
      </w:r>
      <w:bookmarkStart w:id="2" w:name="_Ref390635853"/>
      <w:r w:rsidRPr="00300C9F">
        <w:rPr>
          <w:sz w:val="20"/>
          <w:szCs w:val="20"/>
        </w:rPr>
        <w:t xml:space="preserve"> A vételárfizetés a Fővárosi Önkormányzat bankszámlájára való azonnali SWIFT átutalás útján történik. </w:t>
      </w:r>
      <w:bookmarkEnd w:id="2"/>
    </w:p>
    <w:p w14:paraId="45CD632F" w14:textId="3629F8BD" w:rsidR="00030979" w:rsidRPr="00300C9F" w:rsidRDefault="00030979" w:rsidP="0011622B">
      <w:pPr>
        <w:pStyle w:val="BPszvegtest"/>
        <w:spacing w:line="360" w:lineRule="auto"/>
        <w:rPr>
          <w:sz w:val="20"/>
          <w:szCs w:val="20"/>
        </w:rPr>
      </w:pPr>
      <w:r w:rsidRPr="00300C9F">
        <w:rPr>
          <w:sz w:val="20"/>
          <w:szCs w:val="20"/>
        </w:rPr>
        <w:t>A tranzakció Zárására az összes, az ÜAM 5. pontjában felsorolt Zárási Feltétel teljesüléséről szóló eladói értesítés</w:t>
      </w:r>
      <w:r w:rsidR="00130951">
        <w:rPr>
          <w:sz w:val="20"/>
          <w:szCs w:val="20"/>
        </w:rPr>
        <w:t>ek</w:t>
      </w:r>
      <w:r w:rsidRPr="00300C9F">
        <w:rPr>
          <w:sz w:val="20"/>
          <w:szCs w:val="20"/>
        </w:rPr>
        <w:t xml:space="preserve"> </w:t>
      </w:r>
      <w:r w:rsidR="00677F1D" w:rsidRPr="00300C9F">
        <w:rPr>
          <w:sz w:val="20"/>
          <w:szCs w:val="20"/>
        </w:rPr>
        <w:t>(</w:t>
      </w:r>
      <w:r w:rsidR="00130951">
        <w:rPr>
          <w:b/>
          <w:bCs/>
          <w:sz w:val="20"/>
          <w:szCs w:val="20"/>
        </w:rPr>
        <w:t>7/1;7/2.;7/3.; 7/4.</w:t>
      </w:r>
      <w:r w:rsidR="00677F1D" w:rsidRPr="00300C9F">
        <w:rPr>
          <w:b/>
          <w:bCs/>
          <w:sz w:val="20"/>
          <w:szCs w:val="20"/>
        </w:rPr>
        <w:t>sz. melléklet</w:t>
      </w:r>
      <w:r w:rsidR="00130951">
        <w:rPr>
          <w:b/>
          <w:bCs/>
          <w:sz w:val="20"/>
          <w:szCs w:val="20"/>
        </w:rPr>
        <w:t>ek</w:t>
      </w:r>
      <w:r w:rsidR="00677F1D" w:rsidRPr="00300C9F">
        <w:rPr>
          <w:sz w:val="20"/>
          <w:szCs w:val="20"/>
        </w:rPr>
        <w:t>) V</w:t>
      </w:r>
      <w:r w:rsidRPr="00300C9F">
        <w:rPr>
          <w:sz w:val="20"/>
          <w:szCs w:val="20"/>
        </w:rPr>
        <w:t>evő általi kézhezvételét követően kerül sor az ÜAM vonatkozó rendelkezései szerint.</w:t>
      </w:r>
    </w:p>
    <w:p w14:paraId="7362DEC2" w14:textId="77777777" w:rsidR="00030979" w:rsidRPr="00300C9F" w:rsidRDefault="00030979" w:rsidP="0011622B">
      <w:pPr>
        <w:pStyle w:val="BPszvegtest"/>
        <w:spacing w:line="360" w:lineRule="auto"/>
        <w:rPr>
          <w:sz w:val="20"/>
          <w:szCs w:val="20"/>
        </w:rPr>
      </w:pPr>
      <w:r w:rsidRPr="00300C9F">
        <w:rPr>
          <w:sz w:val="20"/>
          <w:szCs w:val="20"/>
        </w:rPr>
        <w:lastRenderedPageBreak/>
        <w:t>Az ÜAM Harmadik melléklete tartalmazza a szerződő felek által teljesítendő Zárási kötelezettségeket és cselekményeket, a Negyedik melléklete pedig az eladói és vevői szavatosságvállalásokat, melyeknek a Zárás Napján a szerződő feleknek meg kell felelniük.</w:t>
      </w:r>
    </w:p>
    <w:p w14:paraId="6ED8B171" w14:textId="2140B56E" w:rsidR="00030979" w:rsidRPr="00262BC0" w:rsidRDefault="00030979" w:rsidP="0011622B">
      <w:pPr>
        <w:pStyle w:val="BPszvegtest"/>
        <w:spacing w:line="360" w:lineRule="auto"/>
        <w:rPr>
          <w:sz w:val="20"/>
          <w:szCs w:val="20"/>
        </w:rPr>
      </w:pPr>
      <w:r w:rsidRPr="00300C9F">
        <w:rPr>
          <w:sz w:val="20"/>
          <w:szCs w:val="20"/>
        </w:rPr>
        <w:t>A Zárás során az eladó Fővárosi Önkormányzat köteles a vevőnek bemutatni és részére átadni a Harmadik mellékletben felsorolt dokumentumokat (Zárási Feltételek teljesülését igazoló dokumentumok, arra vonatkozó nyilatkozat, hogy az Eladónak nincs semmilyen követelése a Társasággal szemben</w:t>
      </w:r>
      <w:r w:rsidR="00677F1D" w:rsidRPr="00300C9F">
        <w:rPr>
          <w:sz w:val="20"/>
          <w:szCs w:val="20"/>
        </w:rPr>
        <w:t xml:space="preserve"> (</w:t>
      </w:r>
      <w:r w:rsidR="00130951" w:rsidRPr="00130951">
        <w:rPr>
          <w:b/>
          <w:bCs/>
          <w:sz w:val="20"/>
          <w:szCs w:val="20"/>
        </w:rPr>
        <w:t>8</w:t>
      </w:r>
      <w:r w:rsidR="00677F1D" w:rsidRPr="00300C9F">
        <w:rPr>
          <w:b/>
          <w:bCs/>
          <w:sz w:val="20"/>
          <w:szCs w:val="20"/>
        </w:rPr>
        <w:t>.sz. melléklet</w:t>
      </w:r>
      <w:r w:rsidR="00677F1D" w:rsidRPr="00300C9F">
        <w:rPr>
          <w:sz w:val="20"/>
          <w:szCs w:val="20"/>
        </w:rPr>
        <w:t>)</w:t>
      </w:r>
      <w:r w:rsidRPr="00300C9F">
        <w:rPr>
          <w:sz w:val="20"/>
          <w:szCs w:val="20"/>
        </w:rPr>
        <w:t>, a dokumentumok aláírásának alapjául szolgáló fővárosi közgyűlési határozatok</w:t>
      </w:r>
      <w:r w:rsidR="00300C9F" w:rsidRPr="00300C9F">
        <w:rPr>
          <w:sz w:val="20"/>
          <w:szCs w:val="20"/>
        </w:rPr>
        <w:t>, valamint a Társaság által kiadásra kerülő módosított tagjegyzék és a jogi képviselő részére szóló meghatalmazás a Cégbíróság felé történő eljárás érdekében</w:t>
      </w:r>
      <w:r w:rsidRPr="00300C9F">
        <w:rPr>
          <w:sz w:val="20"/>
          <w:szCs w:val="20"/>
        </w:rPr>
        <w:t>).</w:t>
      </w:r>
      <w:r w:rsidR="00067A09">
        <w:rPr>
          <w:sz w:val="20"/>
          <w:szCs w:val="20"/>
        </w:rPr>
        <w:t xml:space="preserve"> Az Akvizíció zárásaként szükséges a m</w:t>
      </w:r>
      <w:r w:rsidR="00067A09" w:rsidRPr="00067A09">
        <w:rPr>
          <w:sz w:val="20"/>
          <w:szCs w:val="20"/>
        </w:rPr>
        <w:t xml:space="preserve">agyar </w:t>
      </w:r>
      <w:r w:rsidR="00067A09">
        <w:rPr>
          <w:sz w:val="20"/>
          <w:szCs w:val="20"/>
        </w:rPr>
        <w:t>á</w:t>
      </w:r>
      <w:r w:rsidR="00067A09" w:rsidRPr="00067A09">
        <w:rPr>
          <w:sz w:val="20"/>
          <w:szCs w:val="20"/>
        </w:rPr>
        <w:t>llam képviseletében eljáró Magyar Nemzeti Vagyonkezelő Zrt.</w:t>
      </w:r>
      <w:r w:rsidR="00067A09">
        <w:rPr>
          <w:sz w:val="20"/>
          <w:szCs w:val="20"/>
        </w:rPr>
        <w:t xml:space="preserve">, mint vevő </w:t>
      </w:r>
      <w:r w:rsidR="00067A09" w:rsidRPr="00067A09">
        <w:rPr>
          <w:sz w:val="20"/>
          <w:szCs w:val="20"/>
        </w:rPr>
        <w:t>Thália Színház Nonprofit Kft-ben való Üzletrész tulajdonszerzését igazoló Eladói nyilatkozat</w:t>
      </w:r>
      <w:r w:rsidR="00067A09">
        <w:rPr>
          <w:sz w:val="20"/>
          <w:szCs w:val="20"/>
        </w:rPr>
        <w:t xml:space="preserve"> (</w:t>
      </w:r>
      <w:r w:rsidR="00130951">
        <w:rPr>
          <w:b/>
          <w:bCs/>
          <w:sz w:val="20"/>
          <w:szCs w:val="20"/>
        </w:rPr>
        <w:t>9</w:t>
      </w:r>
      <w:r w:rsidR="00067A09" w:rsidRPr="009A6FC7">
        <w:rPr>
          <w:b/>
          <w:bCs/>
          <w:sz w:val="20"/>
          <w:szCs w:val="20"/>
        </w:rPr>
        <w:t>.sz. melléklet</w:t>
      </w:r>
      <w:r w:rsidR="00067A09">
        <w:rPr>
          <w:sz w:val="20"/>
          <w:szCs w:val="20"/>
        </w:rPr>
        <w:t>), valamint az Ingatlanok ingatlanügyi hatósági eljárásához szükséges, a tulajdonjog átvezetéséhez szükséges bejegyzési engedély (</w:t>
      </w:r>
      <w:r w:rsidR="00067A09" w:rsidRPr="00067A09">
        <w:rPr>
          <w:b/>
          <w:bCs/>
          <w:sz w:val="20"/>
          <w:szCs w:val="20"/>
        </w:rPr>
        <w:t>1</w:t>
      </w:r>
      <w:r w:rsidR="00130951">
        <w:rPr>
          <w:b/>
          <w:bCs/>
          <w:sz w:val="20"/>
          <w:szCs w:val="20"/>
        </w:rPr>
        <w:t>0</w:t>
      </w:r>
      <w:r w:rsidR="00067A09" w:rsidRPr="00067A09">
        <w:rPr>
          <w:b/>
          <w:bCs/>
          <w:sz w:val="20"/>
          <w:szCs w:val="20"/>
        </w:rPr>
        <w:t>.sz. melléklet</w:t>
      </w:r>
      <w:r w:rsidR="00067A09">
        <w:rPr>
          <w:sz w:val="20"/>
          <w:szCs w:val="20"/>
        </w:rPr>
        <w:t>) kiadása.</w:t>
      </w:r>
      <w:r w:rsidR="00906864">
        <w:rPr>
          <w:sz w:val="20"/>
          <w:szCs w:val="20"/>
        </w:rPr>
        <w:t xml:space="preserve"> </w:t>
      </w:r>
      <w:r w:rsidRPr="00300C9F">
        <w:rPr>
          <w:sz w:val="20"/>
          <w:szCs w:val="20"/>
        </w:rPr>
        <w:t>Zárás során a főpolgármester által meghatalmazott személy jár el a Fővárosi Önkormányzat képviseletében, a szerződő felek a Zárás Napján lezajló eseményeket ún. Zárási Jegyzőkönyvben rögzítik</w:t>
      </w:r>
      <w:r w:rsidR="00BF3D7F">
        <w:rPr>
          <w:sz w:val="20"/>
          <w:szCs w:val="20"/>
        </w:rPr>
        <w:t>, melyet az eljáró ügyvéd készít el</w:t>
      </w:r>
      <w:r w:rsidRPr="00300C9F">
        <w:rPr>
          <w:sz w:val="20"/>
          <w:szCs w:val="20"/>
        </w:rPr>
        <w:t>.</w:t>
      </w:r>
    </w:p>
    <w:p w14:paraId="236FBC36" w14:textId="68C9A277" w:rsidR="00671B96" w:rsidRPr="00671B96" w:rsidRDefault="00671B96" w:rsidP="00F478C1">
      <w:pPr>
        <w:pStyle w:val="BPszvegtest"/>
        <w:spacing w:before="240" w:line="360" w:lineRule="auto"/>
        <w:rPr>
          <w:sz w:val="20"/>
          <w:szCs w:val="20"/>
        </w:rPr>
      </w:pPr>
      <w:r w:rsidRPr="00671B96">
        <w:rPr>
          <w:sz w:val="20"/>
          <w:szCs w:val="20"/>
        </w:rPr>
        <w:t xml:space="preserve">Az összes feltétel teljesülésekor </w:t>
      </w:r>
      <w:r w:rsidR="00BF3D7F">
        <w:rPr>
          <w:sz w:val="20"/>
          <w:szCs w:val="20"/>
        </w:rPr>
        <w:t>e</w:t>
      </w:r>
      <w:r w:rsidRPr="00671B96">
        <w:rPr>
          <w:sz w:val="20"/>
          <w:szCs w:val="20"/>
        </w:rPr>
        <w:t xml:space="preserve">ladó köteles értesítést küldeni </w:t>
      </w:r>
      <w:r w:rsidR="00BF3D7F">
        <w:rPr>
          <w:sz w:val="20"/>
          <w:szCs w:val="20"/>
        </w:rPr>
        <w:t>v</w:t>
      </w:r>
      <w:r w:rsidRPr="00671B96">
        <w:rPr>
          <w:sz w:val="20"/>
          <w:szCs w:val="20"/>
        </w:rPr>
        <w:t>evő részére. Amennyiben valamelyik fél valamelyik feltételt mégsem teljesíti, úgy a másik fél dönthet a Zárás Napjának 10 nappal történő elhalasztásáról, vagy arról, hogy az adott feltétel teljesítésétől eltekint.</w:t>
      </w:r>
    </w:p>
    <w:p w14:paraId="79CF70F3" w14:textId="5E606CC2" w:rsidR="00B60AD7" w:rsidRDefault="00B60AD7" w:rsidP="00B60AD7">
      <w:pPr>
        <w:pStyle w:val="BPszvegtest"/>
        <w:spacing w:before="240" w:after="0" w:line="360" w:lineRule="auto"/>
        <w:rPr>
          <w:sz w:val="20"/>
          <w:szCs w:val="20"/>
        </w:rPr>
      </w:pPr>
      <w:r w:rsidRPr="00671B96">
        <w:rPr>
          <w:sz w:val="20"/>
          <w:szCs w:val="20"/>
        </w:rPr>
        <w:t xml:space="preserve">Az adásvétel </w:t>
      </w:r>
      <w:r w:rsidR="0097039D">
        <w:rPr>
          <w:sz w:val="20"/>
          <w:szCs w:val="20"/>
        </w:rPr>
        <w:t xml:space="preserve">(az Ingatlanok tekintetében) </w:t>
      </w:r>
      <w:r w:rsidRPr="00671B96">
        <w:rPr>
          <w:sz w:val="20"/>
          <w:szCs w:val="20"/>
        </w:rPr>
        <w:t xml:space="preserve">a </w:t>
      </w:r>
      <w:r>
        <w:rPr>
          <w:sz w:val="20"/>
          <w:szCs w:val="20"/>
        </w:rPr>
        <w:t>m</w:t>
      </w:r>
      <w:r w:rsidRPr="00671B96">
        <w:rPr>
          <w:sz w:val="20"/>
          <w:szCs w:val="20"/>
        </w:rPr>
        <w:t xml:space="preserve">agyar </w:t>
      </w:r>
      <w:r>
        <w:rPr>
          <w:sz w:val="20"/>
          <w:szCs w:val="20"/>
        </w:rPr>
        <w:t>á</w:t>
      </w:r>
      <w:r w:rsidRPr="00671B96">
        <w:rPr>
          <w:sz w:val="20"/>
          <w:szCs w:val="20"/>
        </w:rPr>
        <w:t>llam oldalán keletkeztet adófizetési kötelezettséget</w:t>
      </w:r>
      <w:r>
        <w:rPr>
          <w:sz w:val="20"/>
          <w:szCs w:val="20"/>
        </w:rPr>
        <w:t xml:space="preserve">, tekintettel </w:t>
      </w:r>
      <w:r w:rsidRPr="00671B96">
        <w:rPr>
          <w:sz w:val="20"/>
          <w:szCs w:val="20"/>
        </w:rPr>
        <w:t>az általános forgalmi adóról szóló 2007. évi CXXVII. törvény</w:t>
      </w:r>
      <w:r>
        <w:rPr>
          <w:sz w:val="20"/>
          <w:szCs w:val="20"/>
        </w:rPr>
        <w:t xml:space="preserve"> (a továbbiakban: </w:t>
      </w:r>
      <w:r w:rsidRPr="00B60AD7">
        <w:rPr>
          <w:b/>
          <w:bCs/>
          <w:sz w:val="20"/>
          <w:szCs w:val="20"/>
        </w:rPr>
        <w:t>Áfa tv</w:t>
      </w:r>
      <w:r>
        <w:rPr>
          <w:sz w:val="20"/>
          <w:szCs w:val="20"/>
        </w:rPr>
        <w:t>.)</w:t>
      </w:r>
      <w:r w:rsidRPr="00671B96">
        <w:rPr>
          <w:sz w:val="20"/>
          <w:szCs w:val="20"/>
        </w:rPr>
        <w:t xml:space="preserve"> 88. § (1) bekezdés a) pontj</w:t>
      </w:r>
      <w:r>
        <w:rPr>
          <w:sz w:val="20"/>
          <w:szCs w:val="20"/>
        </w:rPr>
        <w:t>ában</w:t>
      </w:r>
      <w:r w:rsidRPr="00671B96">
        <w:rPr>
          <w:sz w:val="20"/>
          <w:szCs w:val="20"/>
        </w:rPr>
        <w:t>, valamint a 142. § (1) bekezdésének e) pontj</w:t>
      </w:r>
      <w:r>
        <w:rPr>
          <w:sz w:val="20"/>
          <w:szCs w:val="20"/>
        </w:rPr>
        <w:t xml:space="preserve">ában foglaltakra. Az Áfa tv. </w:t>
      </w:r>
      <w:r w:rsidRPr="00671B96">
        <w:rPr>
          <w:sz w:val="20"/>
          <w:szCs w:val="20"/>
        </w:rPr>
        <w:t>86.§ (1) bekezdés j) és k) pontjában említett termékértékesítés a fordított adózás szabályai alá tartozik, mely alapján a vételárat terhelő Áfa összegét a vevő köteles felszámítani és az adóhatóság felé megfizetni.</w:t>
      </w:r>
    </w:p>
    <w:p w14:paraId="1AB1CE23" w14:textId="7C4C533D" w:rsidR="004A33CF" w:rsidRPr="00415F07" w:rsidRDefault="009B7215" w:rsidP="00B60AD7">
      <w:pPr>
        <w:pStyle w:val="BPszvegtest"/>
        <w:spacing w:before="240" w:after="0" w:line="360" w:lineRule="auto"/>
        <w:rPr>
          <w:sz w:val="20"/>
          <w:szCs w:val="20"/>
        </w:rPr>
      </w:pPr>
      <w:r>
        <w:rPr>
          <w:sz w:val="20"/>
          <w:szCs w:val="20"/>
        </w:rPr>
        <w:t xml:space="preserve">Az </w:t>
      </w:r>
      <w:r w:rsidR="004A33CF" w:rsidRPr="004A33CF">
        <w:rPr>
          <w:sz w:val="20"/>
          <w:szCs w:val="20"/>
        </w:rPr>
        <w:t>Emtv. 13. § alapján megkötött fenntartói megállapodások 2020. december 31-ig hatályosak</w:t>
      </w:r>
      <w:r w:rsidR="00415F07">
        <w:rPr>
          <w:sz w:val="20"/>
          <w:szCs w:val="20"/>
        </w:rPr>
        <w:t xml:space="preserve">, melyre tekintettel a Fővárosi Közgyűlés 2020. december 16-ai ülésén tárgyalta a </w:t>
      </w:r>
      <w:r w:rsidR="00415F07" w:rsidRPr="00415F07">
        <w:rPr>
          <w:i/>
          <w:iCs/>
          <w:sz w:val="20"/>
          <w:szCs w:val="20"/>
        </w:rPr>
        <w:t>„</w:t>
      </w:r>
      <w:bookmarkStart w:id="3" w:name="_Hlk58232059"/>
      <w:bookmarkStart w:id="4" w:name="_Hlk58232111"/>
      <w:r w:rsidR="00415F07" w:rsidRPr="00415F07">
        <w:rPr>
          <w:i/>
          <w:iCs/>
          <w:sz w:val="20"/>
          <w:szCs w:val="20"/>
        </w:rPr>
        <w:t>Javaslat k</w:t>
      </w:r>
      <w:bookmarkEnd w:id="3"/>
      <w:r w:rsidR="00415F07" w:rsidRPr="00415F07">
        <w:rPr>
          <w:i/>
          <w:iCs/>
          <w:sz w:val="20"/>
          <w:szCs w:val="20"/>
        </w:rPr>
        <w:t>ulturális szervezetekkel kapcsolatos döntések meghozatalára</w:t>
      </w:r>
      <w:bookmarkEnd w:id="4"/>
      <w:r w:rsidR="00415F07" w:rsidRPr="00415F07">
        <w:rPr>
          <w:i/>
          <w:iCs/>
          <w:sz w:val="20"/>
          <w:szCs w:val="20"/>
        </w:rPr>
        <w:t>”</w:t>
      </w:r>
      <w:r w:rsidR="00415F07">
        <w:rPr>
          <w:sz w:val="20"/>
          <w:szCs w:val="20"/>
        </w:rPr>
        <w:t xml:space="preserve"> tárgyú javaslatot. </w:t>
      </w:r>
      <w:r w:rsidR="00A96551">
        <w:rPr>
          <w:sz w:val="20"/>
          <w:szCs w:val="20"/>
        </w:rPr>
        <w:t>A</w:t>
      </w:r>
      <w:r w:rsidR="00415F07">
        <w:rPr>
          <w:rFonts w:ascii="Calibri Light" w:hAnsi="Calibri Light" w:cs="Calibri Light"/>
          <w:color w:val="201F1E"/>
        </w:rPr>
        <w:t xml:space="preserve"> </w:t>
      </w:r>
      <w:r w:rsidR="00415F07" w:rsidRPr="00415F07">
        <w:rPr>
          <w:sz w:val="20"/>
          <w:szCs w:val="20"/>
        </w:rPr>
        <w:t>közös működtetésbe kerülő színházakkal a Főváros</w:t>
      </w:r>
      <w:r w:rsidR="00415F07">
        <w:rPr>
          <w:sz w:val="20"/>
          <w:szCs w:val="20"/>
        </w:rPr>
        <w:t>i Önkormányzat</w:t>
      </w:r>
      <w:r w:rsidR="00415F07" w:rsidRPr="00415F07">
        <w:rPr>
          <w:sz w:val="20"/>
          <w:szCs w:val="20"/>
        </w:rPr>
        <w:t xml:space="preserve"> a jövőben Közszolgáltatási Keretszerződést köt.</w:t>
      </w:r>
      <w:r w:rsidR="00415F07">
        <w:rPr>
          <w:sz w:val="20"/>
          <w:szCs w:val="20"/>
        </w:rPr>
        <w:t xml:space="preserve"> </w:t>
      </w:r>
      <w:r w:rsidR="00415F07" w:rsidRPr="00415F07">
        <w:rPr>
          <w:sz w:val="20"/>
          <w:szCs w:val="20"/>
        </w:rPr>
        <w:t>A</w:t>
      </w:r>
      <w:r w:rsidR="00415F07">
        <w:rPr>
          <w:sz w:val="20"/>
          <w:szCs w:val="20"/>
        </w:rPr>
        <w:t xml:space="preserve"> döntés szerint a Thália Színház Nonprofit Kft-vel a k</w:t>
      </w:r>
      <w:r w:rsidR="00415F07" w:rsidRPr="00415F07">
        <w:rPr>
          <w:sz w:val="20"/>
          <w:szCs w:val="20"/>
        </w:rPr>
        <w:t xml:space="preserve">eretszerződés – a Közös Működtetési Megállapodás 4. e) pontjára és az Emtv. 13. § - ában foglaltakra is figyelemmel – 2021. január 1. napjától – a Társaság üzletrészének a </w:t>
      </w:r>
      <w:r w:rsidR="00415F07">
        <w:rPr>
          <w:sz w:val="20"/>
          <w:szCs w:val="20"/>
        </w:rPr>
        <w:t>m</w:t>
      </w:r>
      <w:r w:rsidR="00415F07" w:rsidRPr="00415F07">
        <w:rPr>
          <w:sz w:val="20"/>
          <w:szCs w:val="20"/>
        </w:rPr>
        <w:t xml:space="preserve">agyar </w:t>
      </w:r>
      <w:r w:rsidR="00415F07">
        <w:rPr>
          <w:sz w:val="20"/>
          <w:szCs w:val="20"/>
        </w:rPr>
        <w:t>á</w:t>
      </w:r>
      <w:r w:rsidR="00415F07" w:rsidRPr="00415F07">
        <w:rPr>
          <w:sz w:val="20"/>
          <w:szCs w:val="20"/>
        </w:rPr>
        <w:t>llam részére történő tulajdonba adása napjáig, de legfeljebb 2021. március 31-ig tartó határozott időtartamra köthető meg.</w:t>
      </w:r>
      <w:r w:rsidR="00415F07">
        <w:rPr>
          <w:sz w:val="20"/>
          <w:szCs w:val="20"/>
        </w:rPr>
        <w:t xml:space="preserve"> Abban az esetben, ha az Akvizíció 2020.évben lezárásra kerül, a Közszolgáltatási Keretszerződés</w:t>
      </w:r>
      <w:r w:rsidR="0044656F">
        <w:rPr>
          <w:sz w:val="20"/>
          <w:szCs w:val="20"/>
        </w:rPr>
        <w:t xml:space="preserve"> </w:t>
      </w:r>
      <w:r w:rsidR="00415F07">
        <w:rPr>
          <w:sz w:val="20"/>
          <w:szCs w:val="20"/>
        </w:rPr>
        <w:t>megkötésére nem kerül sor</w:t>
      </w:r>
      <w:r w:rsidR="0044656F">
        <w:rPr>
          <w:sz w:val="20"/>
          <w:szCs w:val="20"/>
        </w:rPr>
        <w:t xml:space="preserve">. </w:t>
      </w:r>
    </w:p>
    <w:p w14:paraId="6B1D77A9" w14:textId="1D95B483" w:rsidR="00671B96" w:rsidRDefault="00671B96" w:rsidP="00671B96">
      <w:pPr>
        <w:pStyle w:val="BPszvegtest"/>
        <w:spacing w:before="240" w:line="360" w:lineRule="auto"/>
        <w:rPr>
          <w:sz w:val="20"/>
          <w:szCs w:val="20"/>
        </w:rPr>
      </w:pPr>
      <w:r w:rsidRPr="00671B96">
        <w:rPr>
          <w:sz w:val="20"/>
          <w:szCs w:val="20"/>
        </w:rPr>
        <w:t xml:space="preserve">A kedvezményes adásvétel támogatása </w:t>
      </w:r>
      <w:r w:rsidR="00B60AD7">
        <w:rPr>
          <w:sz w:val="20"/>
          <w:szCs w:val="20"/>
        </w:rPr>
        <w:t xml:space="preserve">a </w:t>
      </w:r>
      <w:r w:rsidR="00B60AD7" w:rsidRPr="00B60AD7">
        <w:rPr>
          <w:sz w:val="20"/>
          <w:szCs w:val="20"/>
        </w:rPr>
        <w:t>Budapest Főváros Önkormányzata vagyonáról, a vagyonelemek feletti tulajdonosi jogok gyakorlásáról</w:t>
      </w:r>
      <w:r w:rsidR="00B60AD7">
        <w:rPr>
          <w:sz w:val="20"/>
          <w:szCs w:val="20"/>
        </w:rPr>
        <w:t xml:space="preserve"> szóló 22/2012. (III.14.) Főv. Kgy. rendelet (a továbbiakban: </w:t>
      </w:r>
      <w:r w:rsidRPr="00B60AD7">
        <w:rPr>
          <w:b/>
          <w:bCs/>
          <w:sz w:val="20"/>
          <w:szCs w:val="20"/>
        </w:rPr>
        <w:t>Vagyonrendelet</w:t>
      </w:r>
      <w:r w:rsidR="00B60AD7">
        <w:rPr>
          <w:sz w:val="20"/>
          <w:szCs w:val="20"/>
        </w:rPr>
        <w:t>)</w:t>
      </w:r>
      <w:r w:rsidRPr="00671B96">
        <w:rPr>
          <w:sz w:val="20"/>
          <w:szCs w:val="20"/>
        </w:rPr>
        <w:t xml:space="preserve"> 9. § (6a) bekezdés a) pont alapján</w:t>
      </w:r>
      <w:r w:rsidR="00B60AD7">
        <w:rPr>
          <w:sz w:val="20"/>
          <w:szCs w:val="20"/>
        </w:rPr>
        <w:t xml:space="preserve"> a Fővárosi Közgyűlés hatáskörébe tartozik</w:t>
      </w:r>
      <w:r w:rsidRPr="00671B96">
        <w:rPr>
          <w:sz w:val="20"/>
          <w:szCs w:val="20"/>
        </w:rPr>
        <w:t xml:space="preserve">. A Fővárosi Közgyűlésnek a kedvezményes átruházásról szóló döntéssel egyidejűleg a tranzakció zárás feltételeit </w:t>
      </w:r>
      <w:r w:rsidRPr="00F45BE0">
        <w:rPr>
          <w:sz w:val="20"/>
          <w:szCs w:val="20"/>
        </w:rPr>
        <w:t xml:space="preserve">tartalmazó </w:t>
      </w:r>
      <w:r w:rsidR="0097039D" w:rsidRPr="00F45BE0">
        <w:rPr>
          <w:sz w:val="20"/>
          <w:szCs w:val="20"/>
        </w:rPr>
        <w:t>Harmadik</w:t>
      </w:r>
      <w:r w:rsidR="0097039D" w:rsidRPr="00671B96">
        <w:rPr>
          <w:sz w:val="20"/>
          <w:szCs w:val="20"/>
        </w:rPr>
        <w:t xml:space="preserve"> </w:t>
      </w:r>
      <w:r w:rsidRPr="00671B96">
        <w:rPr>
          <w:sz w:val="20"/>
          <w:szCs w:val="20"/>
        </w:rPr>
        <w:t xml:space="preserve">Mellékletben foglalt Tranzakciós Dokumentumok (TD) mindegyikének, valamint az </w:t>
      </w:r>
      <w:r w:rsidRPr="00671B96">
        <w:rPr>
          <w:sz w:val="20"/>
          <w:szCs w:val="20"/>
        </w:rPr>
        <w:lastRenderedPageBreak/>
        <w:t>Üzletrész Adásvételi Megállapodás és TD-ok értelmében aláírandó egyéb megállapodások aláírására vonatkozó meghatalmazás kiadásáról is döntenie kell</w:t>
      </w:r>
      <w:r w:rsidR="00BF3D7F">
        <w:rPr>
          <w:sz w:val="20"/>
          <w:szCs w:val="20"/>
        </w:rPr>
        <w:t>.</w:t>
      </w:r>
    </w:p>
    <w:p w14:paraId="1C449E37" w14:textId="12D69873" w:rsidR="005724CE" w:rsidRPr="005724CE" w:rsidRDefault="005724CE" w:rsidP="003C2693">
      <w:pPr>
        <w:pStyle w:val="BPhatrozatijavaslat"/>
        <w:keepNext/>
        <w:tabs>
          <w:tab w:val="left" w:pos="3740"/>
        </w:tabs>
        <w:rPr>
          <w:szCs w:val="20"/>
        </w:rPr>
      </w:pPr>
      <w:r w:rsidRPr="005724CE">
        <w:rPr>
          <w:szCs w:val="20"/>
        </w:rPr>
        <w:t>Határozati javaslat</w:t>
      </w:r>
    </w:p>
    <w:p w14:paraId="1C449E38" w14:textId="2FBFC08A" w:rsidR="005724CE" w:rsidRPr="005724CE" w:rsidRDefault="005724CE" w:rsidP="008E3511">
      <w:pPr>
        <w:pStyle w:val="BPszvegtest"/>
        <w:spacing w:before="240" w:after="0" w:line="360" w:lineRule="auto"/>
        <w:rPr>
          <w:sz w:val="20"/>
          <w:szCs w:val="20"/>
        </w:rPr>
      </w:pPr>
      <w:r w:rsidRPr="005724CE">
        <w:rPr>
          <w:sz w:val="20"/>
          <w:szCs w:val="20"/>
        </w:rPr>
        <w:t xml:space="preserve">A Fővárosi Közgyűlés </w:t>
      </w:r>
      <w:r w:rsidR="00C26A6E" w:rsidRPr="00C26A6E">
        <w:rPr>
          <w:sz w:val="20"/>
          <w:szCs w:val="20"/>
        </w:rPr>
        <w:t xml:space="preserve">a Budapest Főváros Önkormányzata vagyonáról, a vagyonelemek feletti tulajdonosi jogok gyakorlásáról szóló 22/2012. (III.14.) Főv. Kgy. rendelet 9. § (6a) bekezdés a) pont alapján biztosított hatáskörében eljárva </w:t>
      </w:r>
      <w:r w:rsidRPr="005724CE">
        <w:rPr>
          <w:sz w:val="20"/>
          <w:szCs w:val="20"/>
        </w:rPr>
        <w:t>úgy dönt, hogy:</w:t>
      </w:r>
    </w:p>
    <w:p w14:paraId="1C449E39" w14:textId="77777777" w:rsidR="005724CE" w:rsidRPr="005724CE" w:rsidRDefault="005724CE" w:rsidP="008E3511">
      <w:pPr>
        <w:pStyle w:val="BPhatrozatlista"/>
        <w:keepNext/>
        <w:rPr>
          <w:szCs w:val="20"/>
        </w:rPr>
      </w:pPr>
    </w:p>
    <w:p w14:paraId="6314A20B" w14:textId="2B75433B" w:rsidR="00863C75" w:rsidRDefault="00575D56" w:rsidP="003D5718">
      <w:pPr>
        <w:pStyle w:val="BPszvegtest"/>
        <w:spacing w:before="120" w:after="0" w:line="360" w:lineRule="auto"/>
        <w:rPr>
          <w:sz w:val="20"/>
          <w:szCs w:val="20"/>
        </w:rPr>
      </w:pPr>
      <w:bookmarkStart w:id="5" w:name="_Hlk59110477"/>
      <w:r>
        <w:rPr>
          <w:sz w:val="20"/>
          <w:szCs w:val="20"/>
        </w:rPr>
        <w:t>a Kormány 1149/2020. (IV.10.) sz., 1433/2020. (VII.23.) sz. határozataiban foglaltak</w:t>
      </w:r>
      <w:r w:rsidR="00090BDF">
        <w:rPr>
          <w:sz w:val="20"/>
          <w:szCs w:val="20"/>
        </w:rPr>
        <w:t>ra figyelemmel</w:t>
      </w:r>
      <w:r>
        <w:rPr>
          <w:sz w:val="20"/>
          <w:szCs w:val="20"/>
        </w:rPr>
        <w:t xml:space="preserve">, </w:t>
      </w:r>
      <w:r w:rsidR="0079551A" w:rsidRPr="00FD5F59">
        <w:rPr>
          <w:sz w:val="20"/>
          <w:szCs w:val="20"/>
        </w:rPr>
        <w:t xml:space="preserve">a Magyarország helyi önkormányzatairól szóló 2011. évi CLXXXIX. törvény 108/A. § (1) bekezdés b) pontja alapján </w:t>
      </w:r>
      <w:r w:rsidR="00C34684">
        <w:rPr>
          <w:sz w:val="20"/>
          <w:szCs w:val="20"/>
        </w:rPr>
        <w:t xml:space="preserve">– az Emtv. 16. § (2) bekezdésére tekintettel - </w:t>
      </w:r>
      <w:r w:rsidR="0079551A" w:rsidRPr="00FD5F59">
        <w:rPr>
          <w:sz w:val="20"/>
          <w:szCs w:val="20"/>
        </w:rPr>
        <w:t xml:space="preserve">versenyeztetés mellőzésével </w:t>
      </w:r>
      <w:r w:rsidR="00090BDF">
        <w:rPr>
          <w:sz w:val="20"/>
          <w:szCs w:val="20"/>
        </w:rPr>
        <w:t xml:space="preserve">kedvezményesen értékesíti </w:t>
      </w:r>
      <w:r w:rsidR="00863C75" w:rsidRPr="00863C75">
        <w:rPr>
          <w:sz w:val="20"/>
          <w:szCs w:val="20"/>
        </w:rPr>
        <w:t xml:space="preserve">a </w:t>
      </w:r>
      <w:r w:rsidR="00372F18">
        <w:rPr>
          <w:sz w:val="20"/>
          <w:szCs w:val="20"/>
        </w:rPr>
        <w:t>m</w:t>
      </w:r>
      <w:r w:rsidR="00863C75" w:rsidRPr="00863C75">
        <w:rPr>
          <w:sz w:val="20"/>
          <w:szCs w:val="20"/>
        </w:rPr>
        <w:t xml:space="preserve">agyar </w:t>
      </w:r>
      <w:r w:rsidR="00372F18">
        <w:rPr>
          <w:sz w:val="20"/>
          <w:szCs w:val="20"/>
        </w:rPr>
        <w:t>á</w:t>
      </w:r>
      <w:r w:rsidR="00863C75" w:rsidRPr="00863C75">
        <w:rPr>
          <w:sz w:val="20"/>
          <w:szCs w:val="20"/>
        </w:rPr>
        <w:t>llam - mint vevő képviseletében eljáró Magyar Nemzeti Vagyonkezelő Zrt.</w:t>
      </w:r>
      <w:r w:rsidR="00863C75">
        <w:rPr>
          <w:sz w:val="20"/>
          <w:szCs w:val="20"/>
        </w:rPr>
        <w:t xml:space="preserve"> (a továbbiakban: MNV Zrt.)</w:t>
      </w:r>
      <w:r w:rsidR="00863C75" w:rsidRPr="00863C75">
        <w:rPr>
          <w:sz w:val="20"/>
          <w:szCs w:val="20"/>
        </w:rPr>
        <w:t xml:space="preserve"> - részére </w:t>
      </w:r>
    </w:p>
    <w:p w14:paraId="22630241" w14:textId="36BA5CB4" w:rsidR="00863C75" w:rsidRDefault="00863C75" w:rsidP="003D5718">
      <w:pPr>
        <w:pStyle w:val="BPszvegtest"/>
        <w:numPr>
          <w:ilvl w:val="0"/>
          <w:numId w:val="7"/>
        </w:numPr>
        <w:spacing w:before="120" w:after="0" w:line="360" w:lineRule="auto"/>
        <w:rPr>
          <w:sz w:val="20"/>
          <w:szCs w:val="20"/>
        </w:rPr>
      </w:pPr>
      <w:r w:rsidRPr="0056177B">
        <w:rPr>
          <w:sz w:val="20"/>
          <w:szCs w:val="20"/>
        </w:rPr>
        <w:t xml:space="preserve">a Budapest Főváros Önkormányzata tulajdonában lévő, a </w:t>
      </w:r>
      <w:r>
        <w:rPr>
          <w:sz w:val="20"/>
          <w:szCs w:val="20"/>
        </w:rPr>
        <w:t>Thália Színház Nonprofit Korlátolt Felelősségű Tarsáságban fennálló 100 %-os részesedést megtestesítő 4.000.000</w:t>
      </w:r>
      <w:r w:rsidR="00F45BE0">
        <w:rPr>
          <w:sz w:val="20"/>
          <w:szCs w:val="20"/>
        </w:rPr>
        <w:t>.</w:t>
      </w:r>
      <w:r>
        <w:rPr>
          <w:sz w:val="20"/>
          <w:szCs w:val="20"/>
        </w:rPr>
        <w:t>- Ft törzsbetét névértékű üzletrész</w:t>
      </w:r>
      <w:r w:rsidR="00624423">
        <w:rPr>
          <w:sz w:val="20"/>
          <w:szCs w:val="20"/>
        </w:rPr>
        <w:t>ét</w:t>
      </w:r>
      <w:r>
        <w:rPr>
          <w:sz w:val="20"/>
          <w:szCs w:val="20"/>
        </w:rPr>
        <w:t xml:space="preserve"> 1 184 026 000,- Ft</w:t>
      </w:r>
      <w:r w:rsidR="00624423">
        <w:rPr>
          <w:sz w:val="20"/>
          <w:szCs w:val="20"/>
        </w:rPr>
        <w:t>, azaz Egymilliárd-egyszáznyolcv</w:t>
      </w:r>
      <w:r w:rsidR="00030979">
        <w:rPr>
          <w:sz w:val="20"/>
          <w:szCs w:val="20"/>
        </w:rPr>
        <w:t>a</w:t>
      </w:r>
      <w:r w:rsidR="00624423">
        <w:rPr>
          <w:sz w:val="20"/>
          <w:szCs w:val="20"/>
        </w:rPr>
        <w:t xml:space="preserve">nnégymillió-huszonhatezer forint </w:t>
      </w:r>
      <w:r w:rsidRPr="0056177B">
        <w:rPr>
          <w:sz w:val="20"/>
          <w:szCs w:val="20"/>
        </w:rPr>
        <w:t>vételár ellenében</w:t>
      </w:r>
      <w:r w:rsidR="00624423">
        <w:rPr>
          <w:sz w:val="20"/>
          <w:szCs w:val="20"/>
        </w:rPr>
        <w:t xml:space="preserve">, valamint </w:t>
      </w:r>
    </w:p>
    <w:p w14:paraId="7784AD7D" w14:textId="1215FCFD" w:rsidR="00090BDF" w:rsidRPr="00090BDF" w:rsidRDefault="00090BDF" w:rsidP="003D5718">
      <w:pPr>
        <w:pStyle w:val="BPszvegtest"/>
        <w:numPr>
          <w:ilvl w:val="0"/>
          <w:numId w:val="7"/>
        </w:numPr>
        <w:spacing w:before="120" w:after="0" w:line="360" w:lineRule="auto"/>
        <w:rPr>
          <w:sz w:val="20"/>
          <w:szCs w:val="20"/>
        </w:rPr>
      </w:pPr>
      <w:r>
        <w:rPr>
          <w:sz w:val="20"/>
          <w:szCs w:val="20"/>
        </w:rPr>
        <w:t xml:space="preserve">a Thália Színház Nonprofit </w:t>
      </w:r>
      <w:r w:rsidR="00624423">
        <w:rPr>
          <w:sz w:val="20"/>
          <w:szCs w:val="20"/>
        </w:rPr>
        <w:t>Kft</w:t>
      </w:r>
      <w:r>
        <w:rPr>
          <w:sz w:val="20"/>
          <w:szCs w:val="20"/>
        </w:rPr>
        <w:t xml:space="preserve">. feladatellátásához szükséges, </w:t>
      </w:r>
      <w:r w:rsidRPr="00090BDF">
        <w:rPr>
          <w:sz w:val="20"/>
          <w:szCs w:val="20"/>
        </w:rPr>
        <w:t xml:space="preserve">a Budapest Főváros Kormányhivatala Földhivatali Főosztálya által vezetett ingatlan-nyilvántartásban </w:t>
      </w:r>
    </w:p>
    <w:p w14:paraId="38009C08" w14:textId="628EB091" w:rsidR="00090BDF" w:rsidRPr="00090BDF" w:rsidRDefault="00090BDF" w:rsidP="003D5718">
      <w:pPr>
        <w:numPr>
          <w:ilvl w:val="0"/>
          <w:numId w:val="6"/>
        </w:numPr>
        <w:tabs>
          <w:tab w:val="left" w:pos="0"/>
        </w:tabs>
        <w:spacing w:before="120" w:line="360" w:lineRule="auto"/>
        <w:ind w:left="1134"/>
        <w:rPr>
          <w:rFonts w:eastAsia="Calibri" w:cs="Arial"/>
          <w:szCs w:val="20"/>
        </w:rPr>
      </w:pPr>
      <w:r w:rsidRPr="00090BDF">
        <w:rPr>
          <w:rFonts w:eastAsia="Calibri" w:cs="Arial"/>
          <w:szCs w:val="20"/>
        </w:rPr>
        <w:t>a Budapest VI. Ker. 29080/0/A/9 hrsz-on felvett belterületi, természetben 1065 Budapest, Hajós utca 7. fszt. 2.  alatti, 26 m² alapterületű, lakás;</w:t>
      </w:r>
    </w:p>
    <w:p w14:paraId="0A6EB00F" w14:textId="17189F58" w:rsidR="00090BDF" w:rsidRPr="00090BDF" w:rsidRDefault="00090BDF" w:rsidP="003D5718">
      <w:pPr>
        <w:numPr>
          <w:ilvl w:val="0"/>
          <w:numId w:val="6"/>
        </w:numPr>
        <w:tabs>
          <w:tab w:val="left" w:pos="0"/>
        </w:tabs>
        <w:spacing w:before="120" w:line="360" w:lineRule="auto"/>
        <w:ind w:left="1134"/>
        <w:jc w:val="both"/>
        <w:rPr>
          <w:rFonts w:eastAsia="Calibri" w:cs="Arial"/>
          <w:szCs w:val="20"/>
        </w:rPr>
      </w:pPr>
      <w:r w:rsidRPr="00090BDF">
        <w:rPr>
          <w:rFonts w:eastAsia="Calibri" w:cs="Arial"/>
          <w:szCs w:val="20"/>
        </w:rPr>
        <w:t>a Budapest VI. Ker. 29081/0/A/2 hrsz-on felvett belterületi, természetben 1065 Budapest, Hajós u. 9. fszt. 4. ajtó alatti, 47 m² alapterületű, „üzlethelyiség;</w:t>
      </w:r>
    </w:p>
    <w:p w14:paraId="5364D80F" w14:textId="3A343130" w:rsidR="00090BDF" w:rsidRPr="00090BDF" w:rsidRDefault="00090BDF" w:rsidP="003D5718">
      <w:pPr>
        <w:numPr>
          <w:ilvl w:val="0"/>
          <w:numId w:val="6"/>
        </w:numPr>
        <w:tabs>
          <w:tab w:val="left" w:pos="0"/>
        </w:tabs>
        <w:spacing w:before="120" w:line="360" w:lineRule="auto"/>
        <w:ind w:left="1134"/>
        <w:jc w:val="both"/>
        <w:rPr>
          <w:rFonts w:eastAsia="Calibri" w:cs="Arial"/>
          <w:szCs w:val="20"/>
        </w:rPr>
      </w:pPr>
      <w:r w:rsidRPr="00090BDF">
        <w:rPr>
          <w:rFonts w:eastAsia="Calibri" w:cs="Arial"/>
          <w:szCs w:val="20"/>
        </w:rPr>
        <w:t>a Budapest VI. Ker. 29086/0/A/1 hrsz-on felvett belterületi, természetben 1065 Budapest, Nagymező u. 22-24. I.em. 1. ajtó alatti, 1053 m² alapterületű, „színház”;</w:t>
      </w:r>
    </w:p>
    <w:p w14:paraId="5EC1A285" w14:textId="3ADE215F"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29086/0/A/2 hrsz-on felvett belterületi, természetben 1065 Budapest, Nagymező u. 22-24. I.em. 2. ajtó alatti, 2726 m² alapterületű, „színház”;</w:t>
      </w:r>
    </w:p>
    <w:p w14:paraId="4584B7CF" w14:textId="76B31AC4"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29087/0/A/1 hrsz-on felvett belterületi, természetben 1065 Budapest, Nagymező u. 26. fsz. 3.ajtó alatti, 399 m² alapterületű, „iroda, raktár”;</w:t>
      </w:r>
    </w:p>
    <w:p w14:paraId="0F8C64D5" w14:textId="5016C890"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29356/0/A/12 hrsz-on felvett belterületi, természetben 1065 Budapest, Nagymező u. 8. fszt.7. ajtó alatti, 51 m² alapterületű, „lakás”;</w:t>
      </w:r>
    </w:p>
    <w:p w14:paraId="1804F0AF" w14:textId="151923CB"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29013/0/A/4 hrsz-on felvett belterületi, természetben 1065 Budapest, Zichy Jenő utca 42. 4.ajtó alatti, 21 m² alapterületű, „lakás”;</w:t>
      </w:r>
    </w:p>
    <w:p w14:paraId="109230FC" w14:textId="007ED04F"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29064/0/A/7 hrsz-on felvett belterületi, természetben 1065 Budapest, Nagymező u. 19. fszt. 8. ajtó alatti, 32 m² alapterületű, „iroda”;</w:t>
      </w:r>
    </w:p>
    <w:p w14:paraId="536DEAFE" w14:textId="1C0A0499" w:rsidR="00090BDF" w:rsidRP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lastRenderedPageBreak/>
        <w:t>a Budapest VI. Ker. 29076/0/B/1 hrsz-on felvett belterületi, természetben „címképzés alatt”, természetben 1065 Budapest, Nagymez</w:t>
      </w:r>
      <w:r w:rsidRPr="00090BDF">
        <w:rPr>
          <w:rFonts w:eastAsia="Calibri" w:cs="Arial" w:hint="eastAsia"/>
          <w:szCs w:val="20"/>
        </w:rPr>
        <w:t>ő</w:t>
      </w:r>
      <w:r w:rsidRPr="00090BDF">
        <w:rPr>
          <w:rFonts w:eastAsia="Calibri" w:cs="Arial"/>
          <w:szCs w:val="20"/>
        </w:rPr>
        <w:t xml:space="preserve"> utca 20., alagsor 1. alatti, 101 m² alapterületű, „öltöző színházi öltöző”; valamint</w:t>
      </w:r>
    </w:p>
    <w:p w14:paraId="28723E33" w14:textId="77777777" w:rsidR="00090BDF" w:rsidRDefault="00090BDF" w:rsidP="00624423">
      <w:pPr>
        <w:numPr>
          <w:ilvl w:val="0"/>
          <w:numId w:val="6"/>
        </w:numPr>
        <w:tabs>
          <w:tab w:val="left" w:pos="0"/>
        </w:tabs>
        <w:spacing w:line="360" w:lineRule="auto"/>
        <w:ind w:left="1134"/>
        <w:jc w:val="both"/>
        <w:rPr>
          <w:rFonts w:eastAsia="Calibri" w:cs="Arial"/>
          <w:szCs w:val="20"/>
        </w:rPr>
      </w:pPr>
      <w:r w:rsidRPr="00090BDF">
        <w:rPr>
          <w:rFonts w:eastAsia="Calibri" w:cs="Arial"/>
          <w:szCs w:val="20"/>
        </w:rPr>
        <w:t>a Budapest VI. Ker. 29076/0/B/5 hrsz-on felvett belterületi, természetben „címképzés alatt”, természetben 1065 Budapest, Nagymez</w:t>
      </w:r>
      <w:r w:rsidRPr="00090BDF">
        <w:rPr>
          <w:rFonts w:eastAsia="Calibri" w:cs="Arial" w:hint="eastAsia"/>
          <w:szCs w:val="20"/>
        </w:rPr>
        <w:t>ő</w:t>
      </w:r>
      <w:r w:rsidRPr="00090BDF">
        <w:rPr>
          <w:rFonts w:eastAsia="Calibri" w:cs="Arial"/>
          <w:szCs w:val="20"/>
        </w:rPr>
        <w:t xml:space="preserve"> utca 20., fszt. 3. ajtó alatti, 220 m² alapterületű, „színpad, nézőtér”</w:t>
      </w:r>
    </w:p>
    <w:p w14:paraId="68BCD0B2" w14:textId="3400EA1B" w:rsidR="00090BDF" w:rsidRPr="00090BDF" w:rsidRDefault="00090BDF" w:rsidP="002108BA">
      <w:pPr>
        <w:tabs>
          <w:tab w:val="left" w:pos="0"/>
        </w:tabs>
        <w:spacing w:after="240" w:line="360" w:lineRule="auto"/>
        <w:ind w:left="709"/>
        <w:jc w:val="both"/>
        <w:rPr>
          <w:rFonts w:eastAsia="Calibri" w:cs="Arial"/>
          <w:szCs w:val="20"/>
        </w:rPr>
      </w:pPr>
      <w:r w:rsidRPr="00090BDF">
        <w:rPr>
          <w:rFonts w:eastAsia="Calibri" w:cs="Arial"/>
          <w:szCs w:val="20"/>
        </w:rPr>
        <w:t>megnevezésű társasházi ingatlan</w:t>
      </w:r>
      <w:r>
        <w:rPr>
          <w:rFonts w:eastAsia="Calibri" w:cs="Arial"/>
          <w:szCs w:val="20"/>
        </w:rPr>
        <w:t xml:space="preserve">okat, </w:t>
      </w:r>
      <w:r w:rsidRPr="00090BDF">
        <w:rPr>
          <w:rFonts w:eastAsia="Calibri" w:cs="Arial"/>
          <w:szCs w:val="20"/>
        </w:rPr>
        <w:t>valamint a közös tulajdonból az ingatlan</w:t>
      </w:r>
      <w:r>
        <w:rPr>
          <w:rFonts w:eastAsia="Calibri" w:cs="Arial"/>
          <w:szCs w:val="20"/>
        </w:rPr>
        <w:t>ok</w:t>
      </w:r>
      <w:r w:rsidRPr="00090BDF">
        <w:rPr>
          <w:rFonts w:eastAsia="Calibri" w:cs="Arial"/>
          <w:szCs w:val="20"/>
        </w:rPr>
        <w:t>hoz tartozó eszmei hányad</w:t>
      </w:r>
      <w:r>
        <w:rPr>
          <w:rFonts w:eastAsia="Calibri" w:cs="Arial"/>
          <w:szCs w:val="20"/>
        </w:rPr>
        <w:t>okat</w:t>
      </w:r>
      <w:r w:rsidR="00372F18">
        <w:rPr>
          <w:rFonts w:eastAsia="Calibri" w:cs="Arial"/>
          <w:szCs w:val="20"/>
        </w:rPr>
        <w:t xml:space="preserve"> (a továbbiakban: Ingatlanok)</w:t>
      </w:r>
      <w:r>
        <w:rPr>
          <w:rFonts w:eastAsia="Calibri" w:cs="Arial"/>
          <w:szCs w:val="20"/>
        </w:rPr>
        <w:t xml:space="preserve"> mindösszesen </w:t>
      </w:r>
      <w:r w:rsidRPr="00090BDF">
        <w:rPr>
          <w:rFonts w:eastAsia="Calibri" w:cs="Arial"/>
          <w:szCs w:val="20"/>
        </w:rPr>
        <w:t>2.415.974.000</w:t>
      </w:r>
      <w:r w:rsidR="00F45BE0">
        <w:rPr>
          <w:rFonts w:eastAsia="Calibri" w:cs="Arial"/>
          <w:szCs w:val="20"/>
        </w:rPr>
        <w:t>.</w:t>
      </w:r>
      <w:r w:rsidRPr="00090BDF">
        <w:rPr>
          <w:rFonts w:eastAsia="Calibri" w:cs="Arial"/>
          <w:szCs w:val="20"/>
        </w:rPr>
        <w:t xml:space="preserve">- Ft, azaz Kettőmilliárd-négyszáztizenötmillió-kilencszázhetvennégyezer forint vételárértazzal, hogy ezen </w:t>
      </w:r>
      <w:r w:rsidR="00285073">
        <w:rPr>
          <w:rFonts w:eastAsia="Calibri" w:cs="Arial"/>
          <w:szCs w:val="20"/>
        </w:rPr>
        <w:t xml:space="preserve">(nettó) </w:t>
      </w:r>
      <w:r w:rsidRPr="00090BDF">
        <w:rPr>
          <w:rFonts w:eastAsia="Calibri" w:cs="Arial"/>
          <w:szCs w:val="20"/>
        </w:rPr>
        <w:t>vételár</w:t>
      </w:r>
      <w:r w:rsidR="00624423">
        <w:rPr>
          <w:rFonts w:eastAsia="Calibri" w:cs="Arial"/>
          <w:szCs w:val="20"/>
        </w:rPr>
        <w:t>ak</w:t>
      </w:r>
      <w:r w:rsidRPr="00090BDF">
        <w:rPr>
          <w:rFonts w:eastAsia="Calibri" w:cs="Arial"/>
          <w:szCs w:val="20"/>
        </w:rPr>
        <w:t xml:space="preserve"> után fizetendő Áfa összegét a fordított adózás szabályai szerint az MNV Zrt. fizeti meg.</w:t>
      </w:r>
    </w:p>
    <w:bookmarkEnd w:id="5"/>
    <w:p w14:paraId="6AAF7875" w14:textId="7B607EE9" w:rsidR="0056155F" w:rsidRDefault="00090BDF" w:rsidP="00372F18">
      <w:pPr>
        <w:tabs>
          <w:tab w:val="left" w:pos="0"/>
        </w:tabs>
        <w:spacing w:line="360" w:lineRule="auto"/>
        <w:ind w:left="66"/>
        <w:jc w:val="both"/>
        <w:rPr>
          <w:szCs w:val="20"/>
        </w:rPr>
      </w:pPr>
      <w:r w:rsidRPr="00090BDF">
        <w:rPr>
          <w:rFonts w:eastAsia="Calibri" w:cs="Arial"/>
          <w:szCs w:val="20"/>
        </w:rPr>
        <w:t xml:space="preserve">Jóváhagyja az előterjesztés </w:t>
      </w:r>
      <w:r w:rsidR="00130951">
        <w:rPr>
          <w:rFonts w:eastAsia="Calibri" w:cs="Arial"/>
          <w:szCs w:val="20"/>
        </w:rPr>
        <w:t>5</w:t>
      </w:r>
      <w:r w:rsidRPr="00090BDF">
        <w:rPr>
          <w:rFonts w:eastAsia="Calibri" w:cs="Arial"/>
          <w:szCs w:val="20"/>
        </w:rPr>
        <w:t xml:space="preserve">.sz. mellékletében csatolt </w:t>
      </w:r>
      <w:r w:rsidR="00624423">
        <w:rPr>
          <w:rFonts w:eastAsia="Calibri" w:cs="Arial"/>
          <w:szCs w:val="20"/>
        </w:rPr>
        <w:t xml:space="preserve">„Üzletrész Adásvételi Megállapodás”-t, valamint a </w:t>
      </w:r>
      <w:r w:rsidR="00130951">
        <w:rPr>
          <w:rFonts w:eastAsia="Calibri" w:cs="Arial"/>
          <w:szCs w:val="20"/>
        </w:rPr>
        <w:t>6</w:t>
      </w:r>
      <w:r w:rsidR="00624423">
        <w:rPr>
          <w:rFonts w:eastAsia="Calibri" w:cs="Arial"/>
          <w:szCs w:val="20"/>
        </w:rPr>
        <w:t>. sz. mellékletben csatolt „Ingatlan Adásvételi Szerződés”-t</w:t>
      </w:r>
      <w:r w:rsidR="00510EF5">
        <w:rPr>
          <w:rFonts w:eastAsia="Calibri" w:cs="Arial"/>
          <w:szCs w:val="20"/>
        </w:rPr>
        <w:t>,</w:t>
      </w:r>
      <w:r w:rsidR="00624423">
        <w:rPr>
          <w:rFonts w:eastAsia="Calibri" w:cs="Arial"/>
          <w:szCs w:val="20"/>
        </w:rPr>
        <w:t xml:space="preserve"> </w:t>
      </w:r>
      <w:r w:rsidRPr="00090BDF">
        <w:rPr>
          <w:rFonts w:eastAsia="Calibri" w:cs="Arial"/>
          <w:szCs w:val="20"/>
        </w:rPr>
        <w:t xml:space="preserve"> valamint az a</w:t>
      </w:r>
      <w:r w:rsidR="00624423">
        <w:rPr>
          <w:rFonts w:eastAsia="Calibri" w:cs="Arial"/>
          <w:szCs w:val="20"/>
        </w:rPr>
        <w:t xml:space="preserve">zok </w:t>
      </w:r>
      <w:r w:rsidRPr="00090BDF">
        <w:rPr>
          <w:rFonts w:eastAsia="Calibri" w:cs="Arial"/>
          <w:szCs w:val="20"/>
        </w:rPr>
        <w:t>teljesítéséhez kapcsolódó</w:t>
      </w:r>
      <w:r w:rsidR="00624423">
        <w:rPr>
          <w:rFonts w:eastAsia="Calibri" w:cs="Arial"/>
          <w:szCs w:val="20"/>
        </w:rPr>
        <w:t xml:space="preserve">, a </w:t>
      </w:r>
      <w:r w:rsidR="00130951">
        <w:rPr>
          <w:rFonts w:eastAsia="Calibri" w:cs="Arial"/>
          <w:szCs w:val="20"/>
        </w:rPr>
        <w:t>7</w:t>
      </w:r>
      <w:r w:rsidR="00372F18" w:rsidRPr="00372F18">
        <w:rPr>
          <w:rFonts w:eastAsia="Calibri" w:cs="Arial"/>
          <w:szCs w:val="20"/>
        </w:rPr>
        <w:t>.</w:t>
      </w:r>
      <w:r w:rsidR="00372F18">
        <w:rPr>
          <w:rFonts w:eastAsia="Calibri" w:cs="Arial"/>
          <w:szCs w:val="20"/>
        </w:rPr>
        <w:t>sz. melléklet</w:t>
      </w:r>
      <w:r w:rsidR="00061B82">
        <w:rPr>
          <w:rFonts w:eastAsia="Calibri" w:cs="Arial"/>
          <w:szCs w:val="20"/>
        </w:rPr>
        <w:t>ben csatolt,</w:t>
      </w:r>
      <w:r w:rsidR="00372F18">
        <w:rPr>
          <w:rFonts w:eastAsia="Calibri" w:cs="Arial"/>
          <w:szCs w:val="20"/>
        </w:rPr>
        <w:t xml:space="preserve"> a </w:t>
      </w:r>
      <w:r w:rsidR="00372F18" w:rsidRPr="00372F18">
        <w:rPr>
          <w:rFonts w:eastAsia="Calibri" w:cs="Arial"/>
          <w:szCs w:val="20"/>
        </w:rPr>
        <w:t xml:space="preserve">Zárási feltételek teljesüléséről </w:t>
      </w:r>
      <w:r w:rsidR="00372F18">
        <w:rPr>
          <w:rFonts w:eastAsia="Calibri" w:cs="Arial"/>
          <w:szCs w:val="20"/>
        </w:rPr>
        <w:t>szóló nyilatkozat</w:t>
      </w:r>
      <w:r w:rsidR="00061B82">
        <w:rPr>
          <w:rFonts w:eastAsia="Calibri" w:cs="Arial"/>
          <w:szCs w:val="20"/>
        </w:rPr>
        <w:t>o</w:t>
      </w:r>
      <w:r w:rsidR="00130951">
        <w:rPr>
          <w:rFonts w:eastAsia="Calibri" w:cs="Arial"/>
          <w:szCs w:val="20"/>
        </w:rPr>
        <w:t>kat</w:t>
      </w:r>
      <w:r w:rsidR="00372F18">
        <w:rPr>
          <w:rFonts w:eastAsia="Calibri" w:cs="Arial"/>
          <w:szCs w:val="20"/>
        </w:rPr>
        <w:t xml:space="preserve">, a </w:t>
      </w:r>
      <w:r w:rsidR="009B7215">
        <w:rPr>
          <w:rFonts w:eastAsia="Calibri" w:cs="Arial"/>
          <w:szCs w:val="20"/>
        </w:rPr>
        <w:t>8</w:t>
      </w:r>
      <w:r w:rsidR="00372F18">
        <w:rPr>
          <w:rFonts w:eastAsia="Calibri" w:cs="Arial"/>
          <w:szCs w:val="20"/>
        </w:rPr>
        <w:t xml:space="preserve">.sz. melléklet szerint, a </w:t>
      </w:r>
      <w:r w:rsidR="00372F18" w:rsidRPr="00372F18">
        <w:rPr>
          <w:rFonts w:eastAsia="Calibri" w:cs="Arial"/>
          <w:szCs w:val="20"/>
        </w:rPr>
        <w:t xml:space="preserve">Társasággal szemben fennálló követelésről </w:t>
      </w:r>
      <w:r w:rsidR="00372F18">
        <w:rPr>
          <w:rFonts w:eastAsia="Calibri" w:cs="Arial"/>
          <w:szCs w:val="20"/>
        </w:rPr>
        <w:t>szóló nyilatkozat</w:t>
      </w:r>
      <w:r w:rsidR="00061B82">
        <w:rPr>
          <w:rFonts w:eastAsia="Calibri" w:cs="Arial"/>
          <w:szCs w:val="20"/>
        </w:rPr>
        <w:t>ot</w:t>
      </w:r>
      <w:r w:rsidR="00372F18">
        <w:rPr>
          <w:rFonts w:eastAsia="Calibri" w:cs="Arial"/>
          <w:szCs w:val="20"/>
        </w:rPr>
        <w:t xml:space="preserve">, a </w:t>
      </w:r>
      <w:r w:rsidR="009B7215">
        <w:rPr>
          <w:rFonts w:eastAsia="Calibri" w:cs="Arial"/>
          <w:szCs w:val="20"/>
        </w:rPr>
        <w:t>9</w:t>
      </w:r>
      <w:r w:rsidR="00372F18">
        <w:rPr>
          <w:rFonts w:eastAsia="Calibri" w:cs="Arial"/>
          <w:szCs w:val="20"/>
        </w:rPr>
        <w:t xml:space="preserve">. sz. melléklet szerint </w:t>
      </w:r>
      <w:r w:rsidR="00372F18" w:rsidRPr="00372F18">
        <w:rPr>
          <w:rFonts w:eastAsia="Calibri" w:cs="Arial"/>
          <w:szCs w:val="20"/>
        </w:rPr>
        <w:t>a magyar állam</w:t>
      </w:r>
      <w:r w:rsidR="00372F18">
        <w:rPr>
          <w:rFonts w:eastAsia="Calibri" w:cs="Arial"/>
          <w:szCs w:val="20"/>
        </w:rPr>
        <w:t xml:space="preserve">, </w:t>
      </w:r>
      <w:r w:rsidR="00372F18" w:rsidRPr="00372F18">
        <w:rPr>
          <w:rFonts w:eastAsia="Calibri" w:cs="Arial"/>
          <w:szCs w:val="20"/>
        </w:rPr>
        <w:t xml:space="preserve">mint vevő Üzletrész tulajdonszerzéséről </w:t>
      </w:r>
      <w:r w:rsidR="00372F18">
        <w:rPr>
          <w:rFonts w:eastAsia="Calibri" w:cs="Arial"/>
          <w:szCs w:val="20"/>
        </w:rPr>
        <w:t>szóló nyilatkozat</w:t>
      </w:r>
      <w:r w:rsidR="00061B82">
        <w:rPr>
          <w:rFonts w:eastAsia="Calibri" w:cs="Arial"/>
          <w:szCs w:val="20"/>
        </w:rPr>
        <w:t>ot</w:t>
      </w:r>
      <w:r w:rsidR="00372F18">
        <w:rPr>
          <w:rFonts w:eastAsia="Calibri" w:cs="Arial"/>
          <w:szCs w:val="20"/>
        </w:rPr>
        <w:t>, valamint a 1</w:t>
      </w:r>
      <w:r w:rsidR="009B7215">
        <w:rPr>
          <w:rFonts w:eastAsia="Calibri" w:cs="Arial"/>
          <w:szCs w:val="20"/>
        </w:rPr>
        <w:t>0</w:t>
      </w:r>
      <w:r w:rsidR="00372F18">
        <w:rPr>
          <w:rFonts w:eastAsia="Calibri" w:cs="Arial"/>
          <w:szCs w:val="20"/>
        </w:rPr>
        <w:t>. sz. melléklet szerint az Ingatlanok tulajdonjogának</w:t>
      </w:r>
      <w:r w:rsidR="00061B82">
        <w:rPr>
          <w:rFonts w:eastAsia="Calibri" w:cs="Arial"/>
          <w:szCs w:val="20"/>
        </w:rPr>
        <w:t xml:space="preserve"> </w:t>
      </w:r>
      <w:r w:rsidR="00372F18">
        <w:rPr>
          <w:rFonts w:eastAsia="Calibri" w:cs="Arial"/>
          <w:szCs w:val="20"/>
        </w:rPr>
        <w:t>ingatlan-nyilvántartásban történő átvezetéséhez szükséges bejegyzési engedélyt</w:t>
      </w:r>
      <w:r w:rsidR="00030979">
        <w:rPr>
          <w:szCs w:val="20"/>
        </w:rPr>
        <w:t xml:space="preserve"> (együttesen Eladói nyilatkozatok/dokumentumok)</w:t>
      </w:r>
      <w:r w:rsidR="0056155F">
        <w:rPr>
          <w:szCs w:val="20"/>
        </w:rPr>
        <w:t>.</w:t>
      </w:r>
    </w:p>
    <w:p w14:paraId="5FE67DEC" w14:textId="77777777" w:rsidR="0056155F" w:rsidRDefault="0056155F" w:rsidP="002B2C1F">
      <w:pPr>
        <w:tabs>
          <w:tab w:val="left" w:pos="0"/>
        </w:tabs>
        <w:spacing w:line="276" w:lineRule="auto"/>
        <w:ind w:left="66"/>
        <w:jc w:val="both"/>
        <w:rPr>
          <w:szCs w:val="20"/>
        </w:rPr>
      </w:pPr>
    </w:p>
    <w:p w14:paraId="3ADCFBFF" w14:textId="2CCD5957" w:rsidR="00090BDF" w:rsidRPr="00090BDF" w:rsidRDefault="0056155F" w:rsidP="00090BDF">
      <w:pPr>
        <w:tabs>
          <w:tab w:val="left" w:pos="0"/>
        </w:tabs>
        <w:spacing w:line="360" w:lineRule="auto"/>
        <w:ind w:left="66"/>
        <w:jc w:val="both"/>
        <w:rPr>
          <w:rFonts w:eastAsia="Calibri" w:cs="Arial"/>
          <w:szCs w:val="20"/>
        </w:rPr>
      </w:pPr>
      <w:r w:rsidRPr="0056155F">
        <w:rPr>
          <w:szCs w:val="20"/>
        </w:rPr>
        <w:t xml:space="preserve">Felhatalmazza </w:t>
      </w:r>
      <w:r w:rsidR="002B2C1F">
        <w:rPr>
          <w:szCs w:val="20"/>
        </w:rPr>
        <w:t xml:space="preserve">egyrészt </w:t>
      </w:r>
      <w:r w:rsidRPr="0056155F">
        <w:rPr>
          <w:szCs w:val="20"/>
        </w:rPr>
        <w:t>a főpolgármestert az Üzletrész Adásvételi Megállapodás</w:t>
      </w:r>
      <w:r w:rsidR="00510EF5">
        <w:rPr>
          <w:szCs w:val="20"/>
        </w:rPr>
        <w:t>, az Ingatlan Adásvételi Szerződés, valamint az</w:t>
      </w:r>
      <w:r w:rsidRPr="0056155F">
        <w:rPr>
          <w:szCs w:val="20"/>
        </w:rPr>
        <w:t xml:space="preserve"> Eladói nyilatkozatok</w:t>
      </w:r>
      <w:r w:rsidR="00030979">
        <w:rPr>
          <w:szCs w:val="20"/>
        </w:rPr>
        <w:t>/d</w:t>
      </w:r>
      <w:r w:rsidRPr="0056155F">
        <w:rPr>
          <w:szCs w:val="20"/>
        </w:rPr>
        <w:t>okumentumok</w:t>
      </w:r>
      <w:r>
        <w:rPr>
          <w:szCs w:val="20"/>
        </w:rPr>
        <w:t xml:space="preserve">, </w:t>
      </w:r>
      <w:r w:rsidR="00030979">
        <w:rPr>
          <w:szCs w:val="20"/>
        </w:rPr>
        <w:t>valamint</w:t>
      </w:r>
      <w:r>
        <w:rPr>
          <w:szCs w:val="20"/>
        </w:rPr>
        <w:t xml:space="preserve"> a Zárás Napján felvételre kerülő Zárási Jegyzőkönyv </w:t>
      </w:r>
      <w:r w:rsidRPr="0056155F">
        <w:rPr>
          <w:szCs w:val="20"/>
        </w:rPr>
        <w:t>aláírására és a Zárással kapcsolatos valamennyi szükséges intézkedés megtételére</w:t>
      </w:r>
      <w:r>
        <w:rPr>
          <w:rFonts w:eastAsia="Calibri" w:cs="Arial"/>
          <w:szCs w:val="20"/>
        </w:rPr>
        <w:t xml:space="preserve">, azzal, hogy a </w:t>
      </w:r>
      <w:r w:rsidRPr="00521AD8">
        <w:rPr>
          <w:rFonts w:cs="Arial"/>
          <w:szCs w:val="20"/>
        </w:rPr>
        <w:t>Zárás során a Fővárosi Önkormányzat képviseletében a főpolgármester</w:t>
      </w:r>
      <w:r>
        <w:rPr>
          <w:rFonts w:cs="Arial"/>
          <w:szCs w:val="20"/>
        </w:rPr>
        <w:t>, vagy a főpolgármester által</w:t>
      </w:r>
      <w:r w:rsidRPr="00521AD8">
        <w:rPr>
          <w:rFonts w:cs="Arial"/>
          <w:szCs w:val="20"/>
        </w:rPr>
        <w:t xml:space="preserve"> meghatalmazott személy jár</w:t>
      </w:r>
      <w:r>
        <w:rPr>
          <w:rFonts w:cs="Arial"/>
          <w:szCs w:val="20"/>
        </w:rPr>
        <w:t>hat</w:t>
      </w:r>
      <w:r w:rsidRPr="00521AD8">
        <w:rPr>
          <w:rFonts w:cs="Arial"/>
          <w:szCs w:val="20"/>
        </w:rPr>
        <w:t xml:space="preserve"> el</w:t>
      </w:r>
      <w:r w:rsidR="002B2C1F">
        <w:rPr>
          <w:rFonts w:cs="Arial"/>
          <w:szCs w:val="20"/>
        </w:rPr>
        <w:t>, másrészt arra, hogy a Thália Színház Nonprofit Korlátolt Felelősségű Társaság részéről a Záráshoz szükséges nyilatkozatok, meghatalmazások beszerzéséről intézkedjen.</w:t>
      </w:r>
    </w:p>
    <w:p w14:paraId="443A2A2A" w14:textId="77777777" w:rsidR="0056155F" w:rsidRDefault="0056155F" w:rsidP="008E3511">
      <w:pPr>
        <w:pStyle w:val="BPhatrid-felels"/>
        <w:tabs>
          <w:tab w:val="left" w:pos="284"/>
        </w:tabs>
        <w:ind w:left="284"/>
      </w:pPr>
    </w:p>
    <w:p w14:paraId="384151E2" w14:textId="3B95BB2D" w:rsidR="0056155F" w:rsidRDefault="0056155F" w:rsidP="0056155F">
      <w:pPr>
        <w:pStyle w:val="BPhatrid-felels"/>
        <w:tabs>
          <w:tab w:val="left" w:pos="284"/>
        </w:tabs>
        <w:ind w:left="284"/>
      </w:pPr>
      <w:r>
        <w:t>határidő:</w:t>
      </w:r>
      <w:r>
        <w:tab/>
        <w:t>2020. december 31., illetve az Üzletrész Adásvételi Megállapodás szerinti Zárás Napja</w:t>
      </w:r>
    </w:p>
    <w:p w14:paraId="72B9696A" w14:textId="437F85CB" w:rsidR="0056155F" w:rsidRDefault="0056155F" w:rsidP="0056155F">
      <w:pPr>
        <w:pStyle w:val="BPhatrid-felels"/>
        <w:tabs>
          <w:tab w:val="left" w:pos="284"/>
        </w:tabs>
        <w:ind w:left="284"/>
      </w:pPr>
      <w:r>
        <w:t xml:space="preserve">felelős: </w:t>
      </w:r>
      <w:r>
        <w:tab/>
        <w:t>Főpolgármester</w:t>
      </w:r>
    </w:p>
    <w:p w14:paraId="2F641BBF" w14:textId="77777777" w:rsidR="00130951" w:rsidRDefault="00130951" w:rsidP="004F7F20">
      <w:pPr>
        <w:pStyle w:val="BPhatrozathozatalmdja"/>
        <w:keepNext/>
        <w:spacing w:before="0"/>
        <w:rPr>
          <w:sz w:val="20"/>
          <w:szCs w:val="20"/>
        </w:rPr>
      </w:pPr>
    </w:p>
    <w:p w14:paraId="1C449E51" w14:textId="1EAEB50B" w:rsidR="005724CE" w:rsidRPr="00877014" w:rsidRDefault="005255D2" w:rsidP="004F7F20">
      <w:pPr>
        <w:pStyle w:val="BPhatrozathozatalmdja"/>
        <w:keepNext/>
        <w:spacing w:before="0"/>
        <w:rPr>
          <w:b w:val="0"/>
          <w:bCs/>
          <w:sz w:val="20"/>
          <w:szCs w:val="20"/>
        </w:rPr>
      </w:pPr>
      <w:r>
        <w:rPr>
          <w:sz w:val="20"/>
          <w:szCs w:val="20"/>
        </w:rPr>
        <w:t>H</w:t>
      </w:r>
      <w:r w:rsidR="005724CE" w:rsidRPr="005724CE">
        <w:rPr>
          <w:sz w:val="20"/>
          <w:szCs w:val="20"/>
        </w:rPr>
        <w:t>atározathozatal módja:</w:t>
      </w:r>
      <w:r w:rsidR="00877014" w:rsidRPr="00877014">
        <w:t xml:space="preserve"> </w:t>
      </w:r>
      <w:r w:rsidR="00877014">
        <w:tab/>
      </w:r>
      <w:r w:rsidR="00877014" w:rsidRPr="00877014">
        <w:rPr>
          <w:b w:val="0"/>
          <w:bCs/>
          <w:sz w:val="20"/>
          <w:szCs w:val="20"/>
        </w:rPr>
        <w:t>minősített szavazattöbbség</w:t>
      </w:r>
    </w:p>
    <w:p w14:paraId="1C449E54" w14:textId="690DE44B" w:rsidR="005724CE" w:rsidRDefault="00501831" w:rsidP="004F7F20">
      <w:pPr>
        <w:widowControl w:val="0"/>
        <w:autoSpaceDE w:val="0"/>
        <w:autoSpaceDN w:val="0"/>
        <w:adjustRightInd w:val="0"/>
        <w:spacing w:before="240" w:line="360" w:lineRule="auto"/>
        <w:rPr>
          <w:rFonts w:cs="Arial"/>
          <w:iCs/>
          <w:szCs w:val="20"/>
        </w:rPr>
      </w:pPr>
      <w:r>
        <w:rPr>
          <w:rFonts w:cs="Arial"/>
          <w:i/>
          <w:iCs/>
          <w:szCs w:val="20"/>
        </w:rPr>
        <w:t>Budapest, 20</w:t>
      </w:r>
      <w:r w:rsidR="0056155F">
        <w:rPr>
          <w:rFonts w:cs="Arial"/>
          <w:i/>
          <w:iCs/>
          <w:szCs w:val="20"/>
        </w:rPr>
        <w:t>20. december „        ”</w:t>
      </w:r>
    </w:p>
    <w:p w14:paraId="1C449E5B" w14:textId="56C02E72" w:rsidR="005724CE" w:rsidRDefault="005724CE" w:rsidP="008E3511">
      <w:pPr>
        <w:pStyle w:val="BPmellkletcm"/>
      </w:pPr>
    </w:p>
    <w:p w14:paraId="25C2AF12" w14:textId="77777777" w:rsidR="004F7F20" w:rsidRDefault="004F7F20" w:rsidP="008E3511">
      <w:pPr>
        <w:pStyle w:val="BPmellkletcm"/>
      </w:pPr>
    </w:p>
    <w:p w14:paraId="6423D18A" w14:textId="6241F4AE" w:rsidR="00801759" w:rsidRPr="00A424E6" w:rsidRDefault="00391E8D" w:rsidP="00801759">
      <w:pPr>
        <w:widowControl w:val="0"/>
        <w:autoSpaceDE w:val="0"/>
        <w:autoSpaceDN w:val="0"/>
        <w:adjustRightInd w:val="0"/>
        <w:spacing w:before="240" w:line="360" w:lineRule="auto"/>
        <w:jc w:val="right"/>
        <w:rPr>
          <w:rFonts w:cs="Arial"/>
          <w:i/>
          <w:szCs w:val="20"/>
        </w:rPr>
      </w:pPr>
      <w:sdt>
        <w:sdtPr>
          <w:rPr>
            <w:rFonts w:cs="Arial"/>
            <w:szCs w:val="20"/>
          </w:rPr>
          <w:alias w:val="Aláíró1"/>
          <w:tag w:val="edok_w_alairo_1"/>
          <w:id w:val="-1452851516"/>
          <w:placeholder>
            <w:docPart w:val="A0407E4FA2E54F8CB6E0DAC646E4BEA2"/>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1[1]" w:storeItemID="{DFB563B3-EA9B-4139-8EB5-5D9B481E2081}"/>
          <w:text/>
        </w:sdtPr>
        <w:sdtEndPr/>
        <w:sdtContent>
          <w:r w:rsidR="00D26D98">
            <w:rPr>
              <w:rFonts w:cs="Arial"/>
              <w:szCs w:val="20"/>
            </w:rPr>
            <w:t>Karácsony Gergely</w:t>
          </w:r>
        </w:sdtContent>
      </w:sdt>
      <w:r w:rsidR="00801759" w:rsidRPr="00A424E6">
        <w:rPr>
          <w:rFonts w:cs="Arial"/>
          <w:szCs w:val="20"/>
        </w:rPr>
        <w:br/>
      </w:r>
      <w:sdt>
        <w:sdtPr>
          <w:rPr>
            <w:rFonts w:cs="Arial"/>
            <w:sz w:val="16"/>
            <w:szCs w:val="16"/>
          </w:rPr>
          <w:alias w:val="Aláíró1 beosztása"/>
          <w:tag w:val="edok_w_alairobeo_1"/>
          <w:id w:val="1778677696"/>
          <w:placeholder>
            <w:docPart w:val="DFC4FAE6705D48E7B1EB50BEF7072FF8"/>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beo_1[1]" w:storeItemID="{DFB563B3-EA9B-4139-8EB5-5D9B481E2081}"/>
          <w:text/>
        </w:sdtPr>
        <w:sdtEndPr/>
        <w:sdtContent>
          <w:r w:rsidR="00CC1F14">
            <w:rPr>
              <w:rFonts w:cs="Arial"/>
              <w:sz w:val="16"/>
              <w:szCs w:val="16"/>
            </w:rPr>
            <w:t>főpolgármester</w:t>
          </w:r>
        </w:sdtContent>
      </w:sdt>
    </w:p>
    <w:tbl>
      <w:tblPr>
        <w:tblW w:w="0" w:type="auto"/>
        <w:tblCellMar>
          <w:left w:w="0" w:type="dxa"/>
          <w:right w:w="0" w:type="dxa"/>
        </w:tblCellMar>
        <w:tblLook w:val="04A0" w:firstRow="1" w:lastRow="0" w:firstColumn="1" w:lastColumn="0" w:noHBand="0" w:noVBand="1"/>
      </w:tblPr>
      <w:tblGrid>
        <w:gridCol w:w="1801"/>
      </w:tblGrid>
      <w:tr w:rsidR="005724CE" w:rsidRPr="00DA18D1" w14:paraId="1C449E5D" w14:textId="77777777" w:rsidTr="0044656F">
        <w:trPr>
          <w:trHeight w:val="138"/>
        </w:trPr>
        <w:tc>
          <w:tcPr>
            <w:tcW w:w="0" w:type="auto"/>
            <w:noWrap/>
          </w:tcPr>
          <w:p w14:paraId="1C449E5C" w14:textId="77777777" w:rsidR="005724CE" w:rsidRPr="00DA18D1" w:rsidRDefault="005724CE" w:rsidP="008E3511">
            <w:pPr>
              <w:pStyle w:val="BPtisztelettel"/>
              <w:jc w:val="both"/>
              <w:rPr>
                <w:sz w:val="20"/>
                <w:szCs w:val="20"/>
              </w:rPr>
            </w:pPr>
            <w:r w:rsidRPr="00DA18D1">
              <w:rPr>
                <w:sz w:val="20"/>
                <w:szCs w:val="20"/>
              </w:rPr>
              <w:t>Láttam:</w:t>
            </w:r>
          </w:p>
        </w:tc>
      </w:tr>
      <w:tr w:rsidR="005724CE" w:rsidRPr="00DA18D1" w14:paraId="1C449E60" w14:textId="77777777" w:rsidTr="002B2C1F">
        <w:trPr>
          <w:trHeight w:val="142"/>
        </w:trPr>
        <w:tc>
          <w:tcPr>
            <w:tcW w:w="0" w:type="auto"/>
            <w:noWrap/>
          </w:tcPr>
          <w:p w14:paraId="1C449E5E" w14:textId="6AEE83B7" w:rsidR="005724CE" w:rsidRPr="00DA18D1" w:rsidRDefault="00801759" w:rsidP="008E3511">
            <w:pPr>
              <w:pStyle w:val="BPalrs"/>
              <w:rPr>
                <w:sz w:val="20"/>
                <w:szCs w:val="20"/>
              </w:rPr>
            </w:pPr>
            <w:r>
              <w:rPr>
                <w:sz w:val="20"/>
                <w:szCs w:val="20"/>
              </w:rPr>
              <w:t>dr. Számadó Tamás</w:t>
            </w:r>
          </w:p>
          <w:p w14:paraId="1C85D15B" w14:textId="77777777" w:rsidR="005724CE" w:rsidRDefault="005724CE" w:rsidP="008E3511">
            <w:pPr>
              <w:pStyle w:val="Bpalrstitulus"/>
              <w:jc w:val="both"/>
              <w:rPr>
                <w:i w:val="0"/>
                <w:sz w:val="16"/>
                <w:szCs w:val="20"/>
              </w:rPr>
            </w:pPr>
            <w:r w:rsidRPr="00BD577A">
              <w:rPr>
                <w:i w:val="0"/>
                <w:sz w:val="16"/>
                <w:szCs w:val="20"/>
              </w:rPr>
              <w:t>főjegyző</w:t>
            </w:r>
          </w:p>
          <w:p w14:paraId="1C449E5F" w14:textId="14B5486F" w:rsidR="004F7F20" w:rsidRPr="00BD577A" w:rsidRDefault="004F7F20" w:rsidP="008E3511">
            <w:pPr>
              <w:pStyle w:val="Bpalrstitulus"/>
              <w:jc w:val="both"/>
              <w:rPr>
                <w:i w:val="0"/>
                <w:sz w:val="20"/>
                <w:szCs w:val="20"/>
              </w:rPr>
            </w:pPr>
          </w:p>
        </w:tc>
      </w:tr>
    </w:tbl>
    <w:p w14:paraId="1C449E66" w14:textId="77777777" w:rsidR="006B02C2" w:rsidRPr="00F17912" w:rsidRDefault="002344B9" w:rsidP="008E3511">
      <w:pPr>
        <w:widowControl w:val="0"/>
        <w:autoSpaceDE w:val="0"/>
        <w:autoSpaceDN w:val="0"/>
        <w:adjustRightInd w:val="0"/>
        <w:spacing w:before="240" w:line="360" w:lineRule="auto"/>
        <w:jc w:val="right"/>
        <w:rPr>
          <w:rFonts w:cs="Arial"/>
          <w:sz w:val="16"/>
          <w:szCs w:val="16"/>
        </w:rPr>
      </w:pPr>
      <w:r>
        <w:rPr>
          <w:noProof/>
          <w:lang w:eastAsia="hu-HU"/>
        </w:rPr>
        <mc:AlternateContent>
          <mc:Choice Requires="wps">
            <w:drawing>
              <wp:inline distT="0" distB="0" distL="0" distR="0" wp14:anchorId="1C449E6C" wp14:editId="177BD660">
                <wp:extent cx="6155690" cy="0"/>
                <wp:effectExtent l="0" t="0" r="35560" b="19050"/>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inline>
            </w:drawing>
          </mc:Choice>
          <mc:Fallback xmlns:w16cex="http://schemas.microsoft.com/office/word/2018/wordml/cex" xmlns:w16="http://schemas.microsoft.com/office/word/2018/wordml">
            <w:pict>
              <v:shapetype w14:anchorId="2C3FF180" id="_x0000_t32" coordsize="21600,21600" o:spt="32" o:oned="t" path="m,l21600,21600e" filled="f">
                <v:path arrowok="t" fillok="f" o:connecttype="none"/>
                <o:lock v:ext="edit" shapetype="t"/>
              </v:shapetype>
              <v:shape id="AutoShape 5" o:spid="_x0000_s1026" type="#_x0000_t32" style="width:484.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" strokeweight=".3pt">
                <w10:anchorlock/>
              </v:shape>
            </w:pict>
          </mc:Fallback>
        </mc:AlternateContent>
      </w:r>
    </w:p>
    <w:p w14:paraId="1C449E67" w14:textId="77777777" w:rsidR="00F17912" w:rsidRDefault="00F17912" w:rsidP="008E3511">
      <w:pPr>
        <w:widowControl w:val="0"/>
        <w:autoSpaceDE w:val="0"/>
        <w:autoSpaceDN w:val="0"/>
        <w:adjustRightInd w:val="0"/>
        <w:spacing w:line="360" w:lineRule="auto"/>
        <w:rPr>
          <w:rFonts w:cs="Arial"/>
          <w:sz w:val="16"/>
          <w:szCs w:val="16"/>
        </w:rPr>
      </w:pPr>
      <w:r>
        <w:rPr>
          <w:rFonts w:cs="Arial"/>
          <w:sz w:val="16"/>
          <w:szCs w:val="16"/>
        </w:rPr>
        <w:lastRenderedPageBreak/>
        <w:t>mellékletek:</w:t>
      </w:r>
    </w:p>
    <w:p w14:paraId="1C449E68" w14:textId="124561A8" w:rsidR="00F17912" w:rsidRDefault="00067A09" w:rsidP="008E3511">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1148/2020. (IV.10.) Korm.határozat és 334/2020.(04.13) Főv.Kgy. határozat</w:t>
      </w:r>
    </w:p>
    <w:p w14:paraId="1C449E69" w14:textId="670D4FCD" w:rsidR="00F17912" w:rsidRDefault="00067A09" w:rsidP="008E3511">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Indikatív vételi ajánlat</w:t>
      </w:r>
    </w:p>
    <w:p w14:paraId="4718CBC2" w14:textId="68D8A31D" w:rsidR="00067A09" w:rsidRDefault="00067A09"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Tulajdoni lapok</w:t>
      </w:r>
    </w:p>
    <w:p w14:paraId="59F66D7F" w14:textId="0F94ECDD" w:rsidR="00067A09" w:rsidRDefault="00067A09"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Vonatkozó kormányhatározatok</w:t>
      </w:r>
    </w:p>
    <w:p w14:paraId="338742A3" w14:textId="2D8B4FD3" w:rsidR="00067A09" w:rsidRDefault="00067A09"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Üzletrész Adásvételi Megállapodás – tervezet</w:t>
      </w:r>
    </w:p>
    <w:p w14:paraId="3B565104" w14:textId="230A1D8F" w:rsidR="00067A09" w:rsidRDefault="00067A09"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Ingatlan Adásvételi Szerződés - tervezet</w:t>
      </w:r>
    </w:p>
    <w:p w14:paraId="6B8781CC" w14:textId="61758DEB" w:rsidR="00067A09" w:rsidRDefault="009A6FC7"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bookmarkStart w:id="6" w:name="_Hlk59109181"/>
      <w:r>
        <w:rPr>
          <w:rFonts w:cs="Arial"/>
          <w:sz w:val="16"/>
          <w:szCs w:val="16"/>
        </w:rPr>
        <w:t>Nyilatkozat</w:t>
      </w:r>
      <w:r w:rsidR="00130951">
        <w:rPr>
          <w:rFonts w:cs="Arial"/>
          <w:sz w:val="16"/>
          <w:szCs w:val="16"/>
        </w:rPr>
        <w:t>ok a</w:t>
      </w:r>
      <w:r>
        <w:rPr>
          <w:rFonts w:cs="Arial"/>
          <w:sz w:val="16"/>
          <w:szCs w:val="16"/>
        </w:rPr>
        <w:t xml:space="preserve"> Zárási feltételek teljesüléséről </w:t>
      </w:r>
      <w:r w:rsidR="003D1E37">
        <w:rPr>
          <w:rFonts w:cs="Arial"/>
          <w:sz w:val="16"/>
          <w:szCs w:val="16"/>
        </w:rPr>
        <w:t xml:space="preserve"> (</w:t>
      </w:r>
      <w:r w:rsidR="00130951">
        <w:rPr>
          <w:rFonts w:cs="Arial"/>
          <w:sz w:val="16"/>
          <w:szCs w:val="16"/>
        </w:rPr>
        <w:t>7</w:t>
      </w:r>
      <w:r w:rsidR="003D1E37">
        <w:rPr>
          <w:rFonts w:cs="Arial"/>
          <w:sz w:val="16"/>
          <w:szCs w:val="16"/>
        </w:rPr>
        <w:t xml:space="preserve">/1.; </w:t>
      </w:r>
      <w:r w:rsidR="00130951">
        <w:rPr>
          <w:rFonts w:cs="Arial"/>
          <w:sz w:val="16"/>
          <w:szCs w:val="16"/>
        </w:rPr>
        <w:t>7</w:t>
      </w:r>
      <w:r w:rsidR="003D1E37">
        <w:rPr>
          <w:rFonts w:cs="Arial"/>
          <w:sz w:val="16"/>
          <w:szCs w:val="16"/>
        </w:rPr>
        <w:t>/2.;</w:t>
      </w:r>
      <w:r w:rsidR="00130951">
        <w:rPr>
          <w:rFonts w:cs="Arial"/>
          <w:sz w:val="16"/>
          <w:szCs w:val="16"/>
        </w:rPr>
        <w:t>7/3.; 7/4. sz nyilatkozat-tervezetek)</w:t>
      </w:r>
    </w:p>
    <w:p w14:paraId="097AB0EC" w14:textId="4F41ED37" w:rsidR="009A6FC7" w:rsidRDefault="009A6FC7"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Nyilatkozat Társasággal szemben fennálló követelésről – tervezet</w:t>
      </w:r>
    </w:p>
    <w:p w14:paraId="4F113B8C" w14:textId="7D563987" w:rsidR="009A6FC7" w:rsidRDefault="009A6FC7"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Nyilatkozat - Üzletrész tulajdonszerzéséről – tervezet</w:t>
      </w:r>
    </w:p>
    <w:p w14:paraId="7312E3F4" w14:textId="35EC83E3" w:rsidR="009A6FC7" w:rsidRDefault="009A6FC7" w:rsidP="00067A09">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 xml:space="preserve">Tulajdonjog bejegyzési engedély </w:t>
      </w:r>
      <w:r w:rsidR="009B13B1">
        <w:rPr>
          <w:rFonts w:cs="Arial"/>
          <w:sz w:val="16"/>
          <w:szCs w:val="16"/>
        </w:rPr>
        <w:t>–</w:t>
      </w:r>
      <w:r>
        <w:rPr>
          <w:rFonts w:cs="Arial"/>
          <w:sz w:val="16"/>
          <w:szCs w:val="16"/>
        </w:rPr>
        <w:t xml:space="preserve"> tervezet</w:t>
      </w:r>
      <w:bookmarkEnd w:id="6"/>
    </w:p>
    <w:sectPr w:rsidR="009A6FC7" w:rsidSect="007919C8">
      <w:headerReference w:type="even" r:id="rId11"/>
      <w:headerReference w:type="default" r:id="rId12"/>
      <w:footerReference w:type="even" r:id="rId13"/>
      <w:footerReference w:type="default" r:id="rId14"/>
      <w:headerReference w:type="first" r:id="rId15"/>
      <w:footerReference w:type="first" r:id="rId16"/>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ED63" w14:textId="77777777" w:rsidR="00FA2A3B" w:rsidRDefault="00FA2A3B" w:rsidP="008A7FCD">
      <w:r>
        <w:separator/>
      </w:r>
    </w:p>
  </w:endnote>
  <w:endnote w:type="continuationSeparator" w:id="0">
    <w:p w14:paraId="7EC6575C" w14:textId="77777777" w:rsidR="00FA2A3B" w:rsidRDefault="00FA2A3B"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E3C6" w14:textId="77777777" w:rsidR="00537567" w:rsidRDefault="0053756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72" w14:textId="7F07E058" w:rsidR="0044656F" w:rsidRDefault="0044656F"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2</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2</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44656F" w:rsidRDefault="0044656F" w:rsidP="0000534C">
    <w:pPr>
      <w:pStyle w:val="llb"/>
      <w:jc w:val="right"/>
    </w:pPr>
  </w:p>
  <w:p w14:paraId="4292F19B" w14:textId="77777777" w:rsidR="0044656F" w:rsidRDefault="00446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AF" w14:textId="77777777" w:rsidR="0044656F" w:rsidRDefault="0044656F"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41927805" w:rsidR="0044656F" w:rsidRDefault="0044656F"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2</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44656F" w:rsidRPr="006B02C2" w:rsidRDefault="0044656F" w:rsidP="00F17912">
    <w:pPr>
      <w:widowControl w:val="0"/>
      <w:tabs>
        <w:tab w:val="right" w:pos="9519"/>
      </w:tabs>
      <w:autoSpaceDE w:val="0"/>
      <w:autoSpaceDN w:val="0"/>
      <w:adjustRightInd w:val="0"/>
      <w:spacing w:after="240" w:line="120" w:lineRule="atLeast"/>
      <w:rPr>
        <w:rFonts w:cs="Arial"/>
        <w:sz w:val="16"/>
        <w:szCs w:val="16"/>
      </w:rPr>
    </w:pPr>
  </w:p>
  <w:p w14:paraId="112EC7A4" w14:textId="77777777" w:rsidR="0044656F" w:rsidRDefault="004465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8188" w14:textId="77777777" w:rsidR="00FA2A3B" w:rsidRDefault="00FA2A3B" w:rsidP="008A7FCD">
      <w:r>
        <w:separator/>
      </w:r>
    </w:p>
  </w:footnote>
  <w:footnote w:type="continuationSeparator" w:id="0">
    <w:p w14:paraId="369C7A0B" w14:textId="77777777" w:rsidR="00FA2A3B" w:rsidRDefault="00FA2A3B"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ADF7" w14:textId="77777777" w:rsidR="00537567" w:rsidRDefault="0053756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61D7" w14:textId="77777777" w:rsidR="00537567" w:rsidRDefault="0053756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44656F"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44656F" w:rsidRPr="00135220" w:rsidRDefault="0044656F" w:rsidP="00292B23">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44656F" w:rsidRDefault="0044656F" w:rsidP="00E72233">
          <w:pPr>
            <w:pStyle w:val="BPhivatal"/>
            <w:rPr>
              <w:rFonts w:ascii="Arial" w:hAnsi="Arial"/>
              <w:sz w:val="16"/>
              <w:szCs w:val="16"/>
            </w:rPr>
          </w:pPr>
        </w:p>
        <w:p w14:paraId="1C449E76" w14:textId="77777777" w:rsidR="0044656F" w:rsidRPr="005724CE" w:rsidRDefault="0044656F" w:rsidP="005724CE"/>
        <w:p w14:paraId="1C449E77" w14:textId="77777777" w:rsidR="0044656F" w:rsidRPr="005724CE" w:rsidRDefault="0044656F" w:rsidP="005724CE"/>
        <w:p w14:paraId="1C449E78" w14:textId="77777777" w:rsidR="0044656F" w:rsidRPr="005724CE" w:rsidRDefault="0044656F" w:rsidP="005724CE"/>
        <w:p w14:paraId="1C449E79" w14:textId="77777777" w:rsidR="0044656F" w:rsidRPr="005724CE" w:rsidRDefault="0044656F" w:rsidP="005724CE"/>
        <w:p w14:paraId="1C449E7A" w14:textId="77777777" w:rsidR="0044656F" w:rsidRPr="005724CE" w:rsidRDefault="0044656F" w:rsidP="005724CE"/>
        <w:p w14:paraId="1C449E7B" w14:textId="77777777" w:rsidR="0044656F" w:rsidRPr="005724CE" w:rsidRDefault="0044656F" w:rsidP="005724CE"/>
        <w:p w14:paraId="1C449E7C" w14:textId="77777777" w:rsidR="0044656F" w:rsidRPr="005724CE" w:rsidRDefault="0044656F" w:rsidP="005724CE"/>
        <w:p w14:paraId="1C449E7D" w14:textId="77777777" w:rsidR="0044656F" w:rsidRPr="005724CE" w:rsidRDefault="0044656F" w:rsidP="005724CE"/>
        <w:p w14:paraId="1C449E7E" w14:textId="77777777" w:rsidR="0044656F" w:rsidRPr="005724CE" w:rsidRDefault="0044656F" w:rsidP="005724CE"/>
        <w:p w14:paraId="1C449E7F" w14:textId="77777777" w:rsidR="0044656F" w:rsidRPr="005724CE" w:rsidRDefault="0044656F" w:rsidP="005724CE"/>
        <w:p w14:paraId="1C449E80" w14:textId="77777777" w:rsidR="0044656F" w:rsidRPr="005724CE" w:rsidRDefault="0044656F" w:rsidP="005724CE"/>
        <w:p w14:paraId="1C449E81" w14:textId="77777777" w:rsidR="0044656F" w:rsidRPr="005724CE" w:rsidRDefault="0044656F" w:rsidP="005724CE"/>
        <w:p w14:paraId="1C449E82" w14:textId="77777777" w:rsidR="0044656F" w:rsidRDefault="0044656F" w:rsidP="005724CE"/>
        <w:p w14:paraId="1C449E83" w14:textId="77777777" w:rsidR="0044656F" w:rsidRDefault="0044656F" w:rsidP="005724CE"/>
        <w:p w14:paraId="1C449E84" w14:textId="77777777" w:rsidR="0044656F" w:rsidRPr="005724CE" w:rsidRDefault="0044656F" w:rsidP="005724CE"/>
      </w:tc>
      <w:tc>
        <w:tcPr>
          <w:tcW w:w="2564" w:type="pct"/>
          <w:gridSpan w:val="2"/>
          <w:tcBorders>
            <w:top w:val="nil"/>
            <w:left w:val="nil"/>
            <w:bottom w:val="nil"/>
            <w:right w:val="nil"/>
          </w:tcBorders>
          <w:noWrap/>
        </w:tcPr>
        <w:p w14:paraId="1C449E85" w14:textId="77777777" w:rsidR="0044656F" w:rsidRPr="00135220" w:rsidRDefault="0044656F"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Önkormányzata</w:t>
          </w:r>
        </w:p>
      </w:tc>
    </w:tr>
    <w:tr w:rsidR="0044656F"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44656F" w:rsidRPr="00915BF4" w:rsidRDefault="0044656F" w:rsidP="00E72233">
          <w:pPr>
            <w:rPr>
              <w:rFonts w:cs="Arial"/>
              <w:sz w:val="16"/>
              <w:szCs w:val="16"/>
            </w:rPr>
          </w:pPr>
        </w:p>
      </w:tc>
      <w:tc>
        <w:tcPr>
          <w:tcW w:w="224" w:type="pct"/>
          <w:vMerge/>
          <w:tcBorders>
            <w:left w:val="nil"/>
            <w:right w:val="nil"/>
          </w:tcBorders>
        </w:tcPr>
        <w:p w14:paraId="1C449E88" w14:textId="77777777" w:rsidR="0044656F" w:rsidRPr="00135220" w:rsidRDefault="0044656F"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C449E89" w14:textId="529DE870" w:rsidR="0044656F" w:rsidRPr="00915BF4" w:rsidRDefault="0044656F" w:rsidP="00D11FC4">
          <w:pPr>
            <w:widowControl w:val="0"/>
            <w:autoSpaceDE w:val="0"/>
            <w:autoSpaceDN w:val="0"/>
            <w:adjustRightInd w:val="0"/>
            <w:spacing w:after="240" w:line="276" w:lineRule="auto"/>
            <w:rPr>
              <w:rFonts w:cs="Arial"/>
              <w:sz w:val="16"/>
              <w:szCs w:val="16"/>
            </w:rPr>
          </w:pPr>
          <w:r>
            <w:rPr>
              <w:rFonts w:cs="Arial"/>
              <w:sz w:val="16"/>
              <w:szCs w:val="16"/>
            </w:rPr>
            <w:t>Főpolgármester</w:t>
          </w:r>
        </w:p>
      </w:tc>
    </w:tr>
    <w:tr w:rsidR="0044656F"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44656F" w:rsidRPr="00915BF4" w:rsidRDefault="0044656F" w:rsidP="00C56B53">
          <w:pPr>
            <w:pStyle w:val="BPbarcode"/>
            <w:rPr>
              <w:rFonts w:eastAsia="MS Mincho"/>
              <w:noProof w:val="0"/>
              <w:szCs w:val="16"/>
              <w:lang w:val="en-US" w:eastAsia="en-US"/>
            </w:rPr>
          </w:pPr>
        </w:p>
        <w:p w14:paraId="1C449E8C" w14:textId="77777777" w:rsidR="0044656F" w:rsidRPr="00915BF4" w:rsidRDefault="0044656F" w:rsidP="00E72233">
          <w:pPr>
            <w:rPr>
              <w:rFonts w:cs="Arial"/>
              <w:sz w:val="16"/>
              <w:szCs w:val="16"/>
            </w:rPr>
          </w:pPr>
        </w:p>
      </w:tc>
      <w:tc>
        <w:tcPr>
          <w:tcW w:w="224" w:type="pct"/>
          <w:vMerge/>
          <w:tcBorders>
            <w:left w:val="nil"/>
            <w:right w:val="nil"/>
          </w:tcBorders>
        </w:tcPr>
        <w:p w14:paraId="1C449E8D" w14:textId="77777777" w:rsidR="0044656F" w:rsidRPr="00135220" w:rsidRDefault="0044656F"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44656F" w:rsidRPr="00BF1F7D" w:rsidRDefault="0044656F" w:rsidP="008A7FCD">
          <w:pPr>
            <w:pStyle w:val="BPiktatcm"/>
          </w:pPr>
        </w:p>
      </w:tc>
      <w:tc>
        <w:tcPr>
          <w:tcW w:w="2067" w:type="pct"/>
          <w:tcBorders>
            <w:top w:val="nil"/>
            <w:left w:val="nil"/>
            <w:bottom w:val="nil"/>
            <w:right w:val="nil"/>
          </w:tcBorders>
          <w:vAlign w:val="center"/>
        </w:tcPr>
        <w:p w14:paraId="1C449E8F" w14:textId="77777777" w:rsidR="0044656F" w:rsidRPr="00BF1F7D" w:rsidRDefault="0044656F" w:rsidP="00292B23">
          <w:pPr>
            <w:pStyle w:val="BPiktatadat"/>
          </w:pPr>
        </w:p>
      </w:tc>
    </w:tr>
    <w:tr w:rsidR="0044656F"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44656F" w:rsidRPr="00915BF4" w:rsidRDefault="0044656F"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3AEA27DC" w:rsidR="0044656F" w:rsidRPr="00156FEC" w:rsidRDefault="00CC1F14" w:rsidP="00A47553">
                                    <w:pPr>
                                      <w:rPr>
                                        <w:rFonts w:cs="Arial"/>
                                        <w:spacing w:val="12"/>
                                        <w:sz w:val="36"/>
                                        <w:szCs w:val="44"/>
                                      </w:rPr>
                                    </w:pPr>
                                    <w:r w:rsidRPr="00CC1F14">
                                      <w:rPr>
                                        <w:rFonts w:ascii="Free 3 of 9" w:hAnsi="Free 3 of 9" w:cs="Arial"/>
                                        <w:spacing w:val="12"/>
                                        <w:sz w:val="44"/>
                                        <w:szCs w:val="44"/>
                                      </w:rPr>
                                      <w:t>*1000100264202*</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3AEA27DC" w:rsidR="0044656F" w:rsidRPr="00156FEC" w:rsidRDefault="00CC1F14" w:rsidP="00A47553">
                              <w:pPr>
                                <w:rPr>
                                  <w:rFonts w:cs="Arial"/>
                                  <w:spacing w:val="12"/>
                                  <w:sz w:val="36"/>
                                  <w:szCs w:val="44"/>
                                </w:rPr>
                              </w:pPr>
                              <w:r w:rsidRPr="00CC1F14">
                                <w:rPr>
                                  <w:rFonts w:ascii="Free 3 of 9" w:hAnsi="Free 3 of 9" w:cs="Arial"/>
                                  <w:spacing w:val="12"/>
                                  <w:sz w:val="44"/>
                                  <w:szCs w:val="44"/>
                                </w:rPr>
                                <w:t>*1000100264202*</w:t>
                              </w:r>
                            </w:p>
                          </w:sdtContent>
                        </w:sdt>
                      </w:txbxContent>
                    </v:textbox>
                  </v:shape>
                </w:pict>
              </mc:Fallback>
            </mc:AlternateContent>
          </w:r>
        </w:p>
      </w:tc>
      <w:tc>
        <w:tcPr>
          <w:tcW w:w="224" w:type="pct"/>
          <w:vMerge/>
          <w:tcBorders>
            <w:left w:val="nil"/>
            <w:right w:val="nil"/>
          </w:tcBorders>
        </w:tcPr>
        <w:p w14:paraId="1C449E92" w14:textId="77777777" w:rsidR="0044656F" w:rsidRPr="00135220" w:rsidRDefault="0044656F"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44656F" w:rsidRPr="00BF1F7D" w:rsidRDefault="0044656F"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2B94DA33" w:rsidR="0044656F" w:rsidRPr="00A679A9" w:rsidRDefault="00CC1F14" w:rsidP="004B3111">
                                    <w:pPr>
                                      <w:rPr>
                                        <w:rFonts w:cs="Arial"/>
                                        <w:spacing w:val="12"/>
                                        <w:szCs w:val="20"/>
                                      </w:rPr>
                                    </w:pPr>
                                    <w:r>
                                      <w:rPr>
                                        <w:rFonts w:cs="Arial"/>
                                        <w:spacing w:val="12"/>
                                        <w:szCs w:val="20"/>
                                      </w:rPr>
                                      <w:t>FPH058 /1300 - 33 /2020</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2B94DA33" w:rsidR="0044656F" w:rsidRPr="00A679A9" w:rsidRDefault="00CC1F14" w:rsidP="004B3111">
                              <w:pPr>
                                <w:rPr>
                                  <w:rFonts w:cs="Arial"/>
                                  <w:spacing w:val="12"/>
                                  <w:szCs w:val="20"/>
                                </w:rPr>
                              </w:pPr>
                              <w:r>
                                <w:rPr>
                                  <w:rFonts w:cs="Arial"/>
                                  <w:spacing w:val="12"/>
                                  <w:szCs w:val="20"/>
                                </w:rPr>
                                <w:t>FPH058 /1300 - 33 /2020</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44656F" w:rsidRPr="00BF1F7D" w:rsidRDefault="0044656F" w:rsidP="00292B23">
          <w:pPr>
            <w:pStyle w:val="BPiktatadat"/>
          </w:pPr>
        </w:p>
      </w:tc>
    </w:tr>
    <w:tr w:rsidR="0044656F"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44656F" w:rsidRPr="00915BF4" w:rsidRDefault="0044656F"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6294C678" w:rsidR="0044656F" w:rsidRPr="00750E04" w:rsidRDefault="00CC1F14" w:rsidP="00A47553">
                                    <w:pPr>
                                      <w:rPr>
                                        <w:rFonts w:cs="Arial"/>
                                        <w:spacing w:val="12"/>
                                        <w:sz w:val="16"/>
                                        <w:szCs w:val="44"/>
                                      </w:rPr>
                                    </w:pPr>
                                    <w:r>
                                      <w:rPr>
                                        <w:rFonts w:cs="Arial"/>
                                        <w:spacing w:val="12"/>
                                        <w:szCs w:val="44"/>
                                      </w:rPr>
                                      <w:t>*1000100264202*</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" filled="f" stroked="f">
                    <v:textbox inset="1mm,1mm,1mm,1mm">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6294C678" w:rsidR="0044656F" w:rsidRPr="00750E04" w:rsidRDefault="00CC1F14" w:rsidP="00A47553">
                              <w:pPr>
                                <w:rPr>
                                  <w:rFonts w:cs="Arial"/>
                                  <w:spacing w:val="12"/>
                                  <w:sz w:val="16"/>
                                  <w:szCs w:val="44"/>
                                </w:rPr>
                              </w:pPr>
                              <w:r>
                                <w:rPr>
                                  <w:rFonts w:cs="Arial"/>
                                  <w:spacing w:val="12"/>
                                  <w:szCs w:val="44"/>
                                </w:rPr>
                                <w:t>*1000100264202*</w:t>
                              </w:r>
                            </w:p>
                          </w:sdtContent>
                        </w:sdt>
                      </w:txbxContent>
                    </v:textbox>
                  </v:shape>
                </w:pict>
              </mc:Fallback>
            </mc:AlternateContent>
          </w:r>
        </w:p>
      </w:tc>
      <w:tc>
        <w:tcPr>
          <w:tcW w:w="224" w:type="pct"/>
          <w:vMerge/>
          <w:tcBorders>
            <w:left w:val="nil"/>
            <w:right w:val="nil"/>
          </w:tcBorders>
        </w:tcPr>
        <w:p w14:paraId="1C449E97" w14:textId="77777777" w:rsidR="0044656F" w:rsidRPr="00135220" w:rsidRDefault="0044656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44656F" w:rsidRPr="00BF1F7D" w:rsidRDefault="0044656F" w:rsidP="008A7FCD">
          <w:pPr>
            <w:pStyle w:val="BPiktatcm"/>
          </w:pPr>
          <w:r w:rsidRPr="00BF1F7D">
            <w:t>ikt. szám:</w:t>
          </w:r>
        </w:p>
      </w:tc>
      <w:tc>
        <w:tcPr>
          <w:tcW w:w="2067" w:type="pct"/>
          <w:tcBorders>
            <w:top w:val="single" w:sz="12" w:space="0" w:color="000000"/>
            <w:left w:val="nil"/>
            <w:bottom w:val="single" w:sz="12" w:space="0" w:color="000000"/>
            <w:right w:val="nil"/>
          </w:tcBorders>
        </w:tcPr>
        <w:p w14:paraId="1C449E99" w14:textId="77777777" w:rsidR="0044656F" w:rsidRPr="004377D3" w:rsidRDefault="0044656F" w:rsidP="00292B23">
          <w:pPr>
            <w:pStyle w:val="BPiktatadat"/>
          </w:pPr>
        </w:p>
      </w:tc>
    </w:tr>
    <w:tr w:rsidR="0044656F"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44656F" w:rsidRPr="00915BF4" w:rsidRDefault="0044656F" w:rsidP="00E72233">
          <w:pPr>
            <w:rPr>
              <w:rFonts w:cs="Arial"/>
              <w:sz w:val="16"/>
              <w:szCs w:val="16"/>
            </w:rPr>
          </w:pPr>
        </w:p>
      </w:tc>
      <w:tc>
        <w:tcPr>
          <w:tcW w:w="224" w:type="pct"/>
          <w:vMerge/>
          <w:tcBorders>
            <w:left w:val="nil"/>
            <w:right w:val="nil"/>
          </w:tcBorders>
        </w:tcPr>
        <w:p w14:paraId="1C449E9C" w14:textId="77777777" w:rsidR="0044656F" w:rsidRPr="00135220" w:rsidRDefault="0044656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44656F" w:rsidRPr="00BF1F7D" w:rsidRDefault="0044656F"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4FD17E1F" w:rsidR="0044656F" w:rsidRPr="004377D3" w:rsidRDefault="0044656F" w:rsidP="00292B23">
              <w:pPr>
                <w:pStyle w:val="BPiktatadat"/>
              </w:pPr>
              <w:r w:rsidRPr="00671B96">
                <w:t>Javaslat a Kormány határozatainak végrehajtásaként a Thália Színház NKft. és a színház feladatellátásához használt ingatlanok magyar állam javára történő kedvezményes átruházására</w:t>
              </w:r>
            </w:p>
          </w:tc>
        </w:sdtContent>
      </w:sdt>
    </w:tr>
    <w:tr w:rsidR="0044656F"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44656F" w:rsidRPr="00915BF4" w:rsidRDefault="0044656F" w:rsidP="00E72233">
          <w:pPr>
            <w:rPr>
              <w:rFonts w:cs="Arial"/>
              <w:sz w:val="16"/>
              <w:szCs w:val="16"/>
            </w:rPr>
          </w:pPr>
        </w:p>
      </w:tc>
      <w:tc>
        <w:tcPr>
          <w:tcW w:w="224" w:type="pct"/>
          <w:vMerge/>
          <w:tcBorders>
            <w:left w:val="nil"/>
            <w:right w:val="nil"/>
          </w:tcBorders>
        </w:tcPr>
        <w:p w14:paraId="1C449EA1" w14:textId="77777777" w:rsidR="0044656F" w:rsidRPr="00135220" w:rsidRDefault="0044656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44656F" w:rsidRPr="00BF1F7D" w:rsidRDefault="0044656F"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5F6C2A44" w:rsidR="0044656F" w:rsidRPr="00292B23" w:rsidRDefault="0044656F" w:rsidP="00292B23">
          <w:pPr>
            <w:pStyle w:val="BPiktatadat"/>
          </w:pPr>
          <w:r>
            <w:t>Vagyongazdálkodási Főosztály</w:t>
          </w:r>
        </w:p>
      </w:tc>
    </w:tr>
    <w:tr w:rsidR="0044656F"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44656F" w:rsidRPr="00915BF4" w:rsidRDefault="0044656F" w:rsidP="00B93AFA">
          <w:pPr>
            <w:jc w:val="both"/>
            <w:rPr>
              <w:rFonts w:cs="Arial"/>
              <w:sz w:val="16"/>
              <w:szCs w:val="16"/>
            </w:rPr>
          </w:pPr>
        </w:p>
      </w:tc>
      <w:tc>
        <w:tcPr>
          <w:tcW w:w="224" w:type="pct"/>
          <w:vMerge/>
          <w:tcBorders>
            <w:left w:val="nil"/>
            <w:right w:val="nil"/>
          </w:tcBorders>
        </w:tcPr>
        <w:p w14:paraId="1C449EA6" w14:textId="77777777" w:rsidR="0044656F" w:rsidRPr="00135220" w:rsidRDefault="0044656F" w:rsidP="00B93AFA">
          <w:pPr>
            <w:pStyle w:val="BPiktatcm"/>
          </w:pPr>
        </w:p>
      </w:tc>
      <w:tc>
        <w:tcPr>
          <w:tcW w:w="2564" w:type="pct"/>
          <w:gridSpan w:val="2"/>
          <w:tcBorders>
            <w:top w:val="single" w:sz="4" w:space="0" w:color="auto"/>
            <w:left w:val="nil"/>
            <w:bottom w:val="nil"/>
            <w:right w:val="nil"/>
          </w:tcBorders>
        </w:tcPr>
        <w:p w14:paraId="1C449EA7" w14:textId="77777777" w:rsidR="0044656F" w:rsidRPr="00BF1F7D" w:rsidRDefault="0044656F" w:rsidP="00292B23">
          <w:pPr>
            <w:pStyle w:val="Bpiktatadatlista"/>
          </w:pPr>
          <w:r w:rsidRPr="002911DF">
            <w:t>egyeztetésre megküldve:</w:t>
          </w:r>
        </w:p>
      </w:tc>
    </w:tr>
    <w:tr w:rsidR="0044656F"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44656F" w:rsidRPr="00915BF4" w:rsidRDefault="0044656F" w:rsidP="00B93AFA">
          <w:pPr>
            <w:jc w:val="both"/>
            <w:rPr>
              <w:rFonts w:cs="Arial"/>
              <w:sz w:val="16"/>
              <w:szCs w:val="16"/>
            </w:rPr>
          </w:pPr>
        </w:p>
      </w:tc>
      <w:tc>
        <w:tcPr>
          <w:tcW w:w="224" w:type="pct"/>
          <w:vMerge/>
          <w:tcBorders>
            <w:left w:val="nil"/>
            <w:bottom w:val="nil"/>
            <w:right w:val="nil"/>
          </w:tcBorders>
        </w:tcPr>
        <w:p w14:paraId="1C449EAA" w14:textId="77777777" w:rsidR="0044656F" w:rsidRPr="00135220" w:rsidRDefault="0044656F" w:rsidP="00B93AFA">
          <w:pPr>
            <w:pStyle w:val="BPiktatcm"/>
          </w:pPr>
        </w:p>
      </w:tc>
      <w:tc>
        <w:tcPr>
          <w:tcW w:w="497" w:type="pct"/>
          <w:tcBorders>
            <w:top w:val="nil"/>
            <w:left w:val="nil"/>
            <w:bottom w:val="single" w:sz="12" w:space="0" w:color="000000"/>
            <w:right w:val="nil"/>
          </w:tcBorders>
        </w:tcPr>
        <w:p w14:paraId="1C449EAB" w14:textId="77777777" w:rsidR="0044656F" w:rsidRPr="00BF1F7D" w:rsidRDefault="0044656F" w:rsidP="00B93AFA">
          <w:pPr>
            <w:pStyle w:val="BPiktatcm"/>
          </w:pPr>
        </w:p>
      </w:tc>
      <w:tc>
        <w:tcPr>
          <w:tcW w:w="2067" w:type="pct"/>
          <w:tcBorders>
            <w:top w:val="nil"/>
            <w:left w:val="nil"/>
            <w:bottom w:val="single" w:sz="12" w:space="0" w:color="000000"/>
            <w:right w:val="nil"/>
          </w:tcBorders>
        </w:tcPr>
        <w:p w14:paraId="1C449EAC" w14:textId="77777777" w:rsidR="0044656F" w:rsidRDefault="0044656F" w:rsidP="00292B23">
          <w:pPr>
            <w:pStyle w:val="Bpiktatadatlista"/>
          </w:pPr>
          <w:r>
            <w:t>a Fővárosi Közgyűlés állandó bizottságai és a Tanácsnok részére</w:t>
          </w:r>
        </w:p>
      </w:tc>
    </w:tr>
  </w:tbl>
  <w:p w14:paraId="1C449EAE" w14:textId="77777777" w:rsidR="0044656F" w:rsidRDefault="0044656F">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p w14:paraId="393625B6" w14:textId="77777777" w:rsidR="0044656F" w:rsidRDefault="00446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2AC33132"/>
    <w:multiLevelType w:val="hybridMultilevel"/>
    <w:tmpl w:val="B7000F1C"/>
    <w:lvl w:ilvl="0" w:tplc="F98C18CC">
      <w:start w:val="15"/>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920061"/>
    <w:multiLevelType w:val="hybridMultilevel"/>
    <w:tmpl w:val="448ABC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014CE9"/>
    <w:multiLevelType w:val="hybridMultilevel"/>
    <w:tmpl w:val="BD923C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F96B28"/>
    <w:multiLevelType w:val="hybridMultilevel"/>
    <w:tmpl w:val="95E86E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5C426F"/>
    <w:multiLevelType w:val="hybridMultilevel"/>
    <w:tmpl w:val="CC205DC0"/>
    <w:lvl w:ilvl="0" w:tplc="E466BCD2">
      <w:start w:val="8"/>
      <w:numFmt w:val="bullet"/>
      <w:lvlText w:val="-"/>
      <w:lvlJc w:val="left"/>
      <w:pPr>
        <w:ind w:left="1335" w:hanging="360"/>
      </w:pPr>
      <w:rPr>
        <w:rFonts w:ascii="Times New Roman" w:eastAsia="Times New Roman" w:hAnsi="Times New Roman" w:cs="Times New Roman" w:hint="default"/>
        <w:b w:val="0"/>
        <w:i w:val="0"/>
      </w:rPr>
    </w:lvl>
    <w:lvl w:ilvl="1" w:tplc="040E0019" w:tentative="1">
      <w:start w:val="1"/>
      <w:numFmt w:val="lowerLetter"/>
      <w:lvlText w:val="%2."/>
      <w:lvlJc w:val="left"/>
      <w:pPr>
        <w:ind w:left="2055" w:hanging="360"/>
      </w:pPr>
    </w:lvl>
    <w:lvl w:ilvl="2" w:tplc="040E001B" w:tentative="1">
      <w:start w:val="1"/>
      <w:numFmt w:val="lowerRoman"/>
      <w:lvlText w:val="%3."/>
      <w:lvlJc w:val="right"/>
      <w:pPr>
        <w:ind w:left="2775" w:hanging="180"/>
      </w:pPr>
    </w:lvl>
    <w:lvl w:ilvl="3" w:tplc="040E000F" w:tentative="1">
      <w:start w:val="1"/>
      <w:numFmt w:val="decimal"/>
      <w:lvlText w:val="%4."/>
      <w:lvlJc w:val="left"/>
      <w:pPr>
        <w:ind w:left="3495" w:hanging="360"/>
      </w:pPr>
    </w:lvl>
    <w:lvl w:ilvl="4" w:tplc="040E0019" w:tentative="1">
      <w:start w:val="1"/>
      <w:numFmt w:val="lowerLetter"/>
      <w:lvlText w:val="%5."/>
      <w:lvlJc w:val="left"/>
      <w:pPr>
        <w:ind w:left="4215" w:hanging="360"/>
      </w:pPr>
    </w:lvl>
    <w:lvl w:ilvl="5" w:tplc="040E001B" w:tentative="1">
      <w:start w:val="1"/>
      <w:numFmt w:val="lowerRoman"/>
      <w:lvlText w:val="%6."/>
      <w:lvlJc w:val="right"/>
      <w:pPr>
        <w:ind w:left="4935" w:hanging="180"/>
      </w:pPr>
    </w:lvl>
    <w:lvl w:ilvl="6" w:tplc="040E000F" w:tentative="1">
      <w:start w:val="1"/>
      <w:numFmt w:val="decimal"/>
      <w:lvlText w:val="%7."/>
      <w:lvlJc w:val="left"/>
      <w:pPr>
        <w:ind w:left="5655" w:hanging="360"/>
      </w:pPr>
    </w:lvl>
    <w:lvl w:ilvl="7" w:tplc="040E0019" w:tentative="1">
      <w:start w:val="1"/>
      <w:numFmt w:val="lowerLetter"/>
      <w:lvlText w:val="%8."/>
      <w:lvlJc w:val="left"/>
      <w:pPr>
        <w:ind w:left="6375" w:hanging="360"/>
      </w:pPr>
    </w:lvl>
    <w:lvl w:ilvl="8" w:tplc="040E001B" w:tentative="1">
      <w:start w:val="1"/>
      <w:numFmt w:val="lowerRoman"/>
      <w:lvlText w:val="%9."/>
      <w:lvlJc w:val="right"/>
      <w:pPr>
        <w:ind w:left="7095" w:hanging="180"/>
      </w:pPr>
    </w:lvl>
  </w:abstractNum>
  <w:abstractNum w:abstractNumId="8"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2"/>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CD"/>
    <w:rsid w:val="0000534C"/>
    <w:rsid w:val="00030979"/>
    <w:rsid w:val="0004006B"/>
    <w:rsid w:val="00056EE0"/>
    <w:rsid w:val="00061B82"/>
    <w:rsid w:val="000637A9"/>
    <w:rsid w:val="00067A09"/>
    <w:rsid w:val="00090BDF"/>
    <w:rsid w:val="000A6090"/>
    <w:rsid w:val="000B75DB"/>
    <w:rsid w:val="0011622B"/>
    <w:rsid w:val="0012738A"/>
    <w:rsid w:val="00130951"/>
    <w:rsid w:val="00135220"/>
    <w:rsid w:val="001C1E3B"/>
    <w:rsid w:val="002062B9"/>
    <w:rsid w:val="002067F0"/>
    <w:rsid w:val="002108BA"/>
    <w:rsid w:val="00230C8C"/>
    <w:rsid w:val="002344B9"/>
    <w:rsid w:val="00237B03"/>
    <w:rsid w:val="002400C6"/>
    <w:rsid w:val="00243B92"/>
    <w:rsid w:val="00254A1C"/>
    <w:rsid w:val="00285073"/>
    <w:rsid w:val="002911DF"/>
    <w:rsid w:val="00292B23"/>
    <w:rsid w:val="002931D6"/>
    <w:rsid w:val="002B2C1F"/>
    <w:rsid w:val="002F3552"/>
    <w:rsid w:val="00300C9F"/>
    <w:rsid w:val="00310909"/>
    <w:rsid w:val="00335BFE"/>
    <w:rsid w:val="00343356"/>
    <w:rsid w:val="003520F8"/>
    <w:rsid w:val="00355809"/>
    <w:rsid w:val="003705E1"/>
    <w:rsid w:val="00372F18"/>
    <w:rsid w:val="003777F5"/>
    <w:rsid w:val="003853BC"/>
    <w:rsid w:val="00391E8D"/>
    <w:rsid w:val="003C0B16"/>
    <w:rsid w:val="003C2693"/>
    <w:rsid w:val="003D1E37"/>
    <w:rsid w:val="003D5718"/>
    <w:rsid w:val="003D67EA"/>
    <w:rsid w:val="004101DD"/>
    <w:rsid w:val="00415F07"/>
    <w:rsid w:val="00421D9D"/>
    <w:rsid w:val="00427043"/>
    <w:rsid w:val="004377D3"/>
    <w:rsid w:val="0044656F"/>
    <w:rsid w:val="00451AAF"/>
    <w:rsid w:val="004556E2"/>
    <w:rsid w:val="004A33CF"/>
    <w:rsid w:val="004A71E1"/>
    <w:rsid w:val="004B3111"/>
    <w:rsid w:val="004D46D2"/>
    <w:rsid w:val="004F21DA"/>
    <w:rsid w:val="004F7F20"/>
    <w:rsid w:val="00501831"/>
    <w:rsid w:val="005069E0"/>
    <w:rsid w:val="00510EF5"/>
    <w:rsid w:val="005255D2"/>
    <w:rsid w:val="00534F07"/>
    <w:rsid w:val="00537567"/>
    <w:rsid w:val="00551E39"/>
    <w:rsid w:val="0056155F"/>
    <w:rsid w:val="00563937"/>
    <w:rsid w:val="005657DD"/>
    <w:rsid w:val="005724CE"/>
    <w:rsid w:val="00575D56"/>
    <w:rsid w:val="00586352"/>
    <w:rsid w:val="00594AA0"/>
    <w:rsid w:val="005A6E04"/>
    <w:rsid w:val="005C3F91"/>
    <w:rsid w:val="005E497F"/>
    <w:rsid w:val="005F0E29"/>
    <w:rsid w:val="006129D5"/>
    <w:rsid w:val="00624423"/>
    <w:rsid w:val="006312EC"/>
    <w:rsid w:val="00634CD9"/>
    <w:rsid w:val="0064490C"/>
    <w:rsid w:val="0065034D"/>
    <w:rsid w:val="00662196"/>
    <w:rsid w:val="00671B96"/>
    <w:rsid w:val="00677F1D"/>
    <w:rsid w:val="00695E25"/>
    <w:rsid w:val="006B02C2"/>
    <w:rsid w:val="006C243E"/>
    <w:rsid w:val="006D50EE"/>
    <w:rsid w:val="006E3E13"/>
    <w:rsid w:val="006F67BE"/>
    <w:rsid w:val="00701B85"/>
    <w:rsid w:val="00750E04"/>
    <w:rsid w:val="007539EC"/>
    <w:rsid w:val="007707DB"/>
    <w:rsid w:val="007919C8"/>
    <w:rsid w:val="00792995"/>
    <w:rsid w:val="0079551A"/>
    <w:rsid w:val="00795BF5"/>
    <w:rsid w:val="007C3643"/>
    <w:rsid w:val="007C720A"/>
    <w:rsid w:val="007F0E1C"/>
    <w:rsid w:val="00801759"/>
    <w:rsid w:val="008428B2"/>
    <w:rsid w:val="00863C75"/>
    <w:rsid w:val="00877014"/>
    <w:rsid w:val="00886A48"/>
    <w:rsid w:val="008922D5"/>
    <w:rsid w:val="008A7FCD"/>
    <w:rsid w:val="008B0E3D"/>
    <w:rsid w:val="008E3511"/>
    <w:rsid w:val="00906864"/>
    <w:rsid w:val="00915BF4"/>
    <w:rsid w:val="009261E8"/>
    <w:rsid w:val="00930074"/>
    <w:rsid w:val="00937EE7"/>
    <w:rsid w:val="009543EB"/>
    <w:rsid w:val="0097039D"/>
    <w:rsid w:val="00974217"/>
    <w:rsid w:val="0099305C"/>
    <w:rsid w:val="009A6FC7"/>
    <w:rsid w:val="009B13B1"/>
    <w:rsid w:val="009B2631"/>
    <w:rsid w:val="009B7215"/>
    <w:rsid w:val="009C6699"/>
    <w:rsid w:val="009E163F"/>
    <w:rsid w:val="009E55B6"/>
    <w:rsid w:val="009F68C9"/>
    <w:rsid w:val="00A04C76"/>
    <w:rsid w:val="00A2143B"/>
    <w:rsid w:val="00A37513"/>
    <w:rsid w:val="00A47553"/>
    <w:rsid w:val="00A64B29"/>
    <w:rsid w:val="00A679A9"/>
    <w:rsid w:val="00A860A0"/>
    <w:rsid w:val="00A96551"/>
    <w:rsid w:val="00AB0830"/>
    <w:rsid w:val="00AB0BEF"/>
    <w:rsid w:val="00B1016C"/>
    <w:rsid w:val="00B24872"/>
    <w:rsid w:val="00B451D7"/>
    <w:rsid w:val="00B503EA"/>
    <w:rsid w:val="00B60AD7"/>
    <w:rsid w:val="00B6108D"/>
    <w:rsid w:val="00B750BC"/>
    <w:rsid w:val="00B77C75"/>
    <w:rsid w:val="00B861BC"/>
    <w:rsid w:val="00B93AFA"/>
    <w:rsid w:val="00B95B79"/>
    <w:rsid w:val="00BA7F8A"/>
    <w:rsid w:val="00BB07B3"/>
    <w:rsid w:val="00BC5FB3"/>
    <w:rsid w:val="00BD1A5A"/>
    <w:rsid w:val="00BD577A"/>
    <w:rsid w:val="00BF10B4"/>
    <w:rsid w:val="00BF1F7D"/>
    <w:rsid w:val="00BF3D7F"/>
    <w:rsid w:val="00C26A6E"/>
    <w:rsid w:val="00C34684"/>
    <w:rsid w:val="00C4002E"/>
    <w:rsid w:val="00C56B53"/>
    <w:rsid w:val="00C72652"/>
    <w:rsid w:val="00C8341B"/>
    <w:rsid w:val="00CC1F14"/>
    <w:rsid w:val="00CD4A79"/>
    <w:rsid w:val="00D11FC4"/>
    <w:rsid w:val="00D26D98"/>
    <w:rsid w:val="00D3264E"/>
    <w:rsid w:val="00DA18D1"/>
    <w:rsid w:val="00DA6616"/>
    <w:rsid w:val="00DE6D0D"/>
    <w:rsid w:val="00DF06A0"/>
    <w:rsid w:val="00E01B39"/>
    <w:rsid w:val="00E40523"/>
    <w:rsid w:val="00E412E6"/>
    <w:rsid w:val="00E41EAE"/>
    <w:rsid w:val="00E72233"/>
    <w:rsid w:val="00E74BB0"/>
    <w:rsid w:val="00EB7FDA"/>
    <w:rsid w:val="00EF3149"/>
    <w:rsid w:val="00EF7EAD"/>
    <w:rsid w:val="00F17912"/>
    <w:rsid w:val="00F24F47"/>
    <w:rsid w:val="00F31FAB"/>
    <w:rsid w:val="00F34515"/>
    <w:rsid w:val="00F45BE0"/>
    <w:rsid w:val="00F478C1"/>
    <w:rsid w:val="00F83616"/>
    <w:rsid w:val="00FA17CD"/>
    <w:rsid w:val="00FA2A3B"/>
    <w:rsid w:val="00FC63BA"/>
    <w:rsid w:val="00FD4528"/>
    <w:rsid w:val="00FF55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449E3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55D2"/>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292B23"/>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292B23"/>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uiPriority w:val="99"/>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link w:val="BPhatrozatlistaChar"/>
    <w:uiPriority w:val="99"/>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uiPriority w:val="99"/>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uiPriority w:val="72"/>
    <w:qFormat/>
    <w:rsid w:val="005724CE"/>
    <w:pPr>
      <w:ind w:left="720"/>
      <w:contextualSpacing/>
    </w:pPr>
  </w:style>
  <w:style w:type="character" w:customStyle="1" w:styleId="BPszvegtestChar">
    <w:name w:val="BP_szövegtest Char"/>
    <w:link w:val="BPszvegtest"/>
    <w:uiPriority w:val="99"/>
    <w:locked/>
    <w:rsid w:val="00B6108D"/>
    <w:rPr>
      <w:rFonts w:ascii="Arial" w:eastAsia="Calibri" w:hAnsi="Arial" w:cs="Arial"/>
      <w:sz w:val="22"/>
      <w:szCs w:val="22"/>
      <w:lang w:eastAsia="en-US"/>
    </w:rPr>
  </w:style>
  <w:style w:type="character" w:customStyle="1" w:styleId="Szvegtrzs2">
    <w:name w:val="Szövegtörzs (2)_"/>
    <w:basedOn w:val="Bekezdsalapbettpusa"/>
    <w:link w:val="Szvegtrzs20"/>
    <w:rsid w:val="005A6E04"/>
    <w:rPr>
      <w:rFonts w:ascii="Times New Roman" w:eastAsia="Times New Roman" w:hAnsi="Times New Roman"/>
      <w:shd w:val="clear" w:color="auto" w:fill="FFFFFF"/>
    </w:rPr>
  </w:style>
  <w:style w:type="character" w:customStyle="1" w:styleId="Szvegtrzs211pt">
    <w:name w:val="Szövegtörzs (2) + 11 pt"/>
    <w:basedOn w:val="Szvegtrzs2"/>
    <w:rsid w:val="005A6E04"/>
    <w:rPr>
      <w:rFonts w:ascii="Times New Roman" w:eastAsia="Times New Roman" w:hAnsi="Times New Roman"/>
      <w:color w:val="000000"/>
      <w:spacing w:val="0"/>
      <w:w w:val="100"/>
      <w:position w:val="0"/>
      <w:sz w:val="22"/>
      <w:szCs w:val="22"/>
      <w:shd w:val="clear" w:color="auto" w:fill="FFFFFF"/>
      <w:lang w:val="hu-HU" w:eastAsia="hu-HU" w:bidi="hu-HU"/>
    </w:rPr>
  </w:style>
  <w:style w:type="character" w:customStyle="1" w:styleId="Szvegtrzs211ptFlkvr">
    <w:name w:val="Szövegtörzs (2) + 11 pt;Félkövér"/>
    <w:basedOn w:val="Szvegtrzs2"/>
    <w:rsid w:val="005A6E04"/>
    <w:rPr>
      <w:rFonts w:ascii="Times New Roman" w:eastAsia="Times New Roman" w:hAnsi="Times New Roman"/>
      <w:b/>
      <w:bCs/>
      <w:color w:val="000000"/>
      <w:spacing w:val="0"/>
      <w:w w:val="100"/>
      <w:position w:val="0"/>
      <w:sz w:val="22"/>
      <w:szCs w:val="22"/>
      <w:shd w:val="clear" w:color="auto" w:fill="FFFFFF"/>
      <w:lang w:val="hu-HU" w:eastAsia="hu-HU" w:bidi="hu-HU"/>
    </w:rPr>
  </w:style>
  <w:style w:type="paragraph" w:customStyle="1" w:styleId="Szvegtrzs20">
    <w:name w:val="Szövegtörzs (2)"/>
    <w:basedOn w:val="Norml"/>
    <w:link w:val="Szvegtrzs2"/>
    <w:rsid w:val="005A6E04"/>
    <w:pPr>
      <w:widowControl w:val="0"/>
      <w:shd w:val="clear" w:color="auto" w:fill="FFFFFF"/>
      <w:spacing w:before="240" w:line="552" w:lineRule="exact"/>
      <w:ind w:hanging="520"/>
      <w:jc w:val="center"/>
    </w:pPr>
    <w:rPr>
      <w:rFonts w:ascii="Times New Roman" w:eastAsia="Times New Roman" w:hAnsi="Times New Roman"/>
      <w:szCs w:val="20"/>
      <w:lang w:eastAsia="hu-HU"/>
    </w:rPr>
  </w:style>
  <w:style w:type="character" w:customStyle="1" w:styleId="BPhatrozatlistaChar">
    <w:name w:val="BP_határozat lista Char"/>
    <w:basedOn w:val="BPszvegtestChar"/>
    <w:link w:val="BPhatrozatlista"/>
    <w:uiPriority w:val="99"/>
    <w:locked/>
    <w:rsid w:val="00061B82"/>
    <w:rPr>
      <w:rFonts w:ascii="Arial" w:eastAsia="Calibri" w:hAnsi="Arial" w:cs="Arial"/>
      <w:b/>
      <w:sz w:val="22"/>
      <w:szCs w:val="22"/>
      <w:lang w:eastAsia="en-US"/>
    </w:rPr>
  </w:style>
  <w:style w:type="paragraph" w:styleId="Vltozat">
    <w:name w:val="Revision"/>
    <w:hidden/>
    <w:uiPriority w:val="71"/>
    <w:rsid w:val="00792995"/>
    <w:rPr>
      <w:rFonts w:ascii="Arial" w:hAnsi="Arial"/>
      <w:szCs w:val="24"/>
      <w:lang w:eastAsia="en-US"/>
    </w:rPr>
  </w:style>
  <w:style w:type="character" w:styleId="Jegyzethivatkozs">
    <w:name w:val="annotation reference"/>
    <w:basedOn w:val="Bekezdsalapbettpusa"/>
    <w:uiPriority w:val="99"/>
    <w:semiHidden/>
    <w:unhideWhenUsed/>
    <w:rsid w:val="00BC5FB3"/>
    <w:rPr>
      <w:sz w:val="16"/>
      <w:szCs w:val="16"/>
    </w:rPr>
  </w:style>
  <w:style w:type="paragraph" w:styleId="Jegyzetszveg">
    <w:name w:val="annotation text"/>
    <w:basedOn w:val="Norml"/>
    <w:link w:val="JegyzetszvegChar"/>
    <w:uiPriority w:val="99"/>
    <w:semiHidden/>
    <w:unhideWhenUsed/>
    <w:rsid w:val="00BC5FB3"/>
    <w:rPr>
      <w:szCs w:val="20"/>
    </w:rPr>
  </w:style>
  <w:style w:type="character" w:customStyle="1" w:styleId="JegyzetszvegChar">
    <w:name w:val="Jegyzetszöveg Char"/>
    <w:basedOn w:val="Bekezdsalapbettpusa"/>
    <w:link w:val="Jegyzetszveg"/>
    <w:uiPriority w:val="99"/>
    <w:semiHidden/>
    <w:rsid w:val="00BC5FB3"/>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BC5FB3"/>
    <w:rPr>
      <w:b/>
      <w:bCs/>
    </w:rPr>
  </w:style>
  <w:style w:type="character" w:customStyle="1" w:styleId="MegjegyzstrgyaChar">
    <w:name w:val="Megjegyzés tárgya Char"/>
    <w:basedOn w:val="JegyzetszvegChar"/>
    <w:link w:val="Megjegyzstrgya"/>
    <w:uiPriority w:val="99"/>
    <w:semiHidden/>
    <w:rsid w:val="00BC5FB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53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
      <w:docPartPr>
        <w:name w:val="A0407E4FA2E54F8CB6E0DAC646E4BEA2"/>
        <w:category>
          <w:name w:val="Általános"/>
          <w:gallery w:val="placeholder"/>
        </w:category>
        <w:types>
          <w:type w:val="bbPlcHdr"/>
        </w:types>
        <w:behaviors>
          <w:behavior w:val="content"/>
        </w:behaviors>
        <w:guid w:val="{E77A5F97-7E7D-4A3E-90BD-5E29784DF77E}"/>
      </w:docPartPr>
      <w:docPartBody>
        <w:p w:rsidR="00181A3E" w:rsidRDefault="00416A63" w:rsidP="00416A63">
          <w:pPr>
            <w:pStyle w:val="A0407E4FA2E54F8CB6E0DAC646E4BEA2"/>
          </w:pPr>
          <w:r w:rsidRPr="00B63C6F">
            <w:rPr>
              <w:rStyle w:val="Helyrzszveg"/>
            </w:rPr>
            <w:t>[Aláíró1]</w:t>
          </w:r>
        </w:p>
      </w:docPartBody>
    </w:docPart>
    <w:docPart>
      <w:docPartPr>
        <w:name w:val="DFC4FAE6705D48E7B1EB50BEF7072FF8"/>
        <w:category>
          <w:name w:val="Általános"/>
          <w:gallery w:val="placeholder"/>
        </w:category>
        <w:types>
          <w:type w:val="bbPlcHdr"/>
        </w:types>
        <w:behaviors>
          <w:behavior w:val="content"/>
        </w:behaviors>
        <w:guid w:val="{C55FBF15-19E3-4FB4-8409-F001B6B100CA}"/>
      </w:docPartPr>
      <w:docPartBody>
        <w:p w:rsidR="00181A3E" w:rsidRDefault="00416A63" w:rsidP="00416A63">
          <w:pPr>
            <w:pStyle w:val="DFC4FAE6705D48E7B1EB50BEF7072FF8"/>
          </w:pPr>
          <w:r w:rsidRPr="00B63C6F">
            <w:rPr>
              <w:rStyle w:val="Helyrzszveg"/>
            </w:rPr>
            <w:t>[Aláíró1 beosztása]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40"/>
    <w:rsid w:val="000E2874"/>
    <w:rsid w:val="00102FEB"/>
    <w:rsid w:val="00181A3E"/>
    <w:rsid w:val="00186BC4"/>
    <w:rsid w:val="001D25F4"/>
    <w:rsid w:val="002D6E8B"/>
    <w:rsid w:val="002F72A2"/>
    <w:rsid w:val="00416A63"/>
    <w:rsid w:val="00470ECF"/>
    <w:rsid w:val="005872BD"/>
    <w:rsid w:val="005D1686"/>
    <w:rsid w:val="006014ED"/>
    <w:rsid w:val="006A1257"/>
    <w:rsid w:val="006B7800"/>
    <w:rsid w:val="00954859"/>
    <w:rsid w:val="00A36894"/>
    <w:rsid w:val="00B445CD"/>
    <w:rsid w:val="00BB7769"/>
    <w:rsid w:val="00C204B2"/>
    <w:rsid w:val="00CB0C40"/>
    <w:rsid w:val="00CB3337"/>
    <w:rsid w:val="00CD6A0F"/>
    <w:rsid w:val="00D336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416A63"/>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 w:type="paragraph" w:customStyle="1" w:styleId="A0407E4FA2E54F8CB6E0DAC646E4BEA2">
    <w:name w:val="A0407E4FA2E54F8CB6E0DAC646E4BEA2"/>
    <w:rsid w:val="00416A63"/>
  </w:style>
  <w:style w:type="paragraph" w:customStyle="1" w:styleId="DFC4FAE6705D48E7B1EB50BEF7072FF8">
    <w:name w:val="DFC4FAE6705D48E7B1EB50BEF7072FF8"/>
    <w:rsid w:val="00416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5D65F936CEADAF44AA479A4C964AABEC" ma:contentTypeVersion="1" ma:contentTypeDescription="Új dokumentum létrehozása." ma:contentTypeScope="" ma:versionID="3fa0271345a6086dbaf0cd9326a55d61">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997c625b-1145-eb11-94ec-00155d01dd1b</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KovacsAn@Budapest.hu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6a7c625b-1145-eb11-94ec-00155d01dd1b</edok_w_irat_id>
    <edok_w_alairo_1 xmlns="http://schemas.microsoft.com/sharepoint/v3">Karácsony Gergely</edok_w_alairo_1>
    <edok_w_sablonazonosito xmlns="http://schemas.microsoft.com/sharepoint/v3" xsi:nil="true"/>
    <edok_w_ujirat xmlns="http://schemas.microsoft.com/sharepoint/v3">0</edok_w_ujirat>
    <edok_w_alairobeo_1 xmlns="http://schemas.microsoft.com/sharepoint/v3">főpolgármester</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http://spedok/sites/2020/IKTATOTTANYAGOK/FPH058/</edok_w_url_site>
    <edok_w_alairo_3 xmlns="http://schemas.microsoft.com/sharepoint/v3" xsi:nil="true"/>
    <edok_w_alairo_4 xmlns="http://schemas.microsoft.com/sharepoint/v3" xsi:nil="true"/>
    <edok_w_targy xmlns="http://schemas.microsoft.com/sharepoint/v3">Javaslat a Kormány határozatainak végrehajtásaként a Thália Színház NKft. és a színház feladatellátásához használt ingatlanok magyar állam javára történő kedvezményes átruházására</edok_w_targy>
    <edok_w_verziokiindulo xmlns="http://schemas.microsoft.com/sharepoint/v3" xsi:nil="true"/>
    <edok_w_url_doknev xmlns="http://schemas.microsoft.com/sharepoint/v3">Előterjesztés.docx</edok_w_url_doknev>
    <edok_w_alairo1_telszam xmlns="http://schemas.microsoft.com/sharepoint/v3">+36 1 327-1275</edok_w_alairo1_telszam>
    <edok_w_vegrehajto_uid xmlns="http://schemas.microsoft.com/sharepoint/v3" xsi:nil="true"/>
    <edok_w_alairo1_emailcime xmlns="http://schemas.microsoft.com/sharepoint/v3">kiss.ambrus@budapest.hu</edok_w_alairo1_emailcime>
    <edok_w_ugyintezo xmlns="http://schemas.microsoft.com/sharepoint/v3">Kovács Andrea</edok_w_ugyintezo>
    <edok_w_ugyintezotel xmlns="http://schemas.microsoft.com/sharepoint/v3">+36 1 327-1109</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FPH058 /1300 - 33 /2020</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1.3</edok_w_verzio>
    <edok_w_url_gep xmlns="http://schemas.microsoft.com/sharepoint/v3">http://spedok/</edok_w_url_gep>
    <edok_w_alairobeo_3 xmlns="http://schemas.microsoft.com/sharepoint/v3" xsi:nil="true"/>
    <edok_w_vonalkod xmlns="http://schemas.microsoft.com/sharepoint/v3">*1000100264202*</edok_w_vonalko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2.xml><?xml version="1.0" encoding="utf-8"?>
<ds:datastoreItem xmlns:ds="http://schemas.openxmlformats.org/officeDocument/2006/customXml" ds:itemID="{B253BC43-75E8-40CD-B7C4-C0A1CC76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563B3-EA9B-4139-8EB5-5D9B481E2081}">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16F76BC-34D1-4E11-ADF4-6EE85162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3036</Words>
  <Characters>20956</Characters>
  <Application>Microsoft Office Word</Application>
  <DocSecurity>0</DocSecurity>
  <Lines>174</Lines>
  <Paragraphs>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Lőrincz Valéria dr.</cp:lastModifiedBy>
  <cp:revision>3</cp:revision>
  <cp:lastPrinted>2020-12-29T10:34:00Z</cp:lastPrinted>
  <dcterms:created xsi:type="dcterms:W3CDTF">2020-12-29T12:05:00Z</dcterms:created>
  <dcterms:modified xsi:type="dcterms:W3CDTF">2020-12-29T12:58:00Z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0x0101003685BE14D0DA486792C1E617240A972201005D65F936CEADAF44AA479A4C964AABEC</vt:lpwstr>
  </property>
  <property fmtid="{D5CDD505-2E9C-101B-9397-08002B2CF9AE}" pid="3" name="ContentType">
    <vt:lpwstr>ALAPIKT</vt:lpwstr>
  </property>
</Properties>
</file>